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w:t>
      </w:r>
      <w:r w:rsidR="0031099C">
        <w:t xml:space="preserve">Ten different patient and OAC scenarios were considered, exploring the effect of OAC, age, and gender on the cost-effectiveness of this use of TTE. </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296642">
        <w:rPr>
          <w:bCs/>
          <w:shd w:val="clear" w:color="auto" w:fill="FFFFFF"/>
        </w:rPr>
        <w:t>For younger patients, newly diagnosed aged 50 years, using TTE to help inform the OAC prescription decision does not appear cost effective, and is predicted to be both more expensive and less effective than not using TTE due to additional overtreatment. For older newly diagnosed AF patients, aged 65 years, using TTE is more effective but more expensive. The incremental cost-effectiveness ratios (ICERs) depend on the OAC being considered and gender, and are at or below conventional NICE willingness-to-pay thresholds when a newer OAC (</w:t>
      </w:r>
      <w:proofErr w:type="spellStart"/>
      <w:r w:rsidR="00296642">
        <w:rPr>
          <w:bCs/>
          <w:shd w:val="clear" w:color="auto" w:fill="FFFFFF"/>
        </w:rPr>
        <w:t>rivaroxaban</w:t>
      </w:r>
      <w:proofErr w:type="spellEnd"/>
      <w:r w:rsidR="00296642">
        <w:rPr>
          <w:bCs/>
          <w:shd w:val="clear" w:color="auto" w:fill="FFFFFF"/>
        </w:rPr>
        <w:t xml:space="preserve"> or </w:t>
      </w:r>
      <w:proofErr w:type="spellStart"/>
      <w:r w:rsidR="00296642">
        <w:rPr>
          <w:bCs/>
          <w:shd w:val="clear" w:color="auto" w:fill="FFFFFF"/>
        </w:rPr>
        <w:t>diabigatran</w:t>
      </w:r>
      <w:proofErr w:type="spellEnd"/>
      <w:r w:rsidR="00296642">
        <w:rPr>
          <w:bCs/>
          <w:shd w:val="clear" w:color="auto" w:fill="FFFFFF"/>
        </w:rPr>
        <w:t>) is being considered, but much above this threshold when warfarin is being considered.</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96642">
        <w:t>Using TTE to inform the decision whether to prescribe a newer OAC to newly diagnosed AF patients</w:t>
      </w:r>
      <w:r w:rsidR="00867F7E">
        <w:t xml:space="preserve"> may be a clinically and cost-effective strategy. </w:t>
      </w:r>
      <w:r w:rsidR="00296642">
        <w:t xml:space="preserve"> </w:t>
      </w: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9137B7" w:rsidRPr="009137B7">
        <w:rPr>
          <w:noProof/>
        </w:rPr>
        <w:t>[1]</w:t>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9137B7" w:rsidRPr="009137B7">
        <w:rPr>
          <w:noProof/>
        </w:rPr>
        <w:t>[2]</w:t>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9137B7" w:rsidRPr="009137B7">
        <w:rPr>
          <w:noProof/>
        </w:rPr>
        <w:t>[3]</w:t>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rsidRPr="00354D59">
        <w:rPr>
          <w:noProof/>
        </w:rPr>
        <w:t>[3]</w:t>
      </w:r>
      <w:r w:rsidR="00354D59">
        <w:t xml:space="preserve"> </w:t>
      </w:r>
      <w:r w:rsidR="00BE4AC4">
        <w:t>The latter score is the only recommend stroke score in the 2012 focused update of the ESC guidelines.</w:t>
      </w:r>
      <w:r w:rsidR="00C87195" w:rsidRPr="00532F44">
        <w:t xml:space="preserve">  </w:t>
      </w:r>
      <w:r w:rsidR="00354D59" w:rsidRPr="00354D59">
        <w:rPr>
          <w:noProof/>
        </w:rPr>
        <w:t>[4]</w:t>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w:t>
      </w:r>
      <w:r w:rsidR="00253316">
        <w:t xml:space="preserve"> and </w:t>
      </w:r>
      <w:r w:rsidR="009A6772" w:rsidRPr="00532F44">
        <w:t>an initial CHADS</w:t>
      </w:r>
      <w:r w:rsidR="009A6772" w:rsidRPr="00B36EBC">
        <w:rPr>
          <w:vertAlign w:val="subscript"/>
        </w:rPr>
        <w:t>2</w:t>
      </w:r>
      <w:r w:rsidR="009A6772" w:rsidRPr="00532F44">
        <w:t xml:space="preserve"> risk score of zero point</w:t>
      </w:r>
      <w:r w:rsidR="00253316">
        <w:t>s</w:t>
      </w:r>
      <w:r w:rsidR="003A64BB">
        <w:t>, since those with CHADS</w:t>
      </w:r>
      <w:r w:rsidR="003A64BB" w:rsidRPr="00B36EBC">
        <w:rPr>
          <w:vertAlign w:val="subscript"/>
        </w:rPr>
        <w:t>2</w:t>
      </w:r>
      <w:r w:rsidR="003A64BB">
        <w:t xml:space="preserve"> scores greater are likely to be treated </w:t>
      </w:r>
      <w:r w:rsidR="004E06E9">
        <w:t xml:space="preserve">without requiring further diagnostic </w:t>
      </w:r>
      <w:r w:rsidR="004E06E9">
        <w:lastRenderedPageBreak/>
        <w:t>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rsidRPr="00354D59">
        <w:rPr>
          <w:noProof/>
        </w:rPr>
        <w:t>[5,6]</w:t>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374A9D" w:rsidRPr="00532F44">
        <w:t xml:space="preserve">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8D3B31" w:rsidRPr="00532F44">
        <w:t xml:space="preserve">Table </w:t>
      </w:r>
      <w:r w:rsidR="008D3B31">
        <w:t>1</w:t>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354D59" w:rsidRPr="00354D59">
        <w:rPr>
          <w:noProof/>
        </w:rPr>
        <w:t>[7]</w:t>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Default="00BE73AD" w:rsidP="008D3B31">
      <w:pPr>
        <w:spacing w:line="480" w:lineRule="auto"/>
      </w:pPr>
      <w:r w:rsidRPr="00532F44">
        <w:lastRenderedPageBreak/>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w:t>
      </w:r>
      <w:proofErr w:type="gramStart"/>
      <w:r w:rsidR="00560933" w:rsidRPr="00532F44">
        <w:t>more</w:t>
      </w:r>
      <w:r w:rsidR="00354D59" w:rsidRPr="00354D59">
        <w:rPr>
          <w:noProof/>
        </w:rPr>
        <w:t>[</w:t>
      </w:r>
      <w:proofErr w:type="gramEnd"/>
      <w:r w:rsidR="00354D59" w:rsidRPr="00354D59">
        <w:rPr>
          <w:noProof/>
        </w:rPr>
        <w:t>8,9]</w:t>
      </w:r>
      <w:r w:rsidR="00560933" w:rsidRPr="00532F44">
        <w:t xml:space="preserve">. </w:t>
      </w:r>
      <w:r w:rsidR="00C0617D" w:rsidRPr="00532F44">
        <w:t xml:space="preserve"> The scenarios in which a TTE may affect the OAC decision </w:t>
      </w:r>
      <w:r w:rsidRPr="00532F44">
        <w:t xml:space="preserve">are described in </w:t>
      </w:r>
      <w:r w:rsidR="008D3B31" w:rsidRPr="00532F44">
        <w:t xml:space="preserve">Table </w:t>
      </w:r>
      <w:r w:rsidR="008D3B31">
        <w:t>1</w:t>
      </w:r>
      <w:r w:rsidRPr="00532F44">
        <w:t>.</w:t>
      </w:r>
    </w:p>
    <w:p w:rsidR="00253316" w:rsidRPr="00532F44" w:rsidRDefault="00253316" w:rsidP="00253316">
      <w:pPr>
        <w:spacing w:line="480" w:lineRule="auto"/>
        <w:jc w:val="center"/>
      </w:pPr>
      <w:r>
        <w:t>[Table 1 about here]</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8D3B31" w:rsidRPr="00532F44">
        <w:t xml:space="preserve">Figure </w:t>
      </w:r>
      <w:r w:rsidR="008D3B31">
        <w:t>1</w:t>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an LA</w:t>
      </w:r>
      <w:r w:rsidR="00253316">
        <w:t xml:space="preserve"> </w:t>
      </w:r>
      <w:r w:rsidR="004E06E9" w:rsidRPr="008D3B31">
        <w:t xml:space="preserve">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could </w:t>
      </w:r>
      <w:r w:rsidR="00253316">
        <w:t xml:space="preserve">cause death; patients may also </w:t>
      </w:r>
      <w:r w:rsidR="001138A7" w:rsidRPr="00532F44">
        <w:t xml:space="preserve">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lastRenderedPageBreak/>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w:t>
      </w:r>
      <w:r w:rsidR="00253316">
        <w:t>rue proportion high risk (TPHR),</w:t>
      </w:r>
      <w:r w:rsidR="00DE62D7" w:rsidRPr="00532F44">
        <w:t xml:space="preserve"> and </w:t>
      </w:r>
      <w:r w:rsidR="00253316">
        <w:t xml:space="preserve">the </w:t>
      </w:r>
      <w:r w:rsidR="00DE62D7" w:rsidRPr="00532F44">
        <w:t>sensitivity and specificity of the diagnostic technology</w:t>
      </w:r>
      <w:r w:rsidR="00253316">
        <w:t xml:space="preserve">. These are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w:t>
      </w:r>
      <w:r w:rsidR="00253316">
        <w:t>health related quality of life (</w:t>
      </w:r>
      <w:proofErr w:type="spellStart"/>
      <w:r w:rsidR="00253316">
        <w:t>HRQoL</w:t>
      </w:r>
      <w:proofErr w:type="spellEnd"/>
      <w:r w:rsidR="00253316">
        <w:t>)</w:t>
      </w:r>
      <w:r w:rsidR="00E97667" w:rsidRPr="00532F44">
        <w:t>,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354D59" w:rsidRPr="00354D59">
        <w:rPr>
          <w:noProof/>
        </w:rPr>
        <w:t>[10]</w:t>
      </w:r>
      <w:r w:rsidR="00E97667" w:rsidRPr="00532F44">
        <w:t xml:space="preserve"> </w:t>
      </w:r>
    </w:p>
    <w:p w:rsidR="00F91783" w:rsidRPr="00532F44" w:rsidRDefault="00A8404E" w:rsidP="008D3B31">
      <w:pPr>
        <w:spacing w:line="480" w:lineRule="auto"/>
      </w:pPr>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xml:space="preserve">, provided they have </w:t>
      </w:r>
      <w:r w:rsidR="00C23AC0" w:rsidRPr="00532F44">
        <w:lastRenderedPageBreak/>
        <w:t>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354D59" w:rsidRPr="00354D59">
        <w:rPr>
          <w:noProof/>
        </w:rPr>
        <w:t>[11]</w:t>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354D59" w:rsidRPr="00354D59">
        <w:rPr>
          <w:noProof/>
        </w:rPr>
        <w:t>[12]</w:t>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8D3B31" w:rsidRPr="00532F44">
        <w:t xml:space="preserve">Table </w:t>
      </w:r>
      <w:r w:rsidR="008D3B31">
        <w:t>2</w:t>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0"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354D59" w:rsidRPr="00354D59">
        <w:rPr>
          <w:noProof/>
        </w:rPr>
        <w:t>[13]</w:t>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undertaken on the joint uncertainty in the sensitivity and specificity of TTE in detecting LA ABN.</w:t>
      </w:r>
      <w:r w:rsidR="001138A7" w:rsidRPr="00532F44">
        <w:t xml:space="preserve"> The results for the joint uncertainty for</w:t>
      </w:r>
      <w:r w:rsidR="00345E19">
        <w:t xml:space="preserve"> three</w:t>
      </w:r>
      <w:r w:rsidR="001138A7" w:rsidRPr="00532F44">
        <w:t xml:space="preserve">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p w:rsidR="0005390C" w:rsidRPr="006E14F1" w:rsidRDefault="00DF4463" w:rsidP="003378D6">
      <w:pPr>
        <w:pStyle w:val="Heading1"/>
        <w:numPr>
          <w:ilvl w:val="0"/>
          <w:numId w:val="0"/>
        </w:numPr>
        <w:rPr>
          <w:color w:val="002060"/>
        </w:rPr>
      </w:pPr>
      <w:bookmarkStart w:id="1" w:name="OLE_LINK1"/>
      <w:bookmarkStart w:id="2" w:name="OLE_LINK2"/>
      <w:bookmarkEnd w:id="0"/>
      <w:r w:rsidRPr="006E14F1">
        <w:rPr>
          <w:color w:val="002060"/>
        </w:rPr>
        <w:lastRenderedPageBreak/>
        <w:t>Results</w:t>
      </w:r>
    </w:p>
    <w:p w:rsidR="006E14F1" w:rsidRPr="006E14F1" w:rsidRDefault="0083066E" w:rsidP="008D3B31">
      <w:pPr>
        <w:spacing w:line="480" w:lineRule="auto"/>
        <w:rPr>
          <w:color w:val="002060"/>
        </w:rPr>
      </w:pPr>
      <w:r w:rsidRPr="006E14F1">
        <w:rPr>
          <w:color w:val="002060"/>
        </w:rPr>
        <w:t>In these results, the patient population is of 65 year old females with an initial CHADS</w:t>
      </w:r>
      <w:r w:rsidRPr="00523D67">
        <w:rPr>
          <w:color w:val="002060"/>
          <w:vertAlign w:val="subscript"/>
        </w:rPr>
        <w:t>2</w:t>
      </w:r>
      <w:r w:rsidRPr="006E14F1">
        <w:rPr>
          <w:color w:val="002060"/>
        </w:rPr>
        <w:t xml:space="preserve"> score of 0, and the OAC is </w:t>
      </w:r>
      <w:proofErr w:type="gramStart"/>
      <w:r w:rsidRPr="006E14F1">
        <w:rPr>
          <w:color w:val="002060"/>
        </w:rPr>
        <w:t>either warfarin</w:t>
      </w:r>
      <w:proofErr w:type="gramEnd"/>
      <w:r w:rsidRPr="006E14F1">
        <w:rPr>
          <w:color w:val="002060"/>
        </w:rPr>
        <w:t xml:space="preserve">, </w:t>
      </w:r>
      <w:proofErr w:type="spellStart"/>
      <w:r w:rsidRPr="006E14F1">
        <w:rPr>
          <w:color w:val="002060"/>
        </w:rPr>
        <w:t>rivaroxaban</w:t>
      </w:r>
      <w:proofErr w:type="spellEnd"/>
      <w:r w:rsidRPr="006E14F1">
        <w:rPr>
          <w:color w:val="002060"/>
        </w:rPr>
        <w:t xml:space="preserve">, or </w:t>
      </w:r>
      <w:proofErr w:type="spellStart"/>
      <w:r w:rsidRPr="006E14F1">
        <w:rPr>
          <w:color w:val="002060"/>
        </w:rPr>
        <w:t>dabigatran</w:t>
      </w:r>
      <w:proofErr w:type="spellEnd"/>
      <w:r w:rsidRPr="006E14F1">
        <w:rPr>
          <w:color w:val="002060"/>
        </w:rPr>
        <w:t xml:space="preserve">. </w:t>
      </w:r>
      <w:r w:rsidR="006E14F1" w:rsidRPr="00D561D8">
        <w:rPr>
          <w:color w:val="FF0000"/>
        </w:rPr>
        <w:t xml:space="preserve">Table </w:t>
      </w:r>
      <w:r w:rsidR="006E14F1">
        <w:rPr>
          <w:noProof/>
          <w:color w:val="FF0000"/>
        </w:rPr>
        <w:t>3</w:t>
      </w:r>
      <w:r w:rsidR="006E14F1" w:rsidRPr="0046051B">
        <w:t xml:space="preserve"> </w:t>
      </w:r>
      <w:r w:rsidRPr="006E14F1">
        <w:rPr>
          <w:color w:val="002060"/>
        </w:rPr>
        <w:t xml:space="preserve">presents some summary statistics of simulated patient outcomes </w:t>
      </w:r>
      <w:r w:rsidR="00523D67">
        <w:rPr>
          <w:color w:val="002060"/>
        </w:rPr>
        <w:t>for strategies that either include or exclude TTE in the decision-making process.</w:t>
      </w:r>
      <w:r w:rsidRPr="006E14F1">
        <w:rPr>
          <w:color w:val="002060"/>
        </w:rPr>
        <w:t xml:space="preserve"> </w:t>
      </w:r>
      <w:r w:rsidR="006E14F1">
        <w:t xml:space="preserve">Figure </w:t>
      </w:r>
      <w:r w:rsidR="006E14F1">
        <w:rPr>
          <w:noProof/>
        </w:rPr>
        <w:t>2</w:t>
      </w:r>
      <w:r w:rsidR="006E14F1" w:rsidRPr="006E14F1">
        <w:rPr>
          <w:color w:val="FF0000"/>
        </w:rPr>
        <w:t xml:space="preserve"> </w:t>
      </w:r>
      <w:r w:rsidRPr="006E14F1">
        <w:rPr>
          <w:color w:val="002060"/>
        </w:rPr>
        <w:t xml:space="preserve">show the PSA scatterplots and CEAFs where the </w:t>
      </w:r>
      <w:r w:rsidR="006E14F1">
        <w:rPr>
          <w:color w:val="002060"/>
        </w:rPr>
        <w:t xml:space="preserve">OAC is </w:t>
      </w:r>
      <w:r w:rsidRPr="006E14F1">
        <w:rPr>
          <w:color w:val="002060"/>
        </w:rPr>
        <w:t xml:space="preserve">either warfarin (a, b), </w:t>
      </w:r>
      <w:proofErr w:type="spellStart"/>
      <w:r w:rsidRPr="006E14F1">
        <w:rPr>
          <w:color w:val="002060"/>
        </w:rPr>
        <w:t>rivaroxaban</w:t>
      </w:r>
      <w:proofErr w:type="spellEnd"/>
      <w:r w:rsidRPr="006E14F1">
        <w:rPr>
          <w:color w:val="002060"/>
        </w:rPr>
        <w:t xml:space="preserve"> (</w:t>
      </w:r>
      <w:proofErr w:type="spellStart"/>
      <w:r w:rsidRPr="006E14F1">
        <w:rPr>
          <w:color w:val="002060"/>
        </w:rPr>
        <w:t>c</w:t>
      </w:r>
      <w:proofErr w:type="gramStart"/>
      <w:r w:rsidRPr="006E14F1">
        <w:rPr>
          <w:color w:val="002060"/>
        </w:rPr>
        <w:t>,d</w:t>
      </w:r>
      <w:proofErr w:type="spellEnd"/>
      <w:proofErr w:type="gramEnd"/>
      <w:r w:rsidRPr="006E14F1">
        <w:rPr>
          <w:color w:val="002060"/>
        </w:rPr>
        <w:t xml:space="preserve">), or </w:t>
      </w:r>
      <w:proofErr w:type="spellStart"/>
      <w:r w:rsidRPr="006E14F1">
        <w:rPr>
          <w:color w:val="002060"/>
        </w:rPr>
        <w:t>dabigatran</w:t>
      </w:r>
      <w:proofErr w:type="spellEnd"/>
      <w:r w:rsidRPr="006E14F1">
        <w:rPr>
          <w:color w:val="002060"/>
        </w:rPr>
        <w:t xml:space="preserve"> (</w:t>
      </w:r>
      <w:proofErr w:type="spellStart"/>
      <w:r w:rsidRPr="006E14F1">
        <w:rPr>
          <w:color w:val="002060"/>
        </w:rPr>
        <w:t>e,f</w:t>
      </w:r>
      <w:proofErr w:type="spellEnd"/>
      <w:r w:rsidRPr="006E14F1">
        <w:rPr>
          <w:color w:val="002060"/>
        </w:rPr>
        <w:t xml:space="preserve">). </w:t>
      </w:r>
      <w:r w:rsidR="006E14F1">
        <w:t xml:space="preserve">Table </w:t>
      </w:r>
      <w:r w:rsidR="006E14F1">
        <w:rPr>
          <w:noProof/>
        </w:rPr>
        <w:t>4</w:t>
      </w:r>
      <w:r w:rsidR="006E14F1">
        <w:rPr>
          <w:color w:val="002060"/>
        </w:rPr>
        <w:t xml:space="preserve"> </w:t>
      </w:r>
      <w:r w:rsidRPr="006E14F1">
        <w:rPr>
          <w:color w:val="002060"/>
        </w:rPr>
        <w:t xml:space="preserve">shows the </w:t>
      </w:r>
      <w:r w:rsidR="006E14F1" w:rsidRPr="006E14F1">
        <w:rPr>
          <w:color w:val="002060"/>
        </w:rPr>
        <w:t xml:space="preserve">mean cost and mean QALY of the baseline (without TTE) and comparator (with TTE) strategy. </w:t>
      </w:r>
      <w:r w:rsidR="006E14F1">
        <w:rPr>
          <w:color w:val="002060"/>
        </w:rPr>
        <w:t>Results for other patient groups are included in the appendix.</w:t>
      </w:r>
    </w:p>
    <w:p w:rsidR="00273A34" w:rsidRDefault="00FF7CB5" w:rsidP="008D3B31">
      <w:pPr>
        <w:spacing w:line="480" w:lineRule="auto"/>
        <w:rPr>
          <w:color w:val="002060"/>
        </w:rPr>
      </w:pPr>
      <w:r w:rsidRPr="006E14F1">
        <w:rPr>
          <w:color w:val="002060"/>
        </w:rPr>
        <w:t>Table 3</w:t>
      </w:r>
      <w:r w:rsidR="00605BB7" w:rsidRPr="006E14F1">
        <w:rPr>
          <w:color w:val="002060"/>
        </w:rPr>
        <w:t xml:space="preserve"> </w:t>
      </w:r>
      <w:r w:rsidR="006E14F1" w:rsidRPr="006E14F1">
        <w:rPr>
          <w:color w:val="002060"/>
        </w:rPr>
        <w:t xml:space="preserve">indicates that, irrespective of the OAC, using TTE in this way reduces the proportion of deaths caused by stroke, but increases the proportion of deaths caused by bleed. For all OAC scenarios, the number of </w:t>
      </w:r>
      <w:proofErr w:type="spellStart"/>
      <w:r w:rsidR="006E14F1" w:rsidRPr="006E14F1">
        <w:rPr>
          <w:color w:val="002060"/>
        </w:rPr>
        <w:t>lifeyears</w:t>
      </w:r>
      <w:proofErr w:type="spellEnd"/>
      <w:r w:rsidR="006E14F1" w:rsidRPr="006E14F1">
        <w:rPr>
          <w:color w:val="002060"/>
        </w:rPr>
        <w:t xml:space="preserve"> is estimated to be slightly greater when strategy incorporating TTE is used compared to the strategy without TTE, but these differences are relatively small. On average, the scenarios not using TTE are estimated to result in a lower rate of dependent and independent strokes, and a higher rate of major bleeding events, including intracranial </w:t>
      </w:r>
      <w:proofErr w:type="spellStart"/>
      <w:r w:rsidR="006E14F1" w:rsidRPr="006E14F1">
        <w:rPr>
          <w:color w:val="002060"/>
        </w:rPr>
        <w:t>haemorrhages</w:t>
      </w:r>
      <w:proofErr w:type="spellEnd"/>
      <w:r w:rsidR="006E14F1" w:rsidRPr="006E14F1">
        <w:rPr>
          <w:color w:val="002060"/>
        </w:rPr>
        <w:t xml:space="preserve"> (ICHs). </w:t>
      </w:r>
    </w:p>
    <w:p w:rsidR="00920A0B" w:rsidRPr="00253316" w:rsidRDefault="005653D1" w:rsidP="00900CA4">
      <w:pPr>
        <w:spacing w:line="480" w:lineRule="auto"/>
        <w:rPr>
          <w:color w:val="FF0000"/>
        </w:rPr>
      </w:pPr>
      <w:r>
        <w:t xml:space="preserve">Figure </w:t>
      </w:r>
      <w:r>
        <w:rPr>
          <w:noProof/>
        </w:rPr>
        <w:t>2</w:t>
      </w:r>
      <w:r>
        <w:rPr>
          <w:color w:val="002060"/>
        </w:rPr>
        <w:t xml:space="preserve"> and </w:t>
      </w:r>
      <w:r>
        <w:t xml:space="preserve">Table </w:t>
      </w:r>
      <w:r>
        <w:rPr>
          <w:noProof/>
        </w:rPr>
        <w:t>4</w:t>
      </w:r>
      <w:r>
        <w:rPr>
          <w:color w:val="002060"/>
        </w:rPr>
        <w:t xml:space="preserve"> both suggest that the cost-effectiveness of the TTE strategy compared with the no TTE strategy depends on the OAC which would be prescribed should the patient be identified as high risk or suffer a stroke.  Where the OAC is warfarin (</w:t>
      </w:r>
      <w:r>
        <w:t xml:space="preserve">Table </w:t>
      </w:r>
      <w:r>
        <w:rPr>
          <w:noProof/>
        </w:rPr>
        <w:t>4</w:t>
      </w:r>
      <w:r>
        <w:rPr>
          <w:color w:val="002060"/>
        </w:rPr>
        <w:t xml:space="preserve">a), the ICER comparing the two strategies is almost £40 000 / QALY; where the OAC </w:t>
      </w:r>
      <w:proofErr w:type="spellStart"/>
      <w:r>
        <w:rPr>
          <w:color w:val="002060"/>
        </w:rPr>
        <w:t>rivaroxaban</w:t>
      </w:r>
      <w:proofErr w:type="spellEnd"/>
      <w:r>
        <w:rPr>
          <w:color w:val="002060"/>
        </w:rPr>
        <w:t xml:space="preserve"> (</w:t>
      </w:r>
      <w:r>
        <w:t xml:space="preserve">Table </w:t>
      </w:r>
      <w:r>
        <w:rPr>
          <w:noProof/>
        </w:rPr>
        <w:t>4</w:t>
      </w:r>
      <w:r>
        <w:rPr>
          <w:color w:val="002060"/>
        </w:rPr>
        <w:t xml:space="preserve">b), the ICER reduces to around £23 000 /QALY, and where the OAC is </w:t>
      </w:r>
      <w:proofErr w:type="spellStart"/>
      <w:r>
        <w:rPr>
          <w:color w:val="002060"/>
        </w:rPr>
        <w:t>dabigatran</w:t>
      </w:r>
      <w:proofErr w:type="spellEnd"/>
      <w:r>
        <w:rPr>
          <w:color w:val="002060"/>
        </w:rPr>
        <w:t xml:space="preserve"> (</w:t>
      </w:r>
      <w:r>
        <w:t xml:space="preserve">Table </w:t>
      </w:r>
      <w:r>
        <w:rPr>
          <w:noProof/>
        </w:rPr>
        <w:t>4</w:t>
      </w:r>
      <w:r>
        <w:rPr>
          <w:color w:val="002060"/>
        </w:rPr>
        <w:t>c), the ICER reduces further to around £12 000 / QALY. This relationship is also reflected in the CEAFs of the three scenarios (</w:t>
      </w:r>
      <w:r>
        <w:t xml:space="preserve">Figure </w:t>
      </w:r>
      <w:r>
        <w:rPr>
          <w:noProof/>
        </w:rPr>
        <w:t>2</w:t>
      </w:r>
      <w:r>
        <w:rPr>
          <w:color w:val="002060"/>
        </w:rPr>
        <w:t xml:space="preserve"> b, d, and f), as the mean ICER corresponds to the point at which the TTE strategy, indicated by the solid line, becomes the optimal (adoption) decision, and so is first drawn on the figures</w:t>
      </w:r>
      <w:r w:rsidR="00DC2385">
        <w:rPr>
          <w:color w:val="002060"/>
        </w:rPr>
        <w:t xml:space="preserve">. Hence, the black line begins furthest to the left of the graph for </w:t>
      </w:r>
      <w:proofErr w:type="spellStart"/>
      <w:r w:rsidR="00DC2385">
        <w:rPr>
          <w:color w:val="002060"/>
        </w:rPr>
        <w:t>dabigatran</w:t>
      </w:r>
      <w:proofErr w:type="spellEnd"/>
      <w:r w:rsidR="00DC2385">
        <w:rPr>
          <w:color w:val="002060"/>
        </w:rPr>
        <w:t xml:space="preserve"> (f) than for </w:t>
      </w:r>
      <w:proofErr w:type="spellStart"/>
      <w:r w:rsidR="00DC2385">
        <w:rPr>
          <w:color w:val="002060"/>
        </w:rPr>
        <w:t>rivaroxaban</w:t>
      </w:r>
      <w:proofErr w:type="spellEnd"/>
      <w:r w:rsidR="00DC2385">
        <w:rPr>
          <w:color w:val="002060"/>
        </w:rPr>
        <w:t xml:space="preserve"> (d), and further to the left for </w:t>
      </w:r>
      <w:proofErr w:type="spellStart"/>
      <w:r w:rsidR="00DC2385">
        <w:rPr>
          <w:color w:val="002060"/>
        </w:rPr>
        <w:t>rivaroxaban</w:t>
      </w:r>
      <w:proofErr w:type="spellEnd"/>
      <w:r w:rsidR="00DC2385">
        <w:rPr>
          <w:color w:val="002060"/>
        </w:rPr>
        <w:t xml:space="preserve"> (d) than for warfarin (b). The PSA scatterplots (a, c, d) all include a </w:t>
      </w:r>
      <w:r w:rsidR="00DC2385">
        <w:rPr>
          <w:color w:val="002060"/>
        </w:rPr>
        <w:lastRenderedPageBreak/>
        <w:t xml:space="preserve">proportion of estimates in the </w:t>
      </w:r>
      <w:proofErr w:type="gramStart"/>
      <w:r w:rsidR="00DC2385">
        <w:rPr>
          <w:color w:val="002060"/>
        </w:rPr>
        <w:t>north west</w:t>
      </w:r>
      <w:proofErr w:type="gramEnd"/>
      <w:r w:rsidR="00DC2385">
        <w:rPr>
          <w:color w:val="002060"/>
        </w:rPr>
        <w:t xml:space="preserve"> quadrant, meaning in some of the simulations the without TTE strategy appeared both more costly and less effective than the with TTE strategy; the proportion of estimates in this quadrant is greatest for warfarin (a) than for </w:t>
      </w:r>
      <w:proofErr w:type="spellStart"/>
      <w:r w:rsidR="00DC2385">
        <w:rPr>
          <w:color w:val="002060"/>
        </w:rPr>
        <w:t>rivaroxaban</w:t>
      </w:r>
      <w:proofErr w:type="spellEnd"/>
      <w:r w:rsidR="00DC2385">
        <w:rPr>
          <w:color w:val="002060"/>
        </w:rPr>
        <w:t xml:space="preserve"> (c), and lowest for </w:t>
      </w:r>
      <w:proofErr w:type="spellStart"/>
      <w:r w:rsidR="00DC2385">
        <w:rPr>
          <w:color w:val="002060"/>
        </w:rPr>
        <w:t>dabigatran</w:t>
      </w:r>
      <w:proofErr w:type="spellEnd"/>
      <w:r w:rsidR="00DC2385">
        <w:rPr>
          <w:color w:val="002060"/>
        </w:rPr>
        <w:t xml:space="preserve"> (e). These differences between OAC scenarios are reflected in the height of the solid black lines in the corresponding CEAFs (b, d, f), which indicate the probability that the optimal (adoption) decision is cost-effective at the thresholds indicated by the horizontal axis. </w:t>
      </w:r>
    </w:p>
    <w:p w:rsidR="00345E19" w:rsidRPr="00345E19" w:rsidRDefault="00345E19" w:rsidP="00345E19">
      <w:pPr>
        <w:pStyle w:val="Heading2"/>
        <w:numPr>
          <w:ilvl w:val="0"/>
          <w:numId w:val="0"/>
        </w:numPr>
        <w:rPr>
          <w:rFonts w:eastAsia="Times New Roman"/>
          <w:color w:val="0070C0"/>
          <w:lang w:eastAsia="en-GB"/>
        </w:rPr>
      </w:pPr>
      <w:r w:rsidRPr="00345E19">
        <w:rPr>
          <w:rFonts w:eastAsia="Times New Roman"/>
          <w:color w:val="0070C0"/>
          <w:lang w:eastAsia="en-GB"/>
        </w:rPr>
        <w:t>Deterministic sensitivity analyses</w:t>
      </w:r>
    </w:p>
    <w:p w:rsidR="00345E19" w:rsidRPr="00253316" w:rsidRDefault="00345E19" w:rsidP="00345E19">
      <w:pPr>
        <w:spacing w:line="480" w:lineRule="auto"/>
        <w:rPr>
          <w:color w:val="FF0000"/>
        </w:rPr>
      </w:pPr>
      <w:r w:rsidRPr="00345E19">
        <w:rPr>
          <w:color w:val="0070C0"/>
        </w:rPr>
        <w:t xml:space="preserve">Table 6 shows how the mean ICER estimated depends on sensitivity and specificity of the technology, assuming all other values are held at their mean levels, where the OAC is either a) warfarin, b) </w:t>
      </w:r>
      <w:proofErr w:type="spellStart"/>
      <w:r w:rsidRPr="00345E19">
        <w:rPr>
          <w:color w:val="0070C0"/>
        </w:rPr>
        <w:t>rivaroxaban</w:t>
      </w:r>
      <w:proofErr w:type="spellEnd"/>
      <w:r w:rsidRPr="00345E19">
        <w:rPr>
          <w:color w:val="0070C0"/>
        </w:rPr>
        <w:t xml:space="preserve">, or c) </w:t>
      </w:r>
      <w:proofErr w:type="spellStart"/>
      <w:r w:rsidRPr="00345E19">
        <w:rPr>
          <w:color w:val="0070C0"/>
        </w:rPr>
        <w:t>dabigatran</w:t>
      </w:r>
      <w:proofErr w:type="spellEnd"/>
      <w:r w:rsidRPr="00345E19">
        <w:rPr>
          <w:color w:val="0070C0"/>
        </w:rPr>
        <w:t xml:space="preserve">. If TTE had perfect sensitivity and specificity, then the additional cost per QALY is estimated to range from around £1,800/QALY for warfarin (a) to £1,100/QALY for </w:t>
      </w:r>
      <w:proofErr w:type="spellStart"/>
      <w:r w:rsidRPr="00345E19">
        <w:rPr>
          <w:color w:val="0070C0"/>
        </w:rPr>
        <w:t>dabigatran</w:t>
      </w:r>
      <w:proofErr w:type="spellEnd"/>
      <w:r w:rsidRPr="00345E19">
        <w:rPr>
          <w:color w:val="0070C0"/>
        </w:rPr>
        <w:t xml:space="preserve"> (c). However, due to the less than perfect specificity of TTE, estimated to be around 0.35, and the increased number of false positives predicted to be treated as a result of this, the ICERs predicted a lot higher than this, at around £27,000-£59,000/QALY for warfarin (a), £18,000-£29,000 for </w:t>
      </w:r>
      <w:proofErr w:type="spellStart"/>
      <w:r w:rsidRPr="00345E19">
        <w:rPr>
          <w:color w:val="0070C0"/>
        </w:rPr>
        <w:t>rivaroxaban</w:t>
      </w:r>
      <w:proofErr w:type="spellEnd"/>
      <w:r w:rsidRPr="00345E19">
        <w:rPr>
          <w:color w:val="0070C0"/>
        </w:rPr>
        <w:t xml:space="preserve"> (b), and £10,000-£14,000 for </w:t>
      </w:r>
      <w:proofErr w:type="spellStart"/>
      <w:r w:rsidRPr="00345E19">
        <w:rPr>
          <w:color w:val="0070C0"/>
        </w:rPr>
        <w:t>dabigatran</w:t>
      </w:r>
      <w:proofErr w:type="spellEnd"/>
      <w:r w:rsidRPr="00345E19">
        <w:rPr>
          <w:color w:val="0070C0"/>
        </w:rPr>
        <w:t>. As the ICER is a ratio, and the absolute differences in QALYs between strategies with and without TTE are small, the ICERs are shown to be highly sensitive to the values of sensitivity and specificity assumed for some scenarios</w:t>
      </w:r>
      <w:r>
        <w:rPr>
          <w:color w:val="FF0000"/>
        </w:rPr>
        <w:t xml:space="preserve">. </w:t>
      </w:r>
    </w:p>
    <w:bookmarkEnd w:id="1"/>
    <w:bookmarkEnd w:id="2"/>
    <w:p w:rsidR="00D324CF" w:rsidRPr="00D324CF" w:rsidRDefault="00D324CF" w:rsidP="00D324CF">
      <w:pPr>
        <w:pStyle w:val="Heading2"/>
        <w:numPr>
          <w:ilvl w:val="0"/>
          <w:numId w:val="0"/>
        </w:numPr>
        <w:rPr>
          <w:rFonts w:eastAsia="Times New Roman"/>
          <w:color w:val="0070C0"/>
          <w:lang w:eastAsia="en-GB"/>
        </w:rPr>
      </w:pPr>
      <w:r w:rsidRPr="00D324CF">
        <w:rPr>
          <w:rFonts w:eastAsia="Times New Roman"/>
          <w:color w:val="0070C0"/>
          <w:lang w:eastAsia="en-GB"/>
        </w:rPr>
        <w:t>Overview of results for other scenarios</w:t>
      </w:r>
    </w:p>
    <w:p w:rsidR="00D324CF" w:rsidRPr="00D324CF" w:rsidRDefault="00D324CF" w:rsidP="00D324CF">
      <w:pPr>
        <w:spacing w:line="480" w:lineRule="auto"/>
        <w:rPr>
          <w:color w:val="0070C0"/>
        </w:rPr>
      </w:pPr>
      <w:r w:rsidRPr="00D324CF">
        <w:rPr>
          <w:color w:val="0070C0"/>
        </w:rPr>
        <w:t xml:space="preserve">The results for all 10 scenarios considered are presented in the online appendix. A brief summary, indicating whether the results suggest TTE appears the optimal strategy at MAICERs of £20,000 /QALY or £30,000/QALY, is shown in Table 7. These results suggest that the addition of TTE to help make the decision whether to prescribe an OAC appears more expensive and less effective than not using TTE in younger patients, aged 50 years. In older patients, aged 65 years, the strategy using TTE appears cost-effective and conventional willingness-to-pay thresholds of between £20,000 and £30,000/QALY for </w:t>
      </w:r>
      <w:proofErr w:type="spellStart"/>
      <w:r w:rsidRPr="00D324CF">
        <w:rPr>
          <w:color w:val="0070C0"/>
        </w:rPr>
        <w:t>dabigatran</w:t>
      </w:r>
      <w:proofErr w:type="spellEnd"/>
      <w:r w:rsidRPr="00D324CF">
        <w:rPr>
          <w:color w:val="0070C0"/>
        </w:rPr>
        <w:t xml:space="preserve">, and possibly for </w:t>
      </w:r>
      <w:proofErr w:type="spellStart"/>
      <w:r w:rsidRPr="00D324CF">
        <w:rPr>
          <w:color w:val="0070C0"/>
        </w:rPr>
        <w:t>rivaroxaban</w:t>
      </w:r>
      <w:proofErr w:type="spellEnd"/>
      <w:r w:rsidRPr="00D324CF">
        <w:rPr>
          <w:color w:val="0070C0"/>
        </w:rPr>
        <w:t xml:space="preserve">. The cost-effectiveness of the strategy </w:t>
      </w:r>
      <w:r w:rsidRPr="00D324CF">
        <w:rPr>
          <w:color w:val="0070C0"/>
        </w:rPr>
        <w:lastRenderedPageBreak/>
        <w:t xml:space="preserve">appears slightly more </w:t>
      </w:r>
      <w:proofErr w:type="spellStart"/>
      <w:r w:rsidRPr="00D324CF">
        <w:rPr>
          <w:color w:val="0070C0"/>
        </w:rPr>
        <w:t>favourable</w:t>
      </w:r>
      <w:proofErr w:type="spellEnd"/>
      <w:r w:rsidRPr="00D324CF">
        <w:rPr>
          <w:color w:val="0070C0"/>
        </w:rPr>
        <w:t xml:space="preserve"> for female than for male patients, but the choice of OAC and patient age appear to have much greater influence.</w:t>
      </w:r>
    </w:p>
    <w:p w:rsidR="0005390C" w:rsidRPr="00532F44" w:rsidRDefault="00F15320" w:rsidP="003378D6">
      <w:pPr>
        <w:pStyle w:val="Heading1"/>
        <w:numPr>
          <w:ilvl w:val="0"/>
          <w:numId w:val="0"/>
        </w:numPr>
      </w:pPr>
      <w:r w:rsidRPr="00532F44">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253316">
        <w:t>, and is the only such tool recommended in the 2012 focused update of the ESC guidelines.</w:t>
      </w:r>
      <w:r w:rsidR="00253316" w:rsidRPr="00532F44">
        <w:t xml:space="preserve">  </w:t>
      </w:r>
      <w:r w:rsidR="004B4D95" w:rsidRPr="004B4D95">
        <w:rPr>
          <w:noProof/>
        </w:rPr>
        <w:t>[4,14,15]</w:t>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354D59" w:rsidRPr="00354D59">
        <w:rPr>
          <w:noProof/>
        </w:rPr>
        <w:t>[8,9]</w:t>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354D59" w:rsidRPr="00354D59">
        <w:rPr>
          <w:noProof/>
        </w:rPr>
        <w:t>[6]</w:t>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w:t>
      </w:r>
      <w:r w:rsidR="00620AA2">
        <w:lastRenderedPageBreak/>
        <w:t>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354D59" w:rsidRPr="00354D59">
        <w:rPr>
          <w:noProof/>
        </w:rPr>
        <w:t>[6</w:t>
      </w:r>
      <w:proofErr w:type="gramStart"/>
      <w:r w:rsidR="00354D59" w:rsidRPr="00354D59">
        <w:rPr>
          <w:noProof/>
        </w:rPr>
        <w:t>]</w:t>
      </w:r>
      <w:r w:rsidR="00F00EDF" w:rsidRPr="00532F44">
        <w:t xml:space="preserve">  </w:t>
      </w:r>
      <w:r w:rsidR="00E36870" w:rsidRPr="00532F44">
        <w:t>This</w:t>
      </w:r>
      <w:proofErr w:type="gramEnd"/>
      <w:r w:rsidR="00E36870" w:rsidRPr="00532F44">
        <w:t xml:space="preserve">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4B4D95" w:rsidRPr="004B4D95">
        <w:rPr>
          <w:noProof/>
        </w:rPr>
        <w:t>[16]</w:t>
      </w:r>
    </w:p>
    <w:p w:rsidR="004850ED" w:rsidRPr="00532F44" w:rsidRDefault="004850ED" w:rsidP="008D3B31">
      <w:pPr>
        <w:spacing w:line="480" w:lineRule="auto"/>
      </w:pPr>
      <w:r w:rsidRPr="00532F44">
        <w:t>A key uncertainty is whether there are other benefits that are accrued from a TTE other than identifying</w:t>
      </w:r>
      <w:r w:rsidR="00253316">
        <w:t xml:space="preserve"> some forms of</w:t>
      </w:r>
      <w:r w:rsidRPr="00532F44">
        <w:t xml:space="preserve">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8D3B31" w:rsidRPr="00532F44">
        <w:t xml:space="preserve">Table </w:t>
      </w:r>
      <w:r w:rsidR="008D3B31">
        <w:t>6</w:t>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 xml:space="preserve">The extent to which these cost-effectiveness </w:t>
      </w:r>
      <w:r w:rsidR="00253316">
        <w:t>estimates relate</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lastRenderedPageBreak/>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31099C" w:rsidRDefault="004850ED" w:rsidP="003378D6">
      <w:pPr>
        <w:pStyle w:val="Heading2"/>
        <w:numPr>
          <w:ilvl w:val="0"/>
          <w:numId w:val="0"/>
        </w:numPr>
        <w:rPr>
          <w:color w:val="1F497D" w:themeColor="text2"/>
        </w:rPr>
      </w:pPr>
      <w:r w:rsidRPr="0031099C">
        <w:rPr>
          <w:color w:val="1F497D" w:themeColor="text2"/>
        </w:rPr>
        <w:t>Conclusion</w:t>
      </w:r>
    </w:p>
    <w:p w:rsidR="00911187" w:rsidRPr="0031099C" w:rsidRDefault="00911187" w:rsidP="008D3B31">
      <w:pPr>
        <w:spacing w:line="480" w:lineRule="auto"/>
        <w:rPr>
          <w:color w:val="1F497D" w:themeColor="text2"/>
        </w:rPr>
      </w:pPr>
      <w:r w:rsidRPr="0031099C">
        <w:rPr>
          <w:color w:val="1F497D" w:themeColor="text2"/>
        </w:rPr>
        <w:t xml:space="preserve">This paper presented the results of mathematical models which simulated the effects of using TTE to help make the decision whether to prescribe an OAC in a range of </w:t>
      </w:r>
      <w:r w:rsidR="002B0A3A" w:rsidRPr="0031099C">
        <w:rPr>
          <w:color w:val="1F497D" w:themeColor="text2"/>
        </w:rPr>
        <w:t>patients with AF</w:t>
      </w:r>
      <w:r w:rsidRPr="0031099C">
        <w:rPr>
          <w:color w:val="1F497D" w:themeColor="text2"/>
        </w:rPr>
        <w:t xml:space="preserve">. </w:t>
      </w:r>
      <w:r w:rsidR="00B36EBC" w:rsidRPr="0031099C">
        <w:rPr>
          <w:color w:val="1F497D" w:themeColor="text2"/>
        </w:rPr>
        <w:t xml:space="preserve">If found </w:t>
      </w:r>
      <w:r w:rsidR="00C314AC" w:rsidRPr="0031099C">
        <w:rPr>
          <w:color w:val="1F497D" w:themeColor="text2"/>
        </w:rPr>
        <w:t xml:space="preserve">that when </w:t>
      </w:r>
      <w:proofErr w:type="spellStart"/>
      <w:r w:rsidR="00C314AC" w:rsidRPr="0031099C">
        <w:rPr>
          <w:color w:val="1F497D" w:themeColor="text2"/>
        </w:rPr>
        <w:t>rivaroxaban</w:t>
      </w:r>
      <w:proofErr w:type="spellEnd"/>
      <w:r w:rsidR="00C314AC" w:rsidRPr="0031099C">
        <w:rPr>
          <w:color w:val="1F497D" w:themeColor="text2"/>
        </w:rPr>
        <w:t xml:space="preserve"> or </w:t>
      </w:r>
      <w:proofErr w:type="spellStart"/>
      <w:r w:rsidR="00C314AC" w:rsidRPr="0031099C">
        <w:rPr>
          <w:color w:val="1F497D" w:themeColor="text2"/>
        </w:rPr>
        <w:t>dabigatran</w:t>
      </w:r>
      <w:proofErr w:type="spellEnd"/>
      <w:r w:rsidRPr="0031099C">
        <w:rPr>
          <w:color w:val="1F497D" w:themeColor="text2"/>
        </w:rPr>
        <w:t xml:space="preserve"> </w:t>
      </w:r>
      <w:r w:rsidR="00C314AC" w:rsidRPr="0031099C">
        <w:rPr>
          <w:color w:val="1F497D" w:themeColor="text2"/>
        </w:rPr>
        <w:t xml:space="preserve">is </w:t>
      </w:r>
      <w:r w:rsidR="00B36EBC" w:rsidRPr="0031099C">
        <w:rPr>
          <w:color w:val="1F497D" w:themeColor="text2"/>
        </w:rPr>
        <w:t>the OAC</w:t>
      </w:r>
      <w:r w:rsidRPr="0031099C">
        <w:rPr>
          <w:color w:val="1F497D" w:themeColor="text2"/>
        </w:rPr>
        <w:t xml:space="preserve"> of choice then it appears cost-effective to us</w:t>
      </w:r>
      <w:r w:rsidR="00B36EBC" w:rsidRPr="0031099C">
        <w:rPr>
          <w:color w:val="1F497D" w:themeColor="text2"/>
        </w:rPr>
        <w:t>e TTE in patients aged 65 years; when warfarin is the OAC of choice, then the addition of TTE does not appear cost-effective at standard willingness to pay thresholds of either £20,000/QALY or £30,000/QALY.</w:t>
      </w:r>
      <w:r w:rsidRPr="0031099C">
        <w:rPr>
          <w:color w:val="1F497D" w:themeColor="text2"/>
        </w:rPr>
        <w:t xml:space="preserve"> </w:t>
      </w:r>
      <w:r w:rsidR="002B0A3A" w:rsidRPr="0031099C">
        <w:rPr>
          <w:color w:val="1F497D" w:themeColor="text2"/>
        </w:rPr>
        <w:t>T</w:t>
      </w:r>
      <w:r w:rsidRPr="0031099C">
        <w:rPr>
          <w:color w:val="1F497D" w:themeColor="text2"/>
        </w:rPr>
        <w:t>hese results suggest that</w:t>
      </w:r>
      <w:r w:rsidR="00B36EBC" w:rsidRPr="0031099C">
        <w:rPr>
          <w:color w:val="1F497D" w:themeColor="text2"/>
        </w:rPr>
        <w:t xml:space="preserve"> if considering prescribing a newer OAC</w:t>
      </w:r>
      <w:r w:rsidRPr="0031099C">
        <w:rPr>
          <w:color w:val="1F497D" w:themeColor="text2"/>
        </w:rPr>
        <w:t>, it may be both clinically effective and cost effective to use TTE to help inform the decision</w:t>
      </w:r>
      <w:r w:rsidR="0031099C" w:rsidRPr="0031099C">
        <w:rPr>
          <w:color w:val="1F497D" w:themeColor="text2"/>
        </w:rPr>
        <w:t xml:space="preserve">. </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footerReference w:type="default" r:id="rId9"/>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p w:rsidR="004B4D95" w:rsidRPr="004B4D95" w:rsidRDefault="004B4D95">
      <w:pPr>
        <w:pStyle w:val="NormalWeb"/>
        <w:ind w:left="640" w:hanging="640"/>
        <w:divId w:val="1921870993"/>
        <w:rPr>
          <w:rFonts w:ascii="Calibri" w:hAnsi="Calibri"/>
          <w:noProof/>
          <w:sz w:val="22"/>
        </w:rPr>
      </w:pPr>
      <w:commentRangeStart w:id="3"/>
      <w:r w:rsidRPr="004B4D95">
        <w:rPr>
          <w:rFonts w:ascii="Calibri" w:hAnsi="Calibri"/>
          <w:noProof/>
          <w:sz w:val="22"/>
        </w:rPr>
        <w:t xml:space="preserve">1 </w:t>
      </w:r>
      <w:r w:rsidRPr="004B4D95">
        <w:rPr>
          <w:rFonts w:ascii="Calibri" w:hAnsi="Calibri"/>
          <w:noProof/>
          <w:sz w:val="22"/>
        </w:rPr>
        <w:tab/>
        <w:t xml:space="preserve">Go AS, Hylek EM, Phillips KA, </w:t>
      </w:r>
      <w:r w:rsidRPr="004B4D95">
        <w:rPr>
          <w:rFonts w:ascii="Calibri" w:hAnsi="Calibri"/>
          <w:i/>
          <w:iCs/>
          <w:noProof/>
          <w:sz w:val="22"/>
        </w:rPr>
        <w:t>et al.</w:t>
      </w:r>
      <w:r w:rsidRPr="004B4D95">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Pr="004B4D95">
        <w:rPr>
          <w:rFonts w:ascii="Calibri" w:hAnsi="Calibri"/>
          <w:i/>
          <w:iCs/>
          <w:noProof/>
          <w:sz w:val="22"/>
        </w:rPr>
        <w:t>JAMA : the journal of the American Medical Association</w:t>
      </w:r>
      <w:r w:rsidRPr="004B4D95">
        <w:rPr>
          <w:rFonts w:ascii="Calibri" w:hAnsi="Calibri"/>
          <w:noProof/>
          <w:sz w:val="22"/>
        </w:rPr>
        <w:t xml:space="preserve"> 2001;</w:t>
      </w:r>
      <w:r w:rsidRPr="004B4D95">
        <w:rPr>
          <w:rFonts w:ascii="Calibri" w:hAnsi="Calibri"/>
          <w:b/>
          <w:bCs/>
          <w:noProof/>
          <w:sz w:val="22"/>
        </w:rPr>
        <w:t>285</w:t>
      </w:r>
      <w:r w:rsidRPr="004B4D95">
        <w:rPr>
          <w:rFonts w:ascii="Calibri" w:hAnsi="Calibri"/>
          <w:noProof/>
          <w:sz w:val="22"/>
        </w:rPr>
        <w:t>:2370–5.</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 </w:t>
      </w:r>
      <w:r w:rsidRPr="004B4D95">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4B4D95">
        <w:rPr>
          <w:rFonts w:ascii="Calibri" w:hAnsi="Calibri"/>
          <w:i/>
          <w:iCs/>
          <w:noProof/>
          <w:sz w:val="22"/>
        </w:rPr>
        <w:t>American heart journal</w:t>
      </w:r>
      <w:r w:rsidRPr="004B4D95">
        <w:rPr>
          <w:rFonts w:ascii="Calibri" w:hAnsi="Calibri"/>
          <w:noProof/>
          <w:sz w:val="22"/>
        </w:rPr>
        <w:t xml:space="preserve"> 2010;</w:t>
      </w:r>
      <w:r w:rsidRPr="004B4D95">
        <w:rPr>
          <w:rFonts w:ascii="Calibri" w:hAnsi="Calibri"/>
          <w:b/>
          <w:bCs/>
          <w:noProof/>
          <w:sz w:val="22"/>
        </w:rPr>
        <w:t>159</w:t>
      </w:r>
      <w:r w:rsidRPr="004B4D95">
        <w:rPr>
          <w:rFonts w:ascii="Calibri" w:hAnsi="Calibri"/>
          <w:noProof/>
          <w:sz w:val="22"/>
        </w:rPr>
        <w:t>:340–347.e1.</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3 </w:t>
      </w:r>
      <w:r w:rsidRPr="004B4D95">
        <w:rPr>
          <w:rFonts w:ascii="Calibri" w:hAnsi="Calibri"/>
          <w:noProof/>
          <w:sz w:val="22"/>
        </w:rPr>
        <w:tab/>
        <w:t xml:space="preserve">Camm AJ, Kirchhof P, Lip GY, </w:t>
      </w:r>
      <w:r w:rsidRPr="004B4D95">
        <w:rPr>
          <w:rFonts w:ascii="Calibri" w:hAnsi="Calibri"/>
          <w:i/>
          <w:iCs/>
          <w:noProof/>
          <w:sz w:val="22"/>
        </w:rPr>
        <w:t>et al.</w:t>
      </w:r>
      <w:r w:rsidRPr="004B4D95">
        <w:rPr>
          <w:rFonts w:ascii="Calibri" w:hAnsi="Calibri"/>
          <w:noProof/>
          <w:sz w:val="22"/>
        </w:rPr>
        <w:t xml:space="preserve"> Guidelines for the management of atrial fibrillation: the Task Force for the Management of Atrial Fibrillation of the European Society of Cardiology (ESC). </w:t>
      </w:r>
      <w:r w:rsidRPr="004B4D95">
        <w:rPr>
          <w:rFonts w:ascii="Calibri" w:hAnsi="Calibri"/>
          <w:i/>
          <w:iCs/>
          <w:noProof/>
          <w:sz w:val="22"/>
        </w:rPr>
        <w:t>Eur Heart J</w:t>
      </w:r>
      <w:r w:rsidRPr="004B4D95">
        <w:rPr>
          <w:rFonts w:ascii="Calibri" w:hAnsi="Calibri"/>
          <w:noProof/>
          <w:sz w:val="22"/>
        </w:rPr>
        <w:t xml:space="preserve"> 2010;</w:t>
      </w:r>
      <w:r w:rsidRPr="004B4D95">
        <w:rPr>
          <w:rFonts w:ascii="Calibri" w:hAnsi="Calibri"/>
          <w:b/>
          <w:bCs/>
          <w:noProof/>
          <w:sz w:val="22"/>
        </w:rPr>
        <w:t>31</w:t>
      </w:r>
      <w:r w:rsidRPr="004B4D95">
        <w:rPr>
          <w:rFonts w:ascii="Calibri" w:hAnsi="Calibri"/>
          <w:noProof/>
          <w:sz w:val="22"/>
        </w:rPr>
        <w:t>:2369–429.</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4 </w:t>
      </w:r>
      <w:r w:rsidRPr="004B4D95">
        <w:rPr>
          <w:rFonts w:ascii="Calibri" w:hAnsi="Calibri"/>
          <w:noProof/>
          <w:sz w:val="22"/>
        </w:rPr>
        <w:tab/>
        <w:t xml:space="preserve">Camm AJ, Lip GYH, De Caterina R, </w:t>
      </w:r>
      <w:r w:rsidRPr="004B4D95">
        <w:rPr>
          <w:rFonts w:ascii="Calibri" w:hAnsi="Calibri"/>
          <w:i/>
          <w:iCs/>
          <w:noProof/>
          <w:sz w:val="22"/>
        </w:rPr>
        <w:t>et al.</w:t>
      </w:r>
      <w:r w:rsidRPr="004B4D95">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4B4D95">
        <w:rPr>
          <w:rFonts w:ascii="Calibri" w:hAnsi="Calibri"/>
          <w:i/>
          <w:iCs/>
          <w:noProof/>
          <w:sz w:val="22"/>
        </w:rPr>
        <w:t>European heart journal</w:t>
      </w:r>
      <w:r w:rsidRPr="004B4D95">
        <w:rPr>
          <w:rFonts w:ascii="Calibri" w:hAnsi="Calibri"/>
          <w:noProof/>
          <w:sz w:val="22"/>
        </w:rPr>
        <w:t xml:space="preserve"> Published Online First: 24 August 2012. doi:10.1093/eurheartj/ehs253</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5 </w:t>
      </w:r>
      <w:r w:rsidRPr="004B4D95">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4B4D95">
        <w:rPr>
          <w:rFonts w:ascii="Calibri" w:hAnsi="Calibri"/>
          <w:i/>
          <w:iCs/>
          <w:noProof/>
          <w:sz w:val="22"/>
        </w:rPr>
        <w:t>Ann Intern Med</w:t>
      </w:r>
      <w:r w:rsidRPr="004B4D95">
        <w:rPr>
          <w:rFonts w:ascii="Calibri" w:hAnsi="Calibri"/>
          <w:noProof/>
          <w:sz w:val="22"/>
        </w:rPr>
        <w:t xml:space="preserve"> 1998;</w:t>
      </w:r>
      <w:r w:rsidRPr="004B4D95">
        <w:rPr>
          <w:rFonts w:ascii="Calibri" w:hAnsi="Calibri"/>
          <w:b/>
          <w:bCs/>
          <w:noProof/>
          <w:sz w:val="22"/>
        </w:rPr>
        <w:t>128</w:t>
      </w:r>
      <w:r w:rsidRPr="004B4D95">
        <w:rPr>
          <w:rFonts w:ascii="Calibri" w:hAnsi="Calibri"/>
          <w:noProof/>
          <w:sz w:val="22"/>
        </w:rPr>
        <w:t>:639–47.</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6 </w:t>
      </w:r>
      <w:r w:rsidRPr="004B4D95">
        <w:rPr>
          <w:rFonts w:ascii="Calibri" w:hAnsi="Calibri"/>
          <w:noProof/>
          <w:sz w:val="22"/>
        </w:rPr>
        <w:tab/>
        <w:t xml:space="preserve">Providencia R, Botelho A, Trigo J, </w:t>
      </w:r>
      <w:r w:rsidRPr="004B4D95">
        <w:rPr>
          <w:rFonts w:ascii="Calibri" w:hAnsi="Calibri"/>
          <w:i/>
          <w:iCs/>
          <w:noProof/>
          <w:sz w:val="22"/>
        </w:rPr>
        <w:t>et al.</w:t>
      </w:r>
      <w:r w:rsidRPr="004B4D95">
        <w:rPr>
          <w:rFonts w:ascii="Calibri" w:hAnsi="Calibri"/>
          <w:noProof/>
          <w:sz w:val="22"/>
        </w:rPr>
        <w:t xml:space="preserve"> Possible refinement of clinical thromboembolism assessment in patients with atrial fibrillation using echocardiographic parameters. </w:t>
      </w:r>
      <w:r w:rsidRPr="004B4D95">
        <w:rPr>
          <w:rFonts w:ascii="Calibri" w:hAnsi="Calibri"/>
          <w:i/>
          <w:iCs/>
          <w:noProof/>
          <w:sz w:val="22"/>
        </w:rPr>
        <w:t>Europace</w:t>
      </w:r>
      <w:r w:rsidRPr="004B4D95">
        <w:rPr>
          <w:rFonts w:ascii="Calibri" w:hAnsi="Calibri"/>
          <w:noProof/>
          <w:sz w:val="22"/>
        </w:rPr>
        <w:t xml:space="preserve"> 2012;</w:t>
      </w:r>
      <w:r w:rsidRPr="004B4D95">
        <w:rPr>
          <w:rFonts w:ascii="Calibri" w:hAnsi="Calibri"/>
          <w:b/>
          <w:bCs/>
          <w:noProof/>
          <w:sz w:val="22"/>
        </w:rPr>
        <w:t>14</w:t>
      </w:r>
      <w:r w:rsidRPr="004B4D95">
        <w:rPr>
          <w:rFonts w:ascii="Calibri" w:hAnsi="Calibri"/>
          <w:noProof/>
          <w:sz w:val="22"/>
        </w:rPr>
        <w:t>:36–45.</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7 </w:t>
      </w:r>
      <w:r w:rsidRPr="004B4D95">
        <w:rPr>
          <w:rFonts w:ascii="Calibri" w:hAnsi="Calibri"/>
          <w:noProof/>
          <w:sz w:val="22"/>
        </w:rPr>
        <w:tab/>
        <w:t>NICE. Guide to the methods of technology appraisal. NICE methods guide. 2008;:80.</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8 </w:t>
      </w:r>
      <w:r w:rsidRPr="004B4D95">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9 </w:t>
      </w:r>
      <w:r w:rsidRPr="004B4D95">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10 </w:t>
      </w:r>
      <w:r w:rsidRPr="004B4D95">
        <w:rPr>
          <w:rFonts w:ascii="Calibri" w:hAnsi="Calibri"/>
          <w:noProof/>
          <w:sz w:val="22"/>
        </w:rPr>
        <w:tab/>
        <w:t xml:space="preserve">Simpson EL, Stevenson MD, Scope A, </w:t>
      </w:r>
      <w:r w:rsidRPr="004B4D95">
        <w:rPr>
          <w:rFonts w:ascii="Calibri" w:hAnsi="Calibri"/>
          <w:i/>
          <w:iCs/>
          <w:noProof/>
          <w:sz w:val="22"/>
        </w:rPr>
        <w:t>et al.</w:t>
      </w:r>
      <w:r w:rsidRPr="004B4D95">
        <w:rPr>
          <w:rFonts w:ascii="Calibri" w:hAnsi="Calibri"/>
          <w:noProof/>
          <w:sz w:val="22"/>
        </w:rPr>
        <w:t xml:space="preserve"> Echocardiography in newly diagnosed atrial fibrillation patients: a systematic review and economic evaluation. 2012. </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11 </w:t>
      </w:r>
      <w:r w:rsidRPr="004B4D95">
        <w:rPr>
          <w:rFonts w:ascii="Calibri" w:hAnsi="Calibri"/>
          <w:noProof/>
          <w:sz w:val="22"/>
        </w:rPr>
        <w:tab/>
        <w:t xml:space="preserve">PVS TM-STF on. Medical aspects of the persistent vegetative state: second of two parts. </w:t>
      </w:r>
      <w:r w:rsidRPr="004B4D95">
        <w:rPr>
          <w:rFonts w:ascii="Calibri" w:hAnsi="Calibri"/>
          <w:i/>
          <w:iCs/>
          <w:noProof/>
          <w:sz w:val="22"/>
        </w:rPr>
        <w:t>The New England Journal of Medicine</w:t>
      </w:r>
      <w:r w:rsidRPr="004B4D95">
        <w:rPr>
          <w:rFonts w:ascii="Calibri" w:hAnsi="Calibri"/>
          <w:noProof/>
          <w:sz w:val="22"/>
        </w:rPr>
        <w:t xml:space="preserve"> 1994;</w:t>
      </w:r>
      <w:r w:rsidRPr="004B4D95">
        <w:rPr>
          <w:rFonts w:ascii="Calibri" w:hAnsi="Calibri"/>
          <w:b/>
          <w:bCs/>
          <w:noProof/>
          <w:sz w:val="22"/>
        </w:rPr>
        <w:t>330</w:t>
      </w:r>
      <w:r w:rsidRPr="004B4D95">
        <w:rPr>
          <w:rFonts w:ascii="Calibri" w:hAnsi="Calibri"/>
          <w:noProof/>
          <w:sz w:val="22"/>
        </w:rPr>
        <w:t>.http://www.nejm.org/doi/full/10.1056/NEJM199406023302206</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12 </w:t>
      </w:r>
      <w:r w:rsidRPr="004B4D95">
        <w:rPr>
          <w:rFonts w:ascii="Calibri" w:hAnsi="Calibri"/>
          <w:noProof/>
          <w:sz w:val="22"/>
        </w:rPr>
        <w:tab/>
        <w:t xml:space="preserve">Eikelboom JW, Wallentin L, Connolly SJ, </w:t>
      </w:r>
      <w:r w:rsidRPr="004B4D95">
        <w:rPr>
          <w:rFonts w:ascii="Calibri" w:hAnsi="Calibri"/>
          <w:i/>
          <w:iCs/>
          <w:noProof/>
          <w:sz w:val="22"/>
        </w:rPr>
        <w:t>et al.</w:t>
      </w:r>
      <w:r w:rsidRPr="004B4D95">
        <w:rPr>
          <w:rFonts w:ascii="Calibri" w:hAnsi="Calibri"/>
          <w:noProof/>
          <w:sz w:val="22"/>
        </w:rPr>
        <w:t xml:space="preserve"> Risk of bleeding with 2 doses of dabigatran compared with warfarin in older and younger patients with atrial fibrillation: an analysis of </w:t>
      </w:r>
      <w:r w:rsidRPr="004B4D95">
        <w:rPr>
          <w:rFonts w:ascii="Calibri" w:hAnsi="Calibri"/>
          <w:noProof/>
          <w:sz w:val="22"/>
        </w:rPr>
        <w:lastRenderedPageBreak/>
        <w:t xml:space="preserve">the randomized evaluation of long-term anticoagulant therapy (RE-LY) trial. </w:t>
      </w:r>
      <w:r w:rsidRPr="004B4D95">
        <w:rPr>
          <w:rFonts w:ascii="Calibri" w:hAnsi="Calibri"/>
          <w:i/>
          <w:iCs/>
          <w:noProof/>
          <w:sz w:val="22"/>
        </w:rPr>
        <w:t>Circulation</w:t>
      </w:r>
      <w:r w:rsidRPr="004B4D95">
        <w:rPr>
          <w:rFonts w:ascii="Calibri" w:hAnsi="Calibri"/>
          <w:noProof/>
          <w:sz w:val="22"/>
        </w:rPr>
        <w:t xml:space="preserve"> 2011;</w:t>
      </w:r>
      <w:r w:rsidRPr="004B4D95">
        <w:rPr>
          <w:rFonts w:ascii="Calibri" w:hAnsi="Calibri"/>
          <w:b/>
          <w:bCs/>
          <w:noProof/>
          <w:sz w:val="22"/>
        </w:rPr>
        <w:t>123</w:t>
      </w:r>
      <w:r w:rsidRPr="004B4D95">
        <w:rPr>
          <w:rFonts w:ascii="Calibri" w:hAnsi="Calibri"/>
          <w:noProof/>
          <w:sz w:val="22"/>
        </w:rPr>
        <w:t>:2363–72.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13 </w:t>
      </w:r>
      <w:r w:rsidRPr="004B4D95">
        <w:rPr>
          <w:rFonts w:ascii="Calibri" w:hAnsi="Calibri"/>
          <w:noProof/>
          <w:sz w:val="22"/>
        </w:rPr>
        <w:tab/>
        <w:t>NICE. Guide to the methods of technology appraisal. 2008.http://www.nice.org.uk/media/B52/A7/TAMethodsGuideUpdatedJune2008.pdf</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14 </w:t>
      </w:r>
      <w:r w:rsidRPr="004B4D95">
        <w:rPr>
          <w:rFonts w:ascii="Calibri" w:hAnsi="Calibri"/>
          <w:noProof/>
          <w:sz w:val="22"/>
        </w:rPr>
        <w:tab/>
        <w:t xml:space="preserve">Lip GY, Nieuwlaat R, Pisters R, </w:t>
      </w:r>
      <w:r w:rsidRPr="004B4D95">
        <w:rPr>
          <w:rFonts w:ascii="Calibri" w:hAnsi="Calibri"/>
          <w:i/>
          <w:iCs/>
          <w:noProof/>
          <w:sz w:val="22"/>
        </w:rPr>
        <w:t>et al.</w:t>
      </w:r>
      <w:r w:rsidRPr="004B4D95">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4B4D95">
        <w:rPr>
          <w:rFonts w:ascii="Calibri" w:hAnsi="Calibri"/>
          <w:i/>
          <w:iCs/>
          <w:noProof/>
          <w:sz w:val="22"/>
        </w:rPr>
        <w:t>Chest</w:t>
      </w:r>
      <w:r w:rsidRPr="004B4D95">
        <w:rPr>
          <w:rFonts w:ascii="Calibri" w:hAnsi="Calibri"/>
          <w:noProof/>
          <w:sz w:val="22"/>
        </w:rPr>
        <w:t xml:space="preserve"> 2010;</w:t>
      </w:r>
      <w:r w:rsidRPr="004B4D95">
        <w:rPr>
          <w:rFonts w:ascii="Calibri" w:hAnsi="Calibri"/>
          <w:b/>
          <w:bCs/>
          <w:noProof/>
          <w:sz w:val="22"/>
        </w:rPr>
        <w:t>137</w:t>
      </w:r>
      <w:r w:rsidRPr="004B4D95">
        <w:rPr>
          <w:rFonts w:ascii="Calibri" w:hAnsi="Calibri"/>
          <w:noProof/>
          <w:sz w:val="22"/>
        </w:rPr>
        <w:t>:263–72.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15 </w:t>
      </w:r>
      <w:r w:rsidRPr="004B4D95">
        <w:rPr>
          <w:rFonts w:ascii="Calibri" w:hAnsi="Calibri"/>
          <w:noProof/>
          <w:sz w:val="22"/>
        </w:rPr>
        <w:tab/>
        <w:t xml:space="preserve">Olesen JB, Lip GYH, Hansen ML, </w:t>
      </w:r>
      <w:r w:rsidRPr="004B4D95">
        <w:rPr>
          <w:rFonts w:ascii="Calibri" w:hAnsi="Calibri"/>
          <w:i/>
          <w:iCs/>
          <w:noProof/>
          <w:sz w:val="22"/>
        </w:rPr>
        <w:t>et al.</w:t>
      </w:r>
      <w:r w:rsidRPr="004B4D95">
        <w:rPr>
          <w:rFonts w:ascii="Calibri" w:hAnsi="Calibri"/>
          <w:noProof/>
          <w:sz w:val="22"/>
        </w:rPr>
        <w:t xml:space="preserve"> Validation of risk stratification schemes for predicting stroke and thromboembolism in patients with atrial fibrillation: nationwide cohort study. </w:t>
      </w:r>
      <w:r w:rsidRPr="004B4D95">
        <w:rPr>
          <w:rFonts w:ascii="Calibri" w:hAnsi="Calibri"/>
          <w:i/>
          <w:iCs/>
          <w:noProof/>
          <w:sz w:val="22"/>
        </w:rPr>
        <w:t>BMJ</w:t>
      </w:r>
      <w:r w:rsidRPr="004B4D95">
        <w:rPr>
          <w:rFonts w:ascii="Calibri" w:hAnsi="Calibri"/>
          <w:noProof/>
          <w:sz w:val="22"/>
        </w:rPr>
        <w:t xml:space="preserve"> 2011;</w:t>
      </w:r>
      <w:r w:rsidRPr="004B4D95">
        <w:rPr>
          <w:rFonts w:ascii="Calibri" w:hAnsi="Calibri"/>
          <w:b/>
          <w:bCs/>
          <w:noProof/>
          <w:sz w:val="22"/>
        </w:rPr>
        <w:t>342</w:t>
      </w:r>
      <w:r w:rsidRPr="004B4D95">
        <w:rPr>
          <w:rFonts w:ascii="Calibri" w:hAnsi="Calibri"/>
          <w:noProof/>
          <w:sz w:val="22"/>
        </w:rPr>
        <w:t>:d124–d124.</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16 </w:t>
      </w:r>
      <w:r w:rsidRPr="004B4D95">
        <w:rPr>
          <w:rFonts w:ascii="Calibri" w:hAnsi="Calibri"/>
          <w:noProof/>
          <w:sz w:val="22"/>
        </w:rPr>
        <w:tab/>
        <w:t>ONS. Interim Life Tables. 2011;</w:t>
      </w:r>
      <w:r w:rsidRPr="004B4D95">
        <w:rPr>
          <w:rFonts w:ascii="Calibri" w:hAnsi="Calibri"/>
          <w:b/>
          <w:bCs/>
          <w:noProof/>
          <w:sz w:val="22"/>
        </w:rPr>
        <w:t>2012</w:t>
      </w:r>
      <w:r w:rsidRPr="004B4D95">
        <w:rPr>
          <w:rFonts w:ascii="Calibri" w:hAnsi="Calibri"/>
          <w:noProof/>
          <w:sz w:val="22"/>
        </w:rPr>
        <w:t>.http://www.ons.gov.uk/ons/taxonomy/index.html?nscl=Interim+Life+Tables</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17 </w:t>
      </w:r>
      <w:r w:rsidRPr="004B4D95">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4B4D95">
        <w:rPr>
          <w:rFonts w:ascii="Calibri" w:hAnsi="Calibri"/>
          <w:i/>
          <w:iCs/>
          <w:noProof/>
          <w:sz w:val="22"/>
        </w:rPr>
        <w:t>European heart journal</w:t>
      </w:r>
      <w:r w:rsidRPr="004B4D95">
        <w:rPr>
          <w:rFonts w:ascii="Calibri" w:hAnsi="Calibri"/>
          <w:noProof/>
          <w:sz w:val="22"/>
        </w:rPr>
        <w:t xml:space="preserve"> Published Online First: 13 January 2012. doi:10.1093/eurheartj/ehr488</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18 </w:t>
      </w:r>
      <w:r w:rsidRPr="004B4D95">
        <w:rPr>
          <w:rFonts w:ascii="Calibri" w:hAnsi="Calibri"/>
          <w:noProof/>
          <w:sz w:val="22"/>
        </w:rPr>
        <w:tab/>
        <w:t xml:space="preserve">Connolly SJ, Ezekowitz MD, Yusuf S, </w:t>
      </w:r>
      <w:r w:rsidRPr="004B4D95">
        <w:rPr>
          <w:rFonts w:ascii="Calibri" w:hAnsi="Calibri"/>
          <w:i/>
          <w:iCs/>
          <w:noProof/>
          <w:sz w:val="22"/>
        </w:rPr>
        <w:t>et al.</w:t>
      </w:r>
      <w:r w:rsidRPr="004B4D95">
        <w:rPr>
          <w:rFonts w:ascii="Calibri" w:hAnsi="Calibri"/>
          <w:noProof/>
          <w:sz w:val="22"/>
        </w:rPr>
        <w:t xml:space="preserve"> Dabigatran versus warfarin in patients with atrial fibrillation. </w:t>
      </w:r>
      <w:r w:rsidRPr="004B4D95">
        <w:rPr>
          <w:rFonts w:ascii="Calibri" w:hAnsi="Calibri"/>
          <w:i/>
          <w:iCs/>
          <w:noProof/>
          <w:sz w:val="22"/>
        </w:rPr>
        <w:t>N Engl J Med</w:t>
      </w:r>
      <w:r w:rsidRPr="004B4D95">
        <w:rPr>
          <w:rFonts w:ascii="Calibri" w:hAnsi="Calibri"/>
          <w:noProof/>
          <w:sz w:val="22"/>
        </w:rPr>
        <w:t xml:space="preserve"> 2009;</w:t>
      </w:r>
      <w:r w:rsidRPr="004B4D95">
        <w:rPr>
          <w:rFonts w:ascii="Calibri" w:hAnsi="Calibri"/>
          <w:b/>
          <w:bCs/>
          <w:noProof/>
          <w:sz w:val="22"/>
        </w:rPr>
        <w:t>361</w:t>
      </w:r>
      <w:r w:rsidRPr="004B4D95">
        <w:rPr>
          <w:rFonts w:ascii="Calibri" w:hAnsi="Calibri"/>
          <w:noProof/>
          <w:sz w:val="22"/>
        </w:rPr>
        <w:t>:1139–51.</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19 </w:t>
      </w:r>
      <w:r w:rsidRPr="004B4D95">
        <w:rPr>
          <w:rFonts w:ascii="Calibri" w:hAnsi="Calibri"/>
          <w:noProof/>
          <w:sz w:val="22"/>
        </w:rPr>
        <w:tab/>
        <w:t xml:space="preserve">Lip GYH, Edwards SJ. Stroke prevention with aspirin, warfarin and ximelagatran in patients with non-valvular atrial fibrillation: a systematic review and meta-analysis. </w:t>
      </w:r>
      <w:r w:rsidRPr="004B4D95">
        <w:rPr>
          <w:rFonts w:ascii="Calibri" w:hAnsi="Calibri"/>
          <w:i/>
          <w:iCs/>
          <w:noProof/>
          <w:sz w:val="22"/>
        </w:rPr>
        <w:t>Thrombosis research</w:t>
      </w:r>
      <w:r w:rsidRPr="004B4D95">
        <w:rPr>
          <w:rFonts w:ascii="Calibri" w:hAnsi="Calibri"/>
          <w:noProof/>
          <w:sz w:val="22"/>
        </w:rPr>
        <w:t xml:space="preserve"> 2006;</w:t>
      </w:r>
      <w:r w:rsidRPr="004B4D95">
        <w:rPr>
          <w:rFonts w:ascii="Calibri" w:hAnsi="Calibri"/>
          <w:b/>
          <w:bCs/>
          <w:noProof/>
          <w:sz w:val="22"/>
        </w:rPr>
        <w:t>118</w:t>
      </w:r>
      <w:r w:rsidRPr="004B4D95">
        <w:rPr>
          <w:rFonts w:ascii="Calibri" w:hAnsi="Calibri"/>
          <w:noProof/>
          <w:sz w:val="22"/>
        </w:rPr>
        <w:t>:321–33.</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20 </w:t>
      </w:r>
      <w:r w:rsidRPr="004B4D95">
        <w:rPr>
          <w:rFonts w:ascii="Calibri" w:hAnsi="Calibri"/>
          <w:noProof/>
          <w:sz w:val="22"/>
        </w:rPr>
        <w:tab/>
        <w:t xml:space="preserve">Patel MR, Mahaffey KW, Garg J, </w:t>
      </w:r>
      <w:r w:rsidRPr="004B4D95">
        <w:rPr>
          <w:rFonts w:ascii="Calibri" w:hAnsi="Calibri"/>
          <w:i/>
          <w:iCs/>
          <w:noProof/>
          <w:sz w:val="22"/>
        </w:rPr>
        <w:t>et al.</w:t>
      </w:r>
      <w:r w:rsidRPr="004B4D95">
        <w:rPr>
          <w:rFonts w:ascii="Calibri" w:hAnsi="Calibri"/>
          <w:noProof/>
          <w:sz w:val="22"/>
        </w:rPr>
        <w:t xml:space="preserve"> Rivaroxaban versus Warfarin in Nonvalvular Atrial Fibrillation. </w:t>
      </w:r>
      <w:r w:rsidRPr="004B4D95">
        <w:rPr>
          <w:rFonts w:ascii="Calibri" w:hAnsi="Calibri"/>
          <w:i/>
          <w:iCs/>
          <w:noProof/>
          <w:sz w:val="22"/>
        </w:rPr>
        <w:t>New England Journal of Medicine</w:t>
      </w:r>
      <w:r w:rsidRPr="004B4D95">
        <w:rPr>
          <w:rFonts w:ascii="Calibri" w:hAnsi="Calibri"/>
          <w:noProof/>
          <w:sz w:val="22"/>
        </w:rPr>
        <w:t xml:space="preserve"> 2011;</w:t>
      </w:r>
      <w:r w:rsidRPr="004B4D95">
        <w:rPr>
          <w:rFonts w:ascii="Calibri" w:hAnsi="Calibri"/>
          <w:b/>
          <w:bCs/>
          <w:noProof/>
          <w:sz w:val="22"/>
        </w:rPr>
        <w:t>365</w:t>
      </w:r>
      <w:r w:rsidRPr="004B4D95">
        <w:rPr>
          <w:rFonts w:ascii="Calibri" w:hAnsi="Calibri"/>
          <w:noProof/>
          <w:sz w:val="22"/>
        </w:rPr>
        <w:t>:883–91.</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21 </w:t>
      </w:r>
      <w:r w:rsidRPr="004B4D95">
        <w:rPr>
          <w:rFonts w:ascii="Calibri" w:hAnsi="Calibri"/>
          <w:noProof/>
          <w:sz w:val="22"/>
        </w:rPr>
        <w:tab/>
        <w:t xml:space="preserve">Rivero-Arias O, Ouellet M, Gray A, </w:t>
      </w:r>
      <w:r w:rsidRPr="004B4D95">
        <w:rPr>
          <w:rFonts w:ascii="Calibri" w:hAnsi="Calibri"/>
          <w:i/>
          <w:iCs/>
          <w:noProof/>
          <w:sz w:val="22"/>
        </w:rPr>
        <w:t>et al.</w:t>
      </w:r>
      <w:r w:rsidRPr="004B4D95">
        <w:rPr>
          <w:rFonts w:ascii="Calibri" w:hAnsi="Calibri"/>
          <w:noProof/>
          <w:sz w:val="22"/>
        </w:rPr>
        <w:t xml:space="preserve"> Mapping the Modified Rankin Scale (mRS) Measurement into the Generic EuroQol (EQ-5D) Health Outcome. </w:t>
      </w:r>
      <w:r w:rsidRPr="004B4D95">
        <w:rPr>
          <w:rFonts w:ascii="Calibri" w:hAnsi="Calibri"/>
          <w:i/>
          <w:iCs/>
          <w:noProof/>
          <w:sz w:val="22"/>
        </w:rPr>
        <w:t>Medical Decision Making</w:t>
      </w:r>
      <w:r w:rsidRPr="004B4D95">
        <w:rPr>
          <w:rFonts w:ascii="Calibri" w:hAnsi="Calibri"/>
          <w:noProof/>
          <w:sz w:val="22"/>
        </w:rPr>
        <w:t xml:space="preserve"> 2010;</w:t>
      </w:r>
      <w:r w:rsidRPr="004B4D95">
        <w:rPr>
          <w:rFonts w:ascii="Calibri" w:hAnsi="Calibri"/>
          <w:b/>
          <w:bCs/>
          <w:noProof/>
          <w:sz w:val="22"/>
        </w:rPr>
        <w:t>30</w:t>
      </w:r>
      <w:r w:rsidRPr="004B4D95">
        <w:rPr>
          <w:rFonts w:ascii="Calibri" w:hAnsi="Calibri"/>
          <w:noProof/>
          <w:sz w:val="22"/>
        </w:rPr>
        <w:t>:341–54.</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22 </w:t>
      </w:r>
      <w:r w:rsidRPr="004B4D95">
        <w:rPr>
          <w:rFonts w:ascii="Calibri" w:hAnsi="Calibri"/>
          <w:noProof/>
          <w:sz w:val="22"/>
        </w:rPr>
        <w:tab/>
        <w:t xml:space="preserve">Simpson EL, Stevenson MD, Rawdin A, </w:t>
      </w:r>
      <w:r w:rsidRPr="004B4D95">
        <w:rPr>
          <w:rFonts w:ascii="Calibri" w:hAnsi="Calibri"/>
          <w:i/>
          <w:iCs/>
          <w:noProof/>
          <w:sz w:val="22"/>
        </w:rPr>
        <w:t>et al.</w:t>
      </w:r>
      <w:r w:rsidRPr="004B4D95">
        <w:rPr>
          <w:rFonts w:ascii="Calibri" w:hAnsi="Calibri"/>
          <w:noProof/>
          <w:sz w:val="22"/>
        </w:rPr>
        <w:t xml:space="preserve"> Thrombophilia testing in people with venous thromboembolism: systematic review and cost-effectiveness analysis. </w:t>
      </w:r>
      <w:r w:rsidRPr="004B4D95">
        <w:rPr>
          <w:rFonts w:ascii="Calibri" w:hAnsi="Calibri"/>
          <w:i/>
          <w:iCs/>
          <w:noProof/>
          <w:sz w:val="22"/>
        </w:rPr>
        <w:t>Health Technology Assessment</w:t>
      </w:r>
      <w:r w:rsidRPr="004B4D95">
        <w:rPr>
          <w:rFonts w:ascii="Calibri" w:hAnsi="Calibri"/>
          <w:noProof/>
          <w:sz w:val="22"/>
        </w:rPr>
        <w:t xml:space="preserve"> 2009;</w:t>
      </w:r>
      <w:r w:rsidRPr="004B4D95">
        <w:rPr>
          <w:rFonts w:ascii="Calibri" w:hAnsi="Calibri"/>
          <w:b/>
          <w:bCs/>
          <w:noProof/>
          <w:sz w:val="22"/>
        </w:rPr>
        <w:t>13</w:t>
      </w:r>
      <w:r w:rsidRPr="004B4D95">
        <w:rPr>
          <w:rFonts w:ascii="Calibri" w:hAnsi="Calibri"/>
          <w:noProof/>
          <w:sz w:val="22"/>
        </w:rPr>
        <w:t>. doi:10.3310/hta13020</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23 </w:t>
      </w:r>
      <w:r w:rsidRPr="004B4D95">
        <w:rPr>
          <w:rFonts w:ascii="Calibri" w:hAnsi="Calibri"/>
          <w:noProof/>
          <w:sz w:val="22"/>
        </w:rPr>
        <w:tab/>
        <w:t xml:space="preserve">Ara R, Brazier JE. Populating an economic model with health state utility values: moving toward better practice. </w:t>
      </w:r>
      <w:r w:rsidRPr="004B4D95">
        <w:rPr>
          <w:rFonts w:ascii="Calibri" w:hAnsi="Calibri"/>
          <w:i/>
          <w:iCs/>
          <w:noProof/>
          <w:sz w:val="22"/>
        </w:rPr>
        <w:t>Value in health : the journal of the International Society for Pharmacoeconomics and Outcomes Research</w:t>
      </w:r>
      <w:r w:rsidRPr="004B4D95">
        <w:rPr>
          <w:rFonts w:ascii="Calibri" w:hAnsi="Calibri"/>
          <w:noProof/>
          <w:sz w:val="22"/>
        </w:rPr>
        <w:t xml:space="preserve"> 2010;</w:t>
      </w:r>
      <w:r w:rsidRPr="004B4D95">
        <w:rPr>
          <w:rFonts w:ascii="Calibri" w:hAnsi="Calibri"/>
          <w:b/>
          <w:bCs/>
          <w:noProof/>
          <w:sz w:val="22"/>
        </w:rPr>
        <w:t>13</w:t>
      </w:r>
      <w:r w:rsidRPr="004B4D95">
        <w:rPr>
          <w:rFonts w:ascii="Calibri" w:hAnsi="Calibri"/>
          <w:noProof/>
          <w:sz w:val="22"/>
        </w:rPr>
        <w:t>:509–18.</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24 </w:t>
      </w:r>
      <w:r w:rsidRPr="004B4D95">
        <w:rPr>
          <w:rFonts w:ascii="Calibri" w:hAnsi="Calibri"/>
          <w:noProof/>
          <w:sz w:val="22"/>
        </w:rPr>
        <w:tab/>
        <w:t>NICE. Dabigatran etexilate for the prevention of stroke and systemic embolism in atrial fibrillation: Final appraisal determination. 2011;</w:t>
      </w:r>
      <w:r w:rsidRPr="004B4D95">
        <w:rPr>
          <w:rFonts w:ascii="Calibri" w:hAnsi="Calibri"/>
          <w:b/>
          <w:bCs/>
          <w:noProof/>
          <w:sz w:val="22"/>
        </w:rPr>
        <w:t>2012</w:t>
      </w:r>
      <w:r w:rsidRPr="004B4D95">
        <w:rPr>
          <w:rFonts w:ascii="Calibri" w:hAnsi="Calibri"/>
          <w:noProof/>
          <w:sz w:val="22"/>
        </w:rPr>
        <w:t>.http://www.nice.org.uk/nicemedia/live/12225/56899/56899.pdf</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25 </w:t>
      </w:r>
      <w:r w:rsidRPr="004B4D95">
        <w:rPr>
          <w:rFonts w:ascii="Calibri" w:hAnsi="Calibri"/>
          <w:noProof/>
          <w:sz w:val="22"/>
        </w:rPr>
        <w:tab/>
        <w:t>Group LND. A briefing paper on Dabigatran and Rivaroxaban: What we know so far... 2012;</w:t>
      </w:r>
      <w:r w:rsidRPr="004B4D95">
        <w:rPr>
          <w:rFonts w:ascii="Calibri" w:hAnsi="Calibri"/>
          <w:b/>
          <w:bCs/>
          <w:noProof/>
          <w:sz w:val="22"/>
        </w:rPr>
        <w:t>2012</w:t>
      </w:r>
      <w:r w:rsidRPr="004B4D95">
        <w:rPr>
          <w:rFonts w:ascii="Calibri" w:hAnsi="Calibri"/>
          <w:noProof/>
          <w:sz w:val="22"/>
        </w:rPr>
        <w:t>.http://www.nelm.nhs.uk/en/NeLM-Area/Evidence/Drug-Specific-Reviews/A-briefing-paper-on-dabigatran-and-rivaroxaban/</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lastRenderedPageBreak/>
        <w:t xml:space="preserve">26 </w:t>
      </w:r>
      <w:r w:rsidRPr="004B4D95">
        <w:rPr>
          <w:rFonts w:ascii="Calibri" w:hAnsi="Calibri"/>
          <w:noProof/>
          <w:sz w:val="22"/>
        </w:rPr>
        <w:tab/>
        <w:t>BNF. Warfarin. 2011;</w:t>
      </w:r>
      <w:r w:rsidRPr="004B4D95">
        <w:rPr>
          <w:rFonts w:ascii="Calibri" w:hAnsi="Calibri"/>
          <w:b/>
          <w:bCs/>
          <w:noProof/>
          <w:sz w:val="22"/>
        </w:rPr>
        <w:t>2012</w:t>
      </w:r>
      <w:r w:rsidRPr="004B4D95">
        <w:rPr>
          <w:rFonts w:ascii="Calibri" w:hAnsi="Calibri"/>
          <w:noProof/>
          <w:sz w:val="22"/>
        </w:rPr>
        <w:t>.https://mail.google.com/mail/u/1/#inbox/134f06255f3f63de</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27 </w:t>
      </w:r>
      <w:r w:rsidRPr="004B4D95">
        <w:rPr>
          <w:rFonts w:ascii="Calibri" w:hAnsi="Calibri"/>
          <w:noProof/>
          <w:sz w:val="22"/>
        </w:rPr>
        <w:tab/>
        <w:t>DoH. NHS Reference Costs 2009-2010. 2011;</w:t>
      </w:r>
      <w:r w:rsidRPr="004B4D95">
        <w:rPr>
          <w:rFonts w:ascii="Calibri" w:hAnsi="Calibri"/>
          <w:b/>
          <w:bCs/>
          <w:noProof/>
          <w:sz w:val="22"/>
        </w:rPr>
        <w:t>2012</w:t>
      </w:r>
      <w:r w:rsidRPr="004B4D95">
        <w:rPr>
          <w:rFonts w:ascii="Calibri" w:hAnsi="Calibri"/>
          <w:noProof/>
          <w:sz w:val="22"/>
        </w:rPr>
        <w:t>.http://www.dh.gov.uk/en/Publicationsandstatistics/Publications/PublicationsPolicyAndGuidance/DH_123459</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28 </w:t>
      </w:r>
      <w:r w:rsidRPr="004B4D95">
        <w:rPr>
          <w:rFonts w:ascii="Calibri" w:hAnsi="Calibri"/>
          <w:noProof/>
          <w:sz w:val="22"/>
        </w:rPr>
        <w:tab/>
        <w:t xml:space="preserve">Sandercock P, Berge E, Dennis M, </w:t>
      </w:r>
      <w:r w:rsidRPr="004B4D95">
        <w:rPr>
          <w:rFonts w:ascii="Calibri" w:hAnsi="Calibri"/>
          <w:i/>
          <w:iCs/>
          <w:noProof/>
          <w:sz w:val="22"/>
        </w:rPr>
        <w:t>et al.</w:t>
      </w:r>
      <w:r w:rsidRPr="004B4D95">
        <w:rPr>
          <w:rFonts w:ascii="Calibri" w:hAnsi="Calibri"/>
          <w:noProof/>
          <w:sz w:val="22"/>
        </w:rPr>
        <w:t xml:space="preserve"> A systematic review of the effectiveness, cost-effectiveness and barriers to implementation of thrombolytic and neuroprotective therapy for acute ischaemic stroke in the NHS. </w:t>
      </w:r>
      <w:r w:rsidRPr="004B4D95">
        <w:rPr>
          <w:rFonts w:ascii="Calibri" w:hAnsi="Calibri"/>
          <w:i/>
          <w:iCs/>
          <w:noProof/>
          <w:sz w:val="22"/>
        </w:rPr>
        <w:t>Health Technology Assessment</w:t>
      </w:r>
      <w:r w:rsidRPr="004B4D95">
        <w:rPr>
          <w:rFonts w:ascii="Calibri" w:hAnsi="Calibri"/>
          <w:noProof/>
          <w:sz w:val="22"/>
        </w:rPr>
        <w:t xml:space="preserve"> 2002;</w:t>
      </w:r>
      <w:r w:rsidRPr="004B4D95">
        <w:rPr>
          <w:rFonts w:ascii="Calibri" w:hAnsi="Calibri"/>
          <w:b/>
          <w:bCs/>
          <w:noProof/>
          <w:sz w:val="22"/>
        </w:rPr>
        <w:t>6</w:t>
      </w:r>
      <w:r w:rsidRPr="004B4D95">
        <w:rPr>
          <w:rFonts w:ascii="Calibri" w:hAnsi="Calibri"/>
          <w:noProof/>
          <w:sz w:val="22"/>
        </w:rPr>
        <w:t>.</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29 </w:t>
      </w:r>
      <w:r w:rsidRPr="004B4D95">
        <w:rPr>
          <w:rFonts w:ascii="Calibri" w:hAnsi="Calibri"/>
          <w:noProof/>
          <w:sz w:val="22"/>
        </w:rPr>
        <w:tab/>
        <w:t>NHS. National Stroke Strategy Impact Assessment. 2007;</w:t>
      </w:r>
      <w:r w:rsidRPr="004B4D95">
        <w:rPr>
          <w:rFonts w:ascii="Calibri" w:hAnsi="Calibri"/>
          <w:b/>
          <w:bCs/>
          <w:noProof/>
          <w:sz w:val="22"/>
        </w:rPr>
        <w:t>2012</w:t>
      </w:r>
      <w:r w:rsidRPr="004B4D95">
        <w:rPr>
          <w:rFonts w:ascii="Calibri" w:hAnsi="Calibri"/>
          <w:noProof/>
          <w:sz w:val="22"/>
        </w:rPr>
        <w:t>.http://www.dh.gov.uk/</w:t>
      </w:r>
      <w:bookmarkStart w:id="4" w:name="_GoBack"/>
      <w:bookmarkEnd w:id="4"/>
      <w:r w:rsidRPr="004B4D95">
        <w:rPr>
          <w:rFonts w:ascii="Calibri" w:hAnsi="Calibri"/>
          <w:noProof/>
          <w:sz w:val="22"/>
        </w:rPr>
        <w:t>prod_consum_dh/groups/dh_digitalassets/documents/digitalasset/dh_081054.pdf</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30 </w:t>
      </w:r>
      <w:r w:rsidRPr="004B4D95">
        <w:rPr>
          <w:rFonts w:ascii="Calibri" w:hAnsi="Calibri"/>
          <w:noProof/>
          <w:sz w:val="22"/>
        </w:rPr>
        <w:tab/>
        <w:t xml:space="preserve">Curtis L. Unit Costs of Health and Social Care 2010. Kent: 2010. </w:t>
      </w:r>
    </w:p>
    <w:commentRangeEnd w:id="3"/>
    <w:p w:rsidR="00834F71" w:rsidRPr="00532F44" w:rsidRDefault="008E6143" w:rsidP="004B4D95">
      <w:pPr>
        <w:pStyle w:val="NormalWeb"/>
        <w:ind w:left="640" w:hanging="640"/>
        <w:divId w:val="258760943"/>
      </w:pPr>
      <w:r>
        <w:rPr>
          <w:rStyle w:val="CommentReference"/>
          <w:rFonts w:eastAsia="Times New Roman"/>
        </w:rPr>
        <w:commentReference w:id="3"/>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5825AA1F" wp14:editId="37FC424D">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5" w:name="_Ref321241706"/>
      <w:r w:rsidRPr="00532F44">
        <w:rPr>
          <w:color w:val="auto"/>
        </w:rPr>
        <w:t xml:space="preserve">Figure </w:t>
      </w:r>
      <w:r w:rsidR="0046051B">
        <w:rPr>
          <w:noProof/>
          <w:color w:val="auto"/>
        </w:rPr>
        <w:t>1</w:t>
      </w:r>
      <w:bookmarkEnd w:id="5"/>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6" w:name="_Ref321227101"/>
      <w:r w:rsidRPr="00532F44">
        <w:rPr>
          <w:color w:val="auto"/>
        </w:rPr>
        <w:t xml:space="preserve">Table </w:t>
      </w:r>
      <w:r w:rsidR="0046051B">
        <w:rPr>
          <w:noProof/>
          <w:color w:val="auto"/>
        </w:rPr>
        <w:t>1</w:t>
      </w:r>
      <w:bookmarkEnd w:id="6"/>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4B4D95" w:rsidRPr="004B4D95">
              <w:rPr>
                <w:noProof/>
              </w:rPr>
              <w:t>[16]</w:t>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354D59" w:rsidRPr="00354D59">
              <w:rPr>
                <w:noProof/>
              </w:rPr>
              <w:t>[6]</w:t>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354D59" w:rsidRPr="00354D59">
              <w:rPr>
                <w:noProof/>
              </w:rPr>
              <w:t>[6]</w:t>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4B4D95" w:rsidRPr="004B4D95">
              <w:rPr>
                <w:noProof/>
              </w:rPr>
              <w:t>[17]</w:t>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4B4D95" w:rsidRPr="004B4D95">
              <w:rPr>
                <w:noProof/>
              </w:rPr>
              <w:t>[18]</w:t>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4B4D95" w:rsidRPr="004B4D95">
              <w:rPr>
                <w:noProof/>
              </w:rPr>
              <w:t>[19]</w:t>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354D59" w:rsidRPr="00354D59">
              <w:rPr>
                <w:noProof/>
              </w:rPr>
              <w:t>[12]</w:t>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354D59" w:rsidRPr="00354D59">
              <w:rPr>
                <w:noProof/>
              </w:rPr>
              <w:t>[12]</w:t>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004B4D95" w:rsidRPr="004B4D95">
              <w:rPr>
                <w:noProof/>
              </w:rPr>
              <w:t>[19]</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354D59">
              <w:rPr>
                <w:noProof/>
              </w:rPr>
              <w:t>[12]</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004B4D95" w:rsidRPr="004B4D95">
              <w:rPr>
                <w:noProof/>
              </w:rPr>
              <w:t>[19]</w:t>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rsidR="004B4D95" w:rsidRPr="004B4D95">
              <w:rPr>
                <w:noProof/>
              </w:rPr>
              <w:t>[20]</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r w:rsidR="004B4D95">
              <w:t xml:space="preserve"> </w:t>
            </w:r>
            <w:r w:rsidR="004B4D95" w:rsidRPr="004B4D95">
              <w:rPr>
                <w:noProof/>
              </w:rPr>
              <w:t>[20]</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004B4D95" w:rsidRPr="004B4D95">
              <w:rPr>
                <w:noProof/>
              </w:rPr>
              <w:t>[21]</w:t>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004B4D95" w:rsidRPr="004B4D95">
              <w:rPr>
                <w:noProof/>
              </w:rPr>
              <w:t>[22]</w:t>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004B4D95" w:rsidRPr="004B4D95">
              <w:rPr>
                <w:noProof/>
              </w:rPr>
              <w:t>[23]</w:t>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004B4D95" w:rsidRPr="004B4D95">
              <w:rPr>
                <w:noProof/>
              </w:rPr>
              <w:t>[21]</w:t>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004B4D95" w:rsidRPr="004B4D95">
              <w:rPr>
                <w:noProof/>
              </w:rPr>
              <w:t>[24]</w:t>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rsidR="004B4D95" w:rsidRPr="004B4D95">
              <w:rPr>
                <w:noProof/>
              </w:rPr>
              <w:t>[25]</w:t>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rsidR="004B4D95" w:rsidRPr="004B4D95">
              <w:rPr>
                <w:noProof/>
              </w:rPr>
              <w:t>[26]</w:t>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rsidR="004B4D95" w:rsidRPr="004B4D95">
              <w:rPr>
                <w:noProof/>
              </w:rPr>
              <w:t>[27]</w:t>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004B4D95" w:rsidRPr="004B4D95">
              <w:rPr>
                <w:noProof/>
              </w:rPr>
              <w:t>[28]</w:t>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004B4D95" w:rsidRPr="004B4D95">
              <w:rPr>
                <w:noProof/>
              </w:rPr>
              <w:t>[27]</w:t>
            </w:r>
          </w:p>
          <w:p w:rsidR="00F82325" w:rsidRPr="00532F44" w:rsidRDefault="00F82325" w:rsidP="00920A0B">
            <w:r w:rsidRPr="00532F44">
              <w:t xml:space="preserve">NHS Stroke Strategy Impact Assessment  </w:t>
            </w:r>
            <w:r w:rsidR="004B4D95" w:rsidRPr="004B4D95">
              <w:rPr>
                <w:noProof/>
              </w:rPr>
              <w:t>[29]</w:t>
            </w:r>
          </w:p>
          <w:p w:rsidR="00F82325" w:rsidRPr="00532F44" w:rsidRDefault="00F82325" w:rsidP="003225C4">
            <w:r w:rsidRPr="00532F44">
              <w:t xml:space="preserve">Unit Costs of Health and Social Care 2010 </w:t>
            </w:r>
            <w:r w:rsidR="004B4D95" w:rsidRPr="004B4D95">
              <w:rPr>
                <w:noProof/>
              </w:rPr>
              <w:t>[30]</w:t>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004B4D95" w:rsidRPr="004B4D95">
              <w:rPr>
                <w:noProof/>
              </w:rPr>
              <w:t>[27]</w:t>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7" w:name="_Ref321401422"/>
      <w:r w:rsidRPr="00532F44">
        <w:rPr>
          <w:color w:val="auto"/>
        </w:rPr>
        <w:lastRenderedPageBreak/>
        <w:t xml:space="preserve">Table </w:t>
      </w:r>
      <w:r w:rsidR="0046051B">
        <w:rPr>
          <w:noProof/>
          <w:color w:val="auto"/>
        </w:rPr>
        <w:t>2</w:t>
      </w:r>
      <w:bookmarkEnd w:id="7"/>
      <w:r w:rsidRPr="00532F44">
        <w:rPr>
          <w:color w:val="auto"/>
        </w:rPr>
        <w:t xml:space="preserve"> Parameters used in model</w:t>
      </w:r>
    </w:p>
    <w:p w:rsidR="00E5262E" w:rsidRPr="00532F44" w:rsidRDefault="00E5262E" w:rsidP="00E5262E">
      <w:pPr>
        <w:divId w:val="1548566716"/>
        <w:rPr>
          <w:lang w:val="en-GB"/>
        </w:rPr>
      </w:pPr>
    </w:p>
    <w:p w:rsidR="0055657D" w:rsidRPr="0031099C" w:rsidRDefault="0055657D">
      <w:pPr>
        <w:spacing w:line="276" w:lineRule="auto"/>
        <w:jc w:val="left"/>
        <w:rPr>
          <w:lang w:val="en-GB"/>
        </w:rPr>
      </w:pPr>
      <w:r w:rsidRPr="0031099C">
        <w:rPr>
          <w:lang w:val="en-GB"/>
        </w:rPr>
        <w:br w:type="page"/>
      </w:r>
    </w:p>
    <w:tbl>
      <w:tblPr>
        <w:tblStyle w:val="TableGrid"/>
        <w:tblW w:w="0" w:type="auto"/>
        <w:tblLook w:val="04A0" w:firstRow="1" w:lastRow="0" w:firstColumn="1" w:lastColumn="0" w:noHBand="0" w:noVBand="1"/>
      </w:tblPr>
      <w:tblGrid>
        <w:gridCol w:w="10111"/>
      </w:tblGrid>
      <w:tr w:rsidR="0046051B" w:rsidRPr="0031099C"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00576D">
              <w:tc>
                <w:tcPr>
                  <w:tcW w:w="1806"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bookmarkStart w:id="8" w:name="_Ref321238070"/>
                </w:p>
              </w:tc>
              <w:tc>
                <w:tcPr>
                  <w:tcW w:w="1133"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Average Number of Events</w:t>
                  </w:r>
                </w:p>
              </w:tc>
            </w:tr>
            <w:tr w:rsidR="0031099C" w:rsidRPr="0031099C" w:rsidTr="0000576D">
              <w:tc>
                <w:tcPr>
                  <w:tcW w:w="1806"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NICH</w:t>
                  </w:r>
                </w:p>
              </w:tc>
            </w:tr>
            <w:tr w:rsidR="0031099C" w:rsidRPr="0031099C" w:rsidTr="0000576D">
              <w:tc>
                <w:tcPr>
                  <w:tcW w:w="1806"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17.132</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0.052</w:t>
                  </w:r>
                </w:p>
              </w:tc>
            </w:tr>
            <w:tr w:rsidR="0031099C" w:rsidRPr="0031099C" w:rsidTr="0000576D">
              <w:tc>
                <w:tcPr>
                  <w:tcW w:w="1806"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keepNext/>
                    <w:jc w:val="right"/>
                    <w:rPr>
                      <w:rFonts w:ascii="Times New Roman" w:eastAsia="Times New Roman" w:hAnsi="Times New Roman"/>
                    </w:rPr>
                  </w:pPr>
                  <w:r w:rsidRPr="0031099C">
                    <w:t>0.079</w:t>
                  </w:r>
                </w:p>
              </w:tc>
            </w:tr>
          </w:tbl>
          <w:p w:rsidR="0046051B" w:rsidRPr="0031099C" w:rsidRDefault="0046051B" w:rsidP="0046051B">
            <w:pPr>
              <w:pStyle w:val="Caption"/>
              <w:rPr>
                <w:color w:val="auto"/>
              </w:rPr>
            </w:pPr>
          </w:p>
        </w:tc>
      </w:tr>
      <w:tr w:rsidR="0046051B" w:rsidRPr="0031099C" w:rsidTr="0046051B">
        <w:trPr>
          <w:divId w:val="1548566716"/>
        </w:trPr>
        <w:tc>
          <w:tcPr>
            <w:tcW w:w="10111" w:type="dxa"/>
          </w:tcPr>
          <w:p w:rsidR="0046051B" w:rsidRPr="0031099C" w:rsidRDefault="0046051B" w:rsidP="0046051B">
            <w:pPr>
              <w:pStyle w:val="ListParagraph"/>
              <w:numPr>
                <w:ilvl w:val="0"/>
                <w:numId w:val="19"/>
              </w:numPr>
              <w:spacing w:line="240" w:lineRule="auto"/>
              <w:jc w:val="left"/>
            </w:pPr>
            <w:commentRangeStart w:id="9"/>
            <w:r w:rsidRPr="0031099C">
              <w:t>warfarin</w:t>
            </w:r>
            <w:commentRangeEnd w:id="9"/>
            <w:r w:rsidRPr="0031099C">
              <w:rPr>
                <w:rStyle w:val="CommentReference"/>
              </w:rPr>
              <w:commentReference w:id="9"/>
            </w:r>
          </w:p>
        </w:tc>
      </w:tr>
      <w:tr w:rsidR="0046051B" w:rsidRPr="0031099C"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RPr="0031099C" w:rsidTr="0046051B">
              <w:tc>
                <w:tcPr>
                  <w:tcW w:w="1809"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Average Number of Events</w:t>
                  </w:r>
                </w:p>
              </w:tc>
            </w:tr>
            <w:tr w:rsidR="0046051B" w:rsidRPr="0031099C"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i/>
                    </w:rPr>
                  </w:pPr>
                  <w:r w:rsidRPr="0031099C">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NICH</w:t>
                  </w:r>
                </w:p>
              </w:tc>
            </w:tr>
            <w:tr w:rsidR="0046051B" w:rsidRPr="0031099C"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0.066</w:t>
                  </w:r>
                </w:p>
              </w:tc>
            </w:tr>
            <w:tr w:rsidR="0046051B" w:rsidRPr="0031099C"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0.096</w:t>
                  </w:r>
                </w:p>
              </w:tc>
            </w:tr>
          </w:tbl>
          <w:p w:rsidR="0046051B" w:rsidRPr="0031099C" w:rsidRDefault="0046051B" w:rsidP="0046051B"/>
        </w:tc>
      </w:tr>
      <w:tr w:rsidR="0046051B" w:rsidRPr="0031099C" w:rsidTr="0046051B">
        <w:trPr>
          <w:divId w:val="1548566716"/>
        </w:trPr>
        <w:tc>
          <w:tcPr>
            <w:tcW w:w="10111" w:type="dxa"/>
          </w:tcPr>
          <w:p w:rsidR="0046051B" w:rsidRPr="0031099C" w:rsidRDefault="0046051B" w:rsidP="0046051B">
            <w:pPr>
              <w:pStyle w:val="ListParagraph"/>
              <w:numPr>
                <w:ilvl w:val="0"/>
                <w:numId w:val="19"/>
              </w:numPr>
              <w:spacing w:line="240" w:lineRule="auto"/>
              <w:jc w:val="left"/>
            </w:pPr>
            <w:proofErr w:type="spellStart"/>
            <w:r w:rsidRPr="0031099C">
              <w:t>rivaroxaban</w:t>
            </w:r>
            <w:proofErr w:type="spellEnd"/>
          </w:p>
        </w:tc>
      </w:tr>
      <w:tr w:rsidR="0046051B" w:rsidRPr="0031099C" w:rsidTr="0046051B">
        <w:trPr>
          <w:divId w:val="1548566716"/>
        </w:trPr>
        <w:tc>
          <w:tcPr>
            <w:tcW w:w="10111" w:type="dxa"/>
          </w:tcPr>
          <w:tbl>
            <w:tblPr>
              <w:tblStyle w:val="TableGrid"/>
              <w:tblW w:w="9885" w:type="dxa"/>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31099C" w:rsidTr="0046051B">
              <w:tc>
                <w:tcPr>
                  <w:tcW w:w="1807"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Average Number of Events</w:t>
                  </w:r>
                </w:p>
              </w:tc>
            </w:tr>
            <w:tr w:rsidR="0046051B" w:rsidRPr="0031099C"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i/>
                    </w:rPr>
                  </w:pPr>
                  <w:r w:rsidRPr="0031099C">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Other</w:t>
                  </w:r>
                </w:p>
              </w:tc>
              <w:tc>
                <w:tcPr>
                  <w:tcW w:w="1274"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NICH</w:t>
                  </w:r>
                </w:p>
              </w:tc>
            </w:tr>
            <w:tr w:rsidR="0046051B" w:rsidRPr="0031099C"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0.066</w:t>
                  </w:r>
                </w:p>
              </w:tc>
            </w:tr>
            <w:tr w:rsidR="0046051B" w:rsidRPr="0031099C"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0.097</w:t>
                  </w:r>
                </w:p>
              </w:tc>
            </w:tr>
          </w:tbl>
          <w:p w:rsidR="0046051B" w:rsidRPr="0031099C" w:rsidRDefault="0046051B" w:rsidP="0046051B"/>
        </w:tc>
      </w:tr>
      <w:tr w:rsidR="0046051B" w:rsidRPr="0031099C" w:rsidTr="0046051B">
        <w:trPr>
          <w:divId w:val="1548566716"/>
        </w:trPr>
        <w:tc>
          <w:tcPr>
            <w:tcW w:w="10111" w:type="dxa"/>
          </w:tcPr>
          <w:p w:rsidR="0046051B" w:rsidRPr="0031099C" w:rsidRDefault="0046051B" w:rsidP="0046051B">
            <w:pPr>
              <w:pStyle w:val="ListParagraph"/>
              <w:numPr>
                <w:ilvl w:val="0"/>
                <w:numId w:val="19"/>
              </w:numPr>
              <w:spacing w:line="240" w:lineRule="auto"/>
              <w:jc w:val="left"/>
            </w:pPr>
            <w:proofErr w:type="spellStart"/>
            <w:r w:rsidRPr="0031099C">
              <w:t>dabigatran</w:t>
            </w:r>
            <w:proofErr w:type="spellEnd"/>
          </w:p>
        </w:tc>
      </w:tr>
    </w:tbl>
    <w:p w:rsidR="0046051B" w:rsidRPr="0031099C" w:rsidRDefault="0046051B" w:rsidP="00834F71">
      <w:pPr>
        <w:pStyle w:val="Caption"/>
        <w:divId w:val="1548566716"/>
        <w:rPr>
          <w:color w:val="auto"/>
        </w:rPr>
      </w:pPr>
    </w:p>
    <w:p w:rsidR="0046051B" w:rsidRPr="0031099C" w:rsidRDefault="00834F71" w:rsidP="0046051B">
      <w:pPr>
        <w:pStyle w:val="Caption"/>
        <w:spacing w:after="0"/>
        <w:divId w:val="1548566716"/>
        <w:rPr>
          <w:color w:val="auto"/>
        </w:rPr>
      </w:pPr>
      <w:r w:rsidRPr="0031099C">
        <w:rPr>
          <w:color w:val="auto"/>
        </w:rPr>
        <w:t xml:space="preserve">Table </w:t>
      </w:r>
      <w:r w:rsidR="0046051B" w:rsidRPr="0031099C">
        <w:rPr>
          <w:noProof/>
          <w:color w:val="auto"/>
        </w:rPr>
        <w:t>3</w:t>
      </w:r>
      <w:bookmarkEnd w:id="8"/>
      <w:r w:rsidR="0046051B" w:rsidRPr="0031099C">
        <w:rPr>
          <w:color w:val="auto"/>
        </w:rPr>
        <w:t xml:space="preserve"> Mean simulated clinical experiences of cohorts of 65 year old females with an initial CHADS</w:t>
      </w:r>
      <w:r w:rsidR="0046051B" w:rsidRPr="0031099C">
        <w:rPr>
          <w:color w:val="auto"/>
          <w:vertAlign w:val="subscript"/>
        </w:rPr>
        <w:t>2</w:t>
      </w:r>
      <w:r w:rsidR="0046051B" w:rsidRPr="0031099C">
        <w:rPr>
          <w:color w:val="auto"/>
        </w:rPr>
        <w:t xml:space="preserve"> score of zero, when TTE is either used or not used to inform the decision whether to prescribe </w:t>
      </w:r>
      <w:proofErr w:type="gramStart"/>
      <w:r w:rsidR="0046051B" w:rsidRPr="0031099C">
        <w:rPr>
          <w:color w:val="auto"/>
        </w:rPr>
        <w:t>either a) warfarin</w:t>
      </w:r>
      <w:proofErr w:type="gramEnd"/>
      <w:r w:rsidR="0046051B" w:rsidRPr="0031099C">
        <w:rPr>
          <w:color w:val="auto"/>
        </w:rPr>
        <w:t xml:space="preserve">, b) </w:t>
      </w:r>
      <w:proofErr w:type="spellStart"/>
      <w:r w:rsidR="0046051B" w:rsidRPr="0031099C">
        <w:rPr>
          <w:color w:val="auto"/>
        </w:rPr>
        <w:t>rivaroxaban</w:t>
      </w:r>
      <w:proofErr w:type="spellEnd"/>
      <w:r w:rsidR="0046051B" w:rsidRPr="0031099C">
        <w:rPr>
          <w:color w:val="auto"/>
        </w:rPr>
        <w:t xml:space="preserve">, or c) </w:t>
      </w:r>
      <w:proofErr w:type="spellStart"/>
      <w:r w:rsidR="0046051B" w:rsidRPr="0031099C">
        <w:rPr>
          <w:color w:val="auto"/>
        </w:rPr>
        <w:t>dabigatran</w:t>
      </w:r>
      <w:proofErr w:type="spellEnd"/>
      <w:r w:rsidR="0046051B" w:rsidRPr="0031099C">
        <w:rPr>
          <w:color w:val="auto"/>
        </w:rPr>
        <w:t xml:space="preserve">. </w:t>
      </w:r>
    </w:p>
    <w:p w:rsidR="0046051B" w:rsidRPr="0031099C" w:rsidRDefault="0046051B" w:rsidP="0046051B">
      <w:pPr>
        <w:pStyle w:val="Caption"/>
        <w:divId w:val="1548566716"/>
        <w:rPr>
          <w:color w:val="auto"/>
        </w:rPr>
      </w:pPr>
      <w:r w:rsidRPr="0031099C">
        <w:rPr>
          <w:color w:val="auto"/>
        </w:rPr>
        <w:t>TTE: transthoracic echocardiography; LA ABN- Left atrial abnormality; ICH = intracranial haemorrhage; NICH = non-intracranial haemorrhage</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Pr="0031099C" w:rsidRDefault="0046051B" w:rsidP="0046051B">
      <w:pPr>
        <w:pStyle w:val="Caption"/>
        <w:rPr>
          <w:color w:val="auto"/>
        </w:rPr>
      </w:pPr>
      <w:bookmarkStart w:id="10" w:name="_Ref345417087"/>
      <w:bookmarkStart w:id="11" w:name="_Ref335131627"/>
      <w:r w:rsidRPr="0031099C">
        <w:rPr>
          <w:color w:val="auto"/>
        </w:rPr>
        <w:lastRenderedPageBreak/>
        <w:t xml:space="preserve">Figure </w:t>
      </w:r>
      <w:r w:rsidRPr="0031099C">
        <w:rPr>
          <w:noProof/>
          <w:color w:val="auto"/>
        </w:rPr>
        <w:t>2</w:t>
      </w:r>
      <w:bookmarkEnd w:id="10"/>
      <w:r w:rsidRPr="0031099C">
        <w:rPr>
          <w:color w:val="auto"/>
        </w:rPr>
        <w:t xml:space="preserve"> </w:t>
      </w:r>
      <w:bookmarkEnd w:id="11"/>
      <w:r w:rsidRPr="0031099C">
        <w:rPr>
          <w:color w:val="auto"/>
        </w:rPr>
        <w:t xml:space="preserve">Probabilistic sensitivity analysis (PSA) scatterplots and cost effectiveness acceptability frontiers (CEAFs) of the incremental costs and incremental quality adjusted </w:t>
      </w:r>
      <w:proofErr w:type="spellStart"/>
      <w:r w:rsidRPr="0031099C">
        <w:rPr>
          <w:color w:val="auto"/>
        </w:rPr>
        <w:t>lifeyears</w:t>
      </w:r>
      <w:proofErr w:type="spellEnd"/>
      <w:r w:rsidRPr="0031099C">
        <w:rPr>
          <w:color w:val="auto"/>
        </w:rPr>
        <w:t xml:space="preserve"> (QALYs) of using transthoracic echocardiography to inform the decision whether to prescribe either warfarin, </w:t>
      </w:r>
      <w:proofErr w:type="spellStart"/>
      <w:r w:rsidRPr="0031099C">
        <w:rPr>
          <w:color w:val="auto"/>
        </w:rPr>
        <w:t>rivaroxaban</w:t>
      </w:r>
      <w:proofErr w:type="spellEnd"/>
      <w:r w:rsidRPr="0031099C">
        <w:rPr>
          <w:color w:val="auto"/>
        </w:rPr>
        <w:t xml:space="preserve">, or </w:t>
      </w:r>
      <w:proofErr w:type="spellStart"/>
      <w:r w:rsidRPr="0031099C">
        <w:rPr>
          <w:color w:val="auto"/>
        </w:rPr>
        <w:t>dabigatran</w:t>
      </w:r>
      <w:proofErr w:type="spellEnd"/>
      <w:r w:rsidRPr="0031099C">
        <w:rPr>
          <w:color w:val="auto"/>
        </w:rPr>
        <w:t xml:space="preserve"> to 65 year old females with atrial fibrillation and an CHADS</w:t>
      </w:r>
      <w:r w:rsidRPr="0031099C">
        <w:rPr>
          <w:color w:val="auto"/>
          <w:vertAlign w:val="subscript"/>
        </w:rPr>
        <w:t>2</w:t>
      </w:r>
      <w:r w:rsidRPr="0031099C">
        <w:rPr>
          <w:color w:val="auto"/>
        </w:rPr>
        <w:t xml:space="preserve"> score of zero.</w:t>
      </w:r>
    </w:p>
    <w:tbl>
      <w:tblPr>
        <w:tblStyle w:val="TableGrid"/>
        <w:tblW w:w="0" w:type="auto"/>
        <w:tblLook w:val="04A0" w:firstRow="1" w:lastRow="0" w:firstColumn="1" w:lastColumn="0" w:noHBand="0" w:noVBand="1"/>
      </w:tblPr>
      <w:tblGrid>
        <w:gridCol w:w="4705"/>
        <w:gridCol w:w="4537"/>
      </w:tblGrid>
      <w:tr w:rsidR="0046051B" w:rsidRPr="0031099C" w:rsidTr="0046051B">
        <w:trPr>
          <w:divId w:val="1548566716"/>
        </w:trPr>
        <w:tc>
          <w:tcPr>
            <w:tcW w:w="4705" w:type="dxa"/>
          </w:tcPr>
          <w:p w:rsidR="0046051B" w:rsidRPr="0031099C" w:rsidRDefault="0046051B" w:rsidP="0046051B">
            <w:r w:rsidRPr="0031099C">
              <w:rPr>
                <w:noProof/>
                <w:lang w:val="en-GB" w:eastAsia="en-GB"/>
              </w:rPr>
              <w:drawing>
                <wp:inline distT="0" distB="0" distL="0" distR="0" wp14:anchorId="6388520C" wp14:editId="7FC07A89">
                  <wp:extent cx="2592000" cy="2592000"/>
                  <wp:effectExtent l="0" t="0" r="0" b="0"/>
                  <wp:docPr id="1" name="Picture 1"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65_F.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Pr="0031099C" w:rsidRDefault="0046051B" w:rsidP="0046051B">
            <w:r w:rsidRPr="0031099C">
              <w:rPr>
                <w:noProof/>
                <w:lang w:val="en-GB" w:eastAsia="en-GB"/>
              </w:rPr>
              <w:drawing>
                <wp:inline distT="0" distB="0" distL="0" distR="0" wp14:anchorId="1629D45B" wp14:editId="5DC460D4">
                  <wp:extent cx="2592000" cy="2592000"/>
                  <wp:effectExtent l="0" t="0" r="0" b="0"/>
                  <wp:docPr id="5" name="Picture 5"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ceaf_W_65_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RPr="0031099C" w:rsidTr="0046051B">
        <w:trPr>
          <w:divId w:val="1548566716"/>
        </w:trPr>
        <w:tc>
          <w:tcPr>
            <w:tcW w:w="4705" w:type="dxa"/>
          </w:tcPr>
          <w:p w:rsidR="0046051B" w:rsidRPr="0031099C" w:rsidRDefault="0046051B" w:rsidP="0046051B">
            <w:pPr>
              <w:pStyle w:val="ListParagraph"/>
              <w:numPr>
                <w:ilvl w:val="0"/>
                <w:numId w:val="20"/>
              </w:numPr>
              <w:spacing w:line="240" w:lineRule="auto"/>
              <w:jc w:val="left"/>
            </w:pPr>
            <w:commentRangeStart w:id="12"/>
            <w:r w:rsidRPr="0031099C">
              <w:t>warfarin, scatterplot</w:t>
            </w:r>
          </w:p>
        </w:tc>
        <w:tc>
          <w:tcPr>
            <w:tcW w:w="4537" w:type="dxa"/>
          </w:tcPr>
          <w:p w:rsidR="0046051B" w:rsidRPr="0031099C" w:rsidRDefault="0046051B" w:rsidP="0046051B">
            <w:pPr>
              <w:pStyle w:val="ListParagraph"/>
              <w:numPr>
                <w:ilvl w:val="0"/>
                <w:numId w:val="20"/>
              </w:numPr>
              <w:spacing w:line="240" w:lineRule="auto"/>
              <w:jc w:val="left"/>
            </w:pPr>
            <w:r w:rsidRPr="0031099C">
              <w:t>warfarin, CEAF</w:t>
            </w:r>
            <w:commentRangeEnd w:id="12"/>
            <w:r w:rsidRPr="0031099C">
              <w:rPr>
                <w:rStyle w:val="CommentReference"/>
              </w:rPr>
              <w:commentReference w:id="12"/>
            </w:r>
          </w:p>
        </w:tc>
      </w:tr>
      <w:tr w:rsidR="0046051B" w:rsidRPr="0031099C" w:rsidTr="0046051B">
        <w:trPr>
          <w:divId w:val="1548566716"/>
        </w:trPr>
        <w:tc>
          <w:tcPr>
            <w:tcW w:w="4705" w:type="dxa"/>
          </w:tcPr>
          <w:p w:rsidR="0046051B" w:rsidRPr="0031099C" w:rsidRDefault="0046051B" w:rsidP="0046051B">
            <w:r w:rsidRPr="0031099C">
              <w:rPr>
                <w:noProof/>
                <w:lang w:val="en-GB" w:eastAsia="en-GB"/>
              </w:rPr>
              <w:drawing>
                <wp:inline distT="0" distB="0" distL="0" distR="0" wp14:anchorId="51C38094" wp14:editId="54288641">
                  <wp:extent cx="2592000" cy="2592000"/>
                  <wp:effectExtent l="0" t="0" r="0" b="0"/>
                  <wp:docPr id="31"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Pr="0031099C" w:rsidRDefault="0046051B" w:rsidP="0046051B">
            <w:r w:rsidRPr="0031099C">
              <w:rPr>
                <w:noProof/>
                <w:lang w:val="en-GB" w:eastAsia="en-GB"/>
              </w:rPr>
              <w:drawing>
                <wp:inline distT="0" distB="0" distL="0" distR="0" wp14:anchorId="31B3594F" wp14:editId="4876028A">
                  <wp:extent cx="2592000" cy="2592000"/>
                  <wp:effectExtent l="0" t="0" r="0" b="0"/>
                  <wp:docPr id="32"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RPr="0031099C" w:rsidTr="0046051B">
        <w:trPr>
          <w:divId w:val="1548566716"/>
        </w:trPr>
        <w:tc>
          <w:tcPr>
            <w:tcW w:w="4705" w:type="dxa"/>
          </w:tcPr>
          <w:p w:rsidR="0046051B" w:rsidRPr="0031099C" w:rsidRDefault="0046051B" w:rsidP="0046051B">
            <w:pPr>
              <w:pStyle w:val="ListParagraph"/>
              <w:numPr>
                <w:ilvl w:val="0"/>
                <w:numId w:val="20"/>
              </w:numPr>
              <w:spacing w:line="240" w:lineRule="auto"/>
              <w:jc w:val="left"/>
            </w:pPr>
            <w:proofErr w:type="spellStart"/>
            <w:r w:rsidRPr="0031099C">
              <w:t>rivaroxaban</w:t>
            </w:r>
            <w:proofErr w:type="spellEnd"/>
            <w:r w:rsidRPr="0031099C">
              <w:t>, scatterplot</w:t>
            </w:r>
          </w:p>
        </w:tc>
        <w:tc>
          <w:tcPr>
            <w:tcW w:w="4537" w:type="dxa"/>
          </w:tcPr>
          <w:p w:rsidR="0046051B" w:rsidRPr="0031099C" w:rsidRDefault="0046051B" w:rsidP="0046051B">
            <w:pPr>
              <w:pStyle w:val="ListParagraph"/>
              <w:numPr>
                <w:ilvl w:val="0"/>
                <w:numId w:val="20"/>
              </w:numPr>
              <w:spacing w:line="240" w:lineRule="auto"/>
              <w:jc w:val="left"/>
            </w:pPr>
            <w:proofErr w:type="spellStart"/>
            <w:r w:rsidRPr="0031099C">
              <w:t>rivaroxaban</w:t>
            </w:r>
            <w:proofErr w:type="spellEnd"/>
            <w:r w:rsidRPr="0031099C">
              <w:t>, CEAF</w:t>
            </w:r>
          </w:p>
        </w:tc>
      </w:tr>
      <w:tr w:rsidR="0046051B" w:rsidRPr="0031099C" w:rsidTr="0046051B">
        <w:trPr>
          <w:divId w:val="1548566716"/>
        </w:trPr>
        <w:tc>
          <w:tcPr>
            <w:tcW w:w="4705" w:type="dxa"/>
          </w:tcPr>
          <w:p w:rsidR="0046051B" w:rsidRPr="0031099C" w:rsidRDefault="0046051B" w:rsidP="0046051B">
            <w:r w:rsidRPr="0031099C">
              <w:rPr>
                <w:noProof/>
                <w:lang w:val="en-GB" w:eastAsia="en-GB"/>
              </w:rPr>
              <w:lastRenderedPageBreak/>
              <w:drawing>
                <wp:inline distT="0" distB="0" distL="0" distR="0" wp14:anchorId="724C55FA" wp14:editId="758B3C99">
                  <wp:extent cx="2592000" cy="2592000"/>
                  <wp:effectExtent l="0" t="0" r="0" b="0"/>
                  <wp:docPr id="35"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Pr="0031099C" w:rsidRDefault="0046051B" w:rsidP="0046051B">
            <w:r w:rsidRPr="0031099C">
              <w:rPr>
                <w:noProof/>
                <w:lang w:val="en-GB" w:eastAsia="en-GB"/>
              </w:rPr>
              <w:drawing>
                <wp:inline distT="0" distB="0" distL="0" distR="0" wp14:anchorId="79A09F42" wp14:editId="220A938D">
                  <wp:extent cx="2592000" cy="2592000"/>
                  <wp:effectExtent l="0" t="0" r="0" b="0"/>
                  <wp:docPr id="36"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RPr="0031099C" w:rsidTr="0046051B">
        <w:trPr>
          <w:divId w:val="1548566716"/>
        </w:trPr>
        <w:tc>
          <w:tcPr>
            <w:tcW w:w="4705" w:type="dxa"/>
          </w:tcPr>
          <w:p w:rsidR="0046051B" w:rsidRPr="0031099C" w:rsidRDefault="0046051B" w:rsidP="0046051B">
            <w:pPr>
              <w:pStyle w:val="ListParagraph"/>
              <w:numPr>
                <w:ilvl w:val="0"/>
                <w:numId w:val="20"/>
              </w:numPr>
              <w:spacing w:line="240" w:lineRule="auto"/>
              <w:jc w:val="left"/>
            </w:pPr>
            <w:proofErr w:type="spellStart"/>
            <w:r w:rsidRPr="0031099C">
              <w:t>dabigatran</w:t>
            </w:r>
            <w:proofErr w:type="spellEnd"/>
            <w:r w:rsidRPr="0031099C">
              <w:t>, scatterplot</w:t>
            </w:r>
          </w:p>
        </w:tc>
        <w:tc>
          <w:tcPr>
            <w:tcW w:w="4537" w:type="dxa"/>
          </w:tcPr>
          <w:p w:rsidR="0046051B" w:rsidRPr="0031099C" w:rsidRDefault="0046051B" w:rsidP="0046051B">
            <w:pPr>
              <w:pStyle w:val="ListParagraph"/>
              <w:keepNext/>
              <w:numPr>
                <w:ilvl w:val="0"/>
                <w:numId w:val="20"/>
              </w:numPr>
              <w:spacing w:line="240" w:lineRule="auto"/>
              <w:jc w:val="left"/>
            </w:pPr>
            <w:proofErr w:type="spellStart"/>
            <w:r w:rsidRPr="0031099C">
              <w:t>dabigatran</w:t>
            </w:r>
            <w:proofErr w:type="spellEnd"/>
            <w:r w:rsidRPr="0031099C">
              <w:t>, CEAF</w:t>
            </w:r>
          </w:p>
        </w:tc>
      </w:tr>
    </w:tbl>
    <w:p w:rsidR="0046051B" w:rsidRPr="0031099C" w:rsidRDefault="0046051B" w:rsidP="0046051B">
      <w:pPr>
        <w:divId w:val="1548566716"/>
        <w:rPr>
          <w:lang w:val="en-GB"/>
        </w:rPr>
      </w:pPr>
    </w:p>
    <w:p w:rsidR="006D0808" w:rsidRPr="0031099C" w:rsidRDefault="006D0808" w:rsidP="003C217E">
      <w:pPr>
        <w:divId w:val="1548566716"/>
        <w:rPr>
          <w:lang w:val="en-GB"/>
        </w:rPr>
        <w:sectPr w:rsidR="006D0808" w:rsidRPr="0031099C" w:rsidSect="0046051B">
          <w:pgSz w:w="11906" w:h="16838"/>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7196"/>
      </w:tblGrid>
      <w:tr w:rsidR="0046051B" w:rsidRPr="0031099C"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RPr="0031099C" w:rsidTr="0046051B">
              <w:tc>
                <w:tcPr>
                  <w:tcW w:w="2310" w:type="dxa"/>
                </w:tcPr>
                <w:p w:rsidR="0046051B" w:rsidRPr="0031099C" w:rsidRDefault="0046051B" w:rsidP="0046051B">
                  <w:bookmarkStart w:id="13" w:name="_Ref335141468"/>
                </w:p>
              </w:tc>
              <w:tc>
                <w:tcPr>
                  <w:tcW w:w="2310" w:type="dxa"/>
                </w:tcPr>
                <w:p w:rsidR="0046051B" w:rsidRPr="0031099C" w:rsidRDefault="0046051B" w:rsidP="0046051B">
                  <w:pPr>
                    <w:rPr>
                      <w:b/>
                    </w:rPr>
                  </w:pPr>
                  <w:r w:rsidRPr="0031099C">
                    <w:rPr>
                      <w:b/>
                    </w:rPr>
                    <w:t>Mean Cost (£)</w:t>
                  </w:r>
                </w:p>
              </w:tc>
              <w:tc>
                <w:tcPr>
                  <w:tcW w:w="2311" w:type="dxa"/>
                </w:tcPr>
                <w:p w:rsidR="0046051B" w:rsidRPr="0031099C" w:rsidRDefault="0046051B" w:rsidP="0046051B">
                  <w:pPr>
                    <w:rPr>
                      <w:b/>
                    </w:rPr>
                  </w:pPr>
                  <w:r w:rsidRPr="0031099C">
                    <w:rPr>
                      <w:b/>
                    </w:rPr>
                    <w:t>Mean QALY</w:t>
                  </w:r>
                </w:p>
              </w:tc>
            </w:tr>
            <w:tr w:rsidR="0046051B" w:rsidRPr="0031099C" w:rsidTr="0046051B">
              <w:tc>
                <w:tcPr>
                  <w:tcW w:w="2310" w:type="dxa"/>
                </w:tcPr>
                <w:p w:rsidR="0046051B" w:rsidRPr="0031099C" w:rsidRDefault="0046051B" w:rsidP="0046051B">
                  <w:pPr>
                    <w:rPr>
                      <w:b/>
                    </w:rPr>
                  </w:pPr>
                  <w:r w:rsidRPr="0031099C">
                    <w:rPr>
                      <w:b/>
                    </w:rPr>
                    <w:t>Without TTE</w:t>
                  </w:r>
                </w:p>
              </w:tc>
              <w:tc>
                <w:tcPr>
                  <w:tcW w:w="2310" w:type="dxa"/>
                </w:tcPr>
                <w:p w:rsidR="0046051B" w:rsidRPr="0031099C" w:rsidRDefault="0046051B" w:rsidP="0046051B">
                  <w:r w:rsidRPr="0031099C">
                    <w:t>1 974</w:t>
                  </w:r>
                </w:p>
              </w:tc>
              <w:tc>
                <w:tcPr>
                  <w:tcW w:w="2311" w:type="dxa"/>
                </w:tcPr>
                <w:p w:rsidR="0046051B" w:rsidRPr="0031099C" w:rsidRDefault="0046051B" w:rsidP="0046051B">
                  <w:r w:rsidRPr="0031099C">
                    <w:t>9.94</w:t>
                  </w:r>
                </w:p>
              </w:tc>
            </w:tr>
            <w:tr w:rsidR="0046051B" w:rsidRPr="0031099C" w:rsidTr="0046051B">
              <w:tc>
                <w:tcPr>
                  <w:tcW w:w="2310" w:type="dxa"/>
                </w:tcPr>
                <w:p w:rsidR="0046051B" w:rsidRPr="0031099C" w:rsidRDefault="0046051B" w:rsidP="0046051B">
                  <w:pPr>
                    <w:rPr>
                      <w:b/>
                    </w:rPr>
                  </w:pPr>
                  <w:r w:rsidRPr="0031099C">
                    <w:rPr>
                      <w:b/>
                    </w:rPr>
                    <w:t>With TTE</w:t>
                  </w:r>
                </w:p>
              </w:tc>
              <w:tc>
                <w:tcPr>
                  <w:tcW w:w="2310" w:type="dxa"/>
                </w:tcPr>
                <w:p w:rsidR="0046051B" w:rsidRPr="0031099C" w:rsidRDefault="0046051B" w:rsidP="0046051B">
                  <w:r w:rsidRPr="0031099C">
                    <w:t>3 106</w:t>
                  </w:r>
                </w:p>
              </w:tc>
              <w:tc>
                <w:tcPr>
                  <w:tcW w:w="2311" w:type="dxa"/>
                </w:tcPr>
                <w:p w:rsidR="0046051B" w:rsidRPr="0031099C" w:rsidRDefault="0046051B" w:rsidP="0046051B">
                  <w:r w:rsidRPr="0031099C">
                    <w:t>9.97</w:t>
                  </w:r>
                </w:p>
              </w:tc>
            </w:tr>
            <w:tr w:rsidR="0046051B" w:rsidRPr="0031099C" w:rsidTr="0046051B">
              <w:tc>
                <w:tcPr>
                  <w:tcW w:w="2310" w:type="dxa"/>
                </w:tcPr>
                <w:p w:rsidR="0046051B" w:rsidRPr="0031099C" w:rsidRDefault="0046051B" w:rsidP="0046051B">
                  <w:r w:rsidRPr="0031099C">
                    <w:t xml:space="preserve">ICER (95% </w:t>
                  </w:r>
                  <w:proofErr w:type="spellStart"/>
                  <w:r w:rsidRPr="0031099C">
                    <w:t>CrIs</w:t>
                  </w:r>
                  <w:proofErr w:type="spellEnd"/>
                  <w:r w:rsidRPr="0031099C">
                    <w:t>)</w:t>
                  </w:r>
                </w:p>
              </w:tc>
              <w:tc>
                <w:tcPr>
                  <w:tcW w:w="4621" w:type="dxa"/>
                  <w:gridSpan w:val="2"/>
                </w:tcPr>
                <w:p w:rsidR="0046051B" w:rsidRPr="0031099C" w:rsidRDefault="0046051B" w:rsidP="0046051B">
                  <w:r w:rsidRPr="0031099C">
                    <w:t>39 569 (39 374 to 39 839) £/QALY</w:t>
                  </w:r>
                </w:p>
              </w:tc>
            </w:tr>
          </w:tbl>
          <w:p w:rsidR="0046051B" w:rsidRPr="0031099C" w:rsidRDefault="0046051B" w:rsidP="0046051B"/>
        </w:tc>
      </w:tr>
      <w:tr w:rsidR="0046051B" w:rsidRPr="0031099C" w:rsidTr="0046051B">
        <w:trPr>
          <w:divId w:val="1548566716"/>
        </w:trPr>
        <w:tc>
          <w:tcPr>
            <w:tcW w:w="7196" w:type="dxa"/>
          </w:tcPr>
          <w:p w:rsidR="0046051B" w:rsidRPr="0031099C" w:rsidRDefault="0046051B" w:rsidP="0046051B">
            <w:pPr>
              <w:pStyle w:val="ListParagraph"/>
              <w:numPr>
                <w:ilvl w:val="0"/>
                <w:numId w:val="21"/>
              </w:numPr>
              <w:spacing w:line="240" w:lineRule="auto"/>
              <w:jc w:val="left"/>
            </w:pPr>
            <w:commentRangeStart w:id="14"/>
            <w:r w:rsidRPr="0031099C">
              <w:t>warfarin</w:t>
            </w:r>
            <w:commentRangeEnd w:id="14"/>
            <w:r w:rsidRPr="0031099C">
              <w:rPr>
                <w:rStyle w:val="CommentReference"/>
              </w:rPr>
              <w:commentReference w:id="14"/>
            </w:r>
          </w:p>
        </w:tc>
      </w:tr>
      <w:tr w:rsidR="0046051B" w:rsidRPr="0031099C"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RPr="0031099C" w:rsidTr="0046051B">
              <w:tc>
                <w:tcPr>
                  <w:tcW w:w="2310" w:type="dxa"/>
                </w:tcPr>
                <w:p w:rsidR="0046051B" w:rsidRPr="0031099C" w:rsidRDefault="0046051B" w:rsidP="0046051B"/>
              </w:tc>
              <w:tc>
                <w:tcPr>
                  <w:tcW w:w="2310" w:type="dxa"/>
                </w:tcPr>
                <w:p w:rsidR="0046051B" w:rsidRPr="0031099C" w:rsidRDefault="0046051B" w:rsidP="0046051B">
                  <w:pPr>
                    <w:rPr>
                      <w:b/>
                    </w:rPr>
                  </w:pPr>
                  <w:r w:rsidRPr="0031099C">
                    <w:rPr>
                      <w:b/>
                    </w:rPr>
                    <w:t>Mean Cost (£)</w:t>
                  </w:r>
                </w:p>
              </w:tc>
              <w:tc>
                <w:tcPr>
                  <w:tcW w:w="2311" w:type="dxa"/>
                </w:tcPr>
                <w:p w:rsidR="0046051B" w:rsidRPr="0031099C" w:rsidRDefault="0046051B" w:rsidP="0046051B">
                  <w:pPr>
                    <w:rPr>
                      <w:b/>
                    </w:rPr>
                  </w:pPr>
                  <w:r w:rsidRPr="0031099C">
                    <w:rPr>
                      <w:b/>
                    </w:rPr>
                    <w:t>Mean QALY</w:t>
                  </w:r>
                </w:p>
              </w:tc>
            </w:tr>
            <w:tr w:rsidR="0046051B" w:rsidRPr="0031099C" w:rsidTr="0046051B">
              <w:tc>
                <w:tcPr>
                  <w:tcW w:w="2310" w:type="dxa"/>
                </w:tcPr>
                <w:p w:rsidR="0046051B" w:rsidRPr="0031099C" w:rsidRDefault="0046051B" w:rsidP="0046051B">
                  <w:pPr>
                    <w:rPr>
                      <w:b/>
                    </w:rPr>
                  </w:pPr>
                  <w:r w:rsidRPr="0031099C">
                    <w:rPr>
                      <w:b/>
                    </w:rPr>
                    <w:t>Without TTE</w:t>
                  </w:r>
                </w:p>
              </w:tc>
              <w:tc>
                <w:tcPr>
                  <w:tcW w:w="2310" w:type="dxa"/>
                </w:tcPr>
                <w:p w:rsidR="0046051B" w:rsidRPr="0031099C" w:rsidRDefault="0046051B" w:rsidP="0046051B">
                  <w:r w:rsidRPr="0031099C">
                    <w:t>1 955</w:t>
                  </w:r>
                </w:p>
              </w:tc>
              <w:tc>
                <w:tcPr>
                  <w:tcW w:w="2311" w:type="dxa"/>
                </w:tcPr>
                <w:p w:rsidR="0046051B" w:rsidRPr="0031099C" w:rsidRDefault="0046051B" w:rsidP="0046051B">
                  <w:r w:rsidRPr="0031099C">
                    <w:t>9.95</w:t>
                  </w:r>
                </w:p>
              </w:tc>
            </w:tr>
            <w:tr w:rsidR="0046051B" w:rsidRPr="0031099C" w:rsidTr="0046051B">
              <w:tc>
                <w:tcPr>
                  <w:tcW w:w="2310" w:type="dxa"/>
                </w:tcPr>
                <w:p w:rsidR="0046051B" w:rsidRPr="0031099C" w:rsidRDefault="0046051B" w:rsidP="0046051B">
                  <w:pPr>
                    <w:rPr>
                      <w:b/>
                    </w:rPr>
                  </w:pPr>
                  <w:r w:rsidRPr="0031099C">
                    <w:rPr>
                      <w:b/>
                    </w:rPr>
                    <w:t>With TTE</w:t>
                  </w:r>
                </w:p>
              </w:tc>
              <w:tc>
                <w:tcPr>
                  <w:tcW w:w="2310" w:type="dxa"/>
                </w:tcPr>
                <w:p w:rsidR="0046051B" w:rsidRPr="0031099C" w:rsidRDefault="0046051B" w:rsidP="0046051B">
                  <w:r w:rsidRPr="0031099C">
                    <w:t>3 039</w:t>
                  </w:r>
                </w:p>
              </w:tc>
              <w:tc>
                <w:tcPr>
                  <w:tcW w:w="2311" w:type="dxa"/>
                </w:tcPr>
                <w:p w:rsidR="0046051B" w:rsidRPr="0031099C" w:rsidRDefault="0046051B" w:rsidP="0046051B">
                  <w:r w:rsidRPr="0031099C">
                    <w:t>9.99</w:t>
                  </w:r>
                </w:p>
              </w:tc>
            </w:tr>
            <w:tr w:rsidR="0046051B" w:rsidRPr="0031099C" w:rsidTr="0046051B">
              <w:tc>
                <w:tcPr>
                  <w:tcW w:w="2310" w:type="dxa"/>
                </w:tcPr>
                <w:p w:rsidR="0046051B" w:rsidRPr="0031099C" w:rsidRDefault="0046051B" w:rsidP="0046051B">
                  <w:pPr>
                    <w:rPr>
                      <w:b/>
                      <w:i/>
                    </w:rPr>
                  </w:pPr>
                  <w:r w:rsidRPr="0031099C">
                    <w:rPr>
                      <w:b/>
                      <w:i/>
                    </w:rPr>
                    <w:t xml:space="preserve">ICER (95% </w:t>
                  </w:r>
                  <w:proofErr w:type="spellStart"/>
                  <w:r w:rsidRPr="0031099C">
                    <w:rPr>
                      <w:b/>
                      <w:i/>
                    </w:rPr>
                    <w:t>CrIs</w:t>
                  </w:r>
                  <w:proofErr w:type="spellEnd"/>
                  <w:r w:rsidRPr="0031099C">
                    <w:rPr>
                      <w:b/>
                      <w:i/>
                    </w:rPr>
                    <w:t>)</w:t>
                  </w:r>
                </w:p>
              </w:tc>
              <w:tc>
                <w:tcPr>
                  <w:tcW w:w="4621" w:type="dxa"/>
                  <w:gridSpan w:val="2"/>
                </w:tcPr>
                <w:p w:rsidR="0046051B" w:rsidRPr="0031099C" w:rsidRDefault="0046051B" w:rsidP="0046051B">
                  <w:r w:rsidRPr="0031099C">
                    <w:t>22 751 (22 681 to 22 844) £/QALY</w:t>
                  </w:r>
                </w:p>
              </w:tc>
            </w:tr>
          </w:tbl>
          <w:p w:rsidR="0046051B" w:rsidRPr="0031099C" w:rsidRDefault="0046051B" w:rsidP="0046051B"/>
        </w:tc>
      </w:tr>
      <w:tr w:rsidR="0046051B" w:rsidRPr="0031099C" w:rsidTr="0046051B">
        <w:trPr>
          <w:divId w:val="1548566716"/>
        </w:trPr>
        <w:tc>
          <w:tcPr>
            <w:tcW w:w="7196" w:type="dxa"/>
          </w:tcPr>
          <w:p w:rsidR="0046051B" w:rsidRPr="0031099C" w:rsidRDefault="0046051B" w:rsidP="0046051B">
            <w:pPr>
              <w:pStyle w:val="ListParagraph"/>
              <w:numPr>
                <w:ilvl w:val="0"/>
                <w:numId w:val="21"/>
              </w:numPr>
              <w:spacing w:line="240" w:lineRule="auto"/>
              <w:jc w:val="left"/>
            </w:pPr>
            <w:proofErr w:type="spellStart"/>
            <w:r w:rsidRPr="0031099C">
              <w:t>rivaroxaban</w:t>
            </w:r>
            <w:proofErr w:type="spellEnd"/>
          </w:p>
        </w:tc>
      </w:tr>
      <w:tr w:rsidR="0046051B" w:rsidRPr="0031099C"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RPr="0031099C" w:rsidTr="0046051B">
              <w:tc>
                <w:tcPr>
                  <w:tcW w:w="2310" w:type="dxa"/>
                </w:tcPr>
                <w:p w:rsidR="0046051B" w:rsidRPr="0031099C" w:rsidRDefault="0046051B" w:rsidP="0046051B"/>
              </w:tc>
              <w:tc>
                <w:tcPr>
                  <w:tcW w:w="2310" w:type="dxa"/>
                </w:tcPr>
                <w:p w:rsidR="0046051B" w:rsidRPr="0031099C" w:rsidRDefault="0046051B" w:rsidP="0046051B">
                  <w:pPr>
                    <w:rPr>
                      <w:b/>
                    </w:rPr>
                  </w:pPr>
                  <w:r w:rsidRPr="0031099C">
                    <w:rPr>
                      <w:b/>
                    </w:rPr>
                    <w:t>Mean Cost (£)</w:t>
                  </w:r>
                </w:p>
              </w:tc>
              <w:tc>
                <w:tcPr>
                  <w:tcW w:w="2311" w:type="dxa"/>
                </w:tcPr>
                <w:p w:rsidR="0046051B" w:rsidRPr="0031099C" w:rsidRDefault="0046051B" w:rsidP="0046051B">
                  <w:pPr>
                    <w:rPr>
                      <w:b/>
                    </w:rPr>
                  </w:pPr>
                  <w:r w:rsidRPr="0031099C">
                    <w:rPr>
                      <w:b/>
                    </w:rPr>
                    <w:t>Mean QALY</w:t>
                  </w:r>
                </w:p>
              </w:tc>
            </w:tr>
            <w:tr w:rsidR="0046051B" w:rsidRPr="0031099C" w:rsidTr="0046051B">
              <w:tc>
                <w:tcPr>
                  <w:tcW w:w="2310" w:type="dxa"/>
                </w:tcPr>
                <w:p w:rsidR="0046051B" w:rsidRPr="0031099C" w:rsidRDefault="0046051B" w:rsidP="0046051B">
                  <w:pPr>
                    <w:rPr>
                      <w:b/>
                    </w:rPr>
                  </w:pPr>
                  <w:r w:rsidRPr="0031099C">
                    <w:rPr>
                      <w:b/>
                    </w:rPr>
                    <w:t>Without TTE</w:t>
                  </w:r>
                </w:p>
              </w:tc>
              <w:tc>
                <w:tcPr>
                  <w:tcW w:w="2310" w:type="dxa"/>
                </w:tcPr>
                <w:p w:rsidR="0046051B" w:rsidRPr="0031099C" w:rsidRDefault="0046051B" w:rsidP="0046051B">
                  <w:r w:rsidRPr="0031099C">
                    <w:t>1 942</w:t>
                  </w:r>
                </w:p>
              </w:tc>
              <w:tc>
                <w:tcPr>
                  <w:tcW w:w="2311" w:type="dxa"/>
                </w:tcPr>
                <w:p w:rsidR="0046051B" w:rsidRPr="0031099C" w:rsidRDefault="0046051B" w:rsidP="0046051B">
                  <w:r w:rsidRPr="0031099C">
                    <w:t>9.95</w:t>
                  </w:r>
                </w:p>
              </w:tc>
            </w:tr>
            <w:tr w:rsidR="0046051B" w:rsidRPr="0031099C" w:rsidTr="0046051B">
              <w:tc>
                <w:tcPr>
                  <w:tcW w:w="2310" w:type="dxa"/>
                </w:tcPr>
                <w:p w:rsidR="0046051B" w:rsidRPr="0031099C" w:rsidRDefault="0046051B" w:rsidP="0046051B">
                  <w:pPr>
                    <w:rPr>
                      <w:b/>
                    </w:rPr>
                  </w:pPr>
                  <w:r w:rsidRPr="0031099C">
                    <w:rPr>
                      <w:b/>
                    </w:rPr>
                    <w:t>With TTE</w:t>
                  </w:r>
                </w:p>
              </w:tc>
              <w:tc>
                <w:tcPr>
                  <w:tcW w:w="2310" w:type="dxa"/>
                </w:tcPr>
                <w:p w:rsidR="0046051B" w:rsidRPr="0031099C" w:rsidRDefault="0046051B" w:rsidP="0046051B">
                  <w:r w:rsidRPr="0031099C">
                    <w:t>2 946</w:t>
                  </w:r>
                </w:p>
              </w:tc>
              <w:tc>
                <w:tcPr>
                  <w:tcW w:w="2311" w:type="dxa"/>
                </w:tcPr>
                <w:p w:rsidR="0046051B" w:rsidRPr="0031099C" w:rsidRDefault="0046051B" w:rsidP="0046051B">
                  <w:r w:rsidRPr="0031099C">
                    <w:t>10.01</w:t>
                  </w:r>
                </w:p>
              </w:tc>
            </w:tr>
            <w:tr w:rsidR="0046051B" w:rsidRPr="0031099C" w:rsidTr="0046051B">
              <w:tc>
                <w:tcPr>
                  <w:tcW w:w="2310" w:type="dxa"/>
                </w:tcPr>
                <w:p w:rsidR="0046051B" w:rsidRPr="0031099C" w:rsidRDefault="0046051B" w:rsidP="0046051B">
                  <w:pPr>
                    <w:rPr>
                      <w:b/>
                      <w:i/>
                    </w:rPr>
                  </w:pPr>
                  <w:r w:rsidRPr="0031099C">
                    <w:rPr>
                      <w:b/>
                      <w:i/>
                    </w:rPr>
                    <w:t xml:space="preserve">ICER (95% </w:t>
                  </w:r>
                  <w:proofErr w:type="spellStart"/>
                  <w:r w:rsidRPr="0031099C">
                    <w:rPr>
                      <w:b/>
                      <w:i/>
                    </w:rPr>
                    <w:t>CrIs</w:t>
                  </w:r>
                  <w:proofErr w:type="spellEnd"/>
                  <w:r w:rsidRPr="0031099C">
                    <w:rPr>
                      <w:b/>
                      <w:i/>
                    </w:rPr>
                    <w:t>)</w:t>
                  </w:r>
                </w:p>
              </w:tc>
              <w:tc>
                <w:tcPr>
                  <w:tcW w:w="4621" w:type="dxa"/>
                  <w:gridSpan w:val="2"/>
                </w:tcPr>
                <w:p w:rsidR="0046051B" w:rsidRPr="0031099C" w:rsidRDefault="0046051B" w:rsidP="0046051B">
                  <w:r w:rsidRPr="0031099C">
                    <w:t>12 314 (12 290 to 12 348)  £/QALY</w:t>
                  </w:r>
                </w:p>
              </w:tc>
            </w:tr>
          </w:tbl>
          <w:p w:rsidR="0046051B" w:rsidRPr="0031099C" w:rsidRDefault="0046051B" w:rsidP="0046051B"/>
        </w:tc>
      </w:tr>
      <w:tr w:rsidR="0046051B" w:rsidRPr="0031099C" w:rsidTr="0046051B">
        <w:trPr>
          <w:divId w:val="1548566716"/>
        </w:trPr>
        <w:tc>
          <w:tcPr>
            <w:tcW w:w="7196" w:type="dxa"/>
          </w:tcPr>
          <w:p w:rsidR="0046051B" w:rsidRPr="0031099C" w:rsidRDefault="0046051B" w:rsidP="0046051B">
            <w:pPr>
              <w:pStyle w:val="ListParagraph"/>
              <w:keepNext/>
              <w:numPr>
                <w:ilvl w:val="0"/>
                <w:numId w:val="21"/>
              </w:numPr>
              <w:spacing w:line="240" w:lineRule="auto"/>
              <w:jc w:val="left"/>
            </w:pPr>
            <w:proofErr w:type="spellStart"/>
            <w:r w:rsidRPr="0031099C">
              <w:t>dabigatran</w:t>
            </w:r>
            <w:proofErr w:type="spellEnd"/>
          </w:p>
        </w:tc>
      </w:tr>
    </w:tbl>
    <w:p w:rsidR="0046051B" w:rsidRPr="0031099C" w:rsidRDefault="0046051B" w:rsidP="0046051B">
      <w:pPr>
        <w:pStyle w:val="Caption"/>
        <w:divId w:val="1548566716"/>
        <w:rPr>
          <w:color w:val="auto"/>
        </w:rPr>
      </w:pPr>
      <w:bookmarkStart w:id="15" w:name="_Ref345417121"/>
      <w:bookmarkStart w:id="16" w:name="_Ref345417116"/>
      <w:r w:rsidRPr="0031099C">
        <w:rPr>
          <w:color w:val="auto"/>
        </w:rPr>
        <w:t xml:space="preserve">Table </w:t>
      </w:r>
      <w:r w:rsidRPr="0031099C">
        <w:rPr>
          <w:noProof/>
          <w:color w:val="auto"/>
        </w:rPr>
        <w:t>4</w:t>
      </w:r>
      <w:bookmarkEnd w:id="15"/>
      <w:r w:rsidRPr="0031099C">
        <w:rPr>
          <w:color w:val="auto"/>
        </w:rPr>
        <w:t xml:space="preserve"> Estimated mean costs and mean QALYs of using or not using TTE to make the decision to prescribe </w:t>
      </w:r>
      <w:proofErr w:type="gramStart"/>
      <w:r w:rsidRPr="0031099C">
        <w:rPr>
          <w:color w:val="auto"/>
        </w:rPr>
        <w:t>either a) warfarin</w:t>
      </w:r>
      <w:proofErr w:type="gramEnd"/>
      <w:r w:rsidRPr="0031099C">
        <w:rPr>
          <w:color w:val="auto"/>
        </w:rPr>
        <w:t xml:space="preserve">, b) </w:t>
      </w:r>
      <w:proofErr w:type="spellStart"/>
      <w:r w:rsidRPr="0031099C">
        <w:rPr>
          <w:color w:val="auto"/>
        </w:rPr>
        <w:t>rivaroxaban</w:t>
      </w:r>
      <w:proofErr w:type="spellEnd"/>
      <w:r w:rsidRPr="0031099C">
        <w:rPr>
          <w:color w:val="auto"/>
        </w:rPr>
        <w:t xml:space="preserve">, or c) </w:t>
      </w:r>
      <w:proofErr w:type="spellStart"/>
      <w:r w:rsidRPr="0031099C">
        <w:rPr>
          <w:color w:val="auto"/>
        </w:rPr>
        <w:t>dabigatran</w:t>
      </w:r>
      <w:proofErr w:type="spellEnd"/>
      <w:r w:rsidRPr="0031099C">
        <w:rPr>
          <w:color w:val="auto"/>
        </w:rPr>
        <w:t xml:space="preserve"> for 65 year old females with an initial CHADS</w:t>
      </w:r>
      <w:r w:rsidRPr="0031099C">
        <w:rPr>
          <w:color w:val="auto"/>
          <w:vertAlign w:val="subscript"/>
        </w:rPr>
        <w:t>2</w:t>
      </w:r>
      <w:r w:rsidRPr="0031099C">
        <w:rPr>
          <w:color w:val="auto"/>
        </w:rPr>
        <w:t xml:space="preserve"> score of zero. ICER: incremental cost effectiveness ratio. </w:t>
      </w:r>
      <w:proofErr w:type="spellStart"/>
      <w:r w:rsidRPr="0031099C">
        <w:rPr>
          <w:color w:val="auto"/>
        </w:rPr>
        <w:t>CrIs</w:t>
      </w:r>
      <w:proofErr w:type="spellEnd"/>
      <w:r w:rsidRPr="0031099C">
        <w:rPr>
          <w:color w:val="auto"/>
        </w:rPr>
        <w:t xml:space="preserve">: Credible intervals; calculated using a </w:t>
      </w:r>
      <w:proofErr w:type="spellStart"/>
      <w:r w:rsidRPr="0031099C">
        <w:rPr>
          <w:color w:val="auto"/>
        </w:rPr>
        <w:t>jacknifing</w:t>
      </w:r>
      <w:proofErr w:type="spellEnd"/>
      <w:r w:rsidRPr="0031099C">
        <w:rPr>
          <w:color w:val="auto"/>
        </w:rPr>
        <w:t xml:space="preserve"> procedure.</w:t>
      </w:r>
      <w:bookmarkEnd w:id="16"/>
    </w:p>
    <w:p w:rsidR="0046051B" w:rsidRPr="0031099C" w:rsidRDefault="0046051B" w:rsidP="0046051B">
      <w:pPr>
        <w:divId w:val="1548566716"/>
        <w:rPr>
          <w:lang w:val="en-GB"/>
        </w:rPr>
      </w:pPr>
    </w:p>
    <w:p w:rsidR="0046051B" w:rsidRDefault="0046051B" w:rsidP="0046051B">
      <w:pPr>
        <w:divId w:val="1548566716"/>
        <w:rPr>
          <w:lang w:val="en-GB"/>
        </w:rPr>
        <w:sectPr w:rsidR="0046051B" w:rsidSect="006D0808">
          <w:pgSz w:w="11906" w:h="16838"/>
          <w:pgMar w:top="1440" w:right="1440" w:bottom="1440" w:left="1440" w:header="709" w:footer="709" w:gutter="0"/>
          <w:cols w:space="708"/>
          <w:docGrid w:linePitch="360"/>
        </w:sectPr>
      </w:pPr>
    </w:p>
    <w:p w:rsidR="00920A0B" w:rsidRPr="0031099C" w:rsidRDefault="0098691C" w:rsidP="0098691C">
      <w:pPr>
        <w:pStyle w:val="Caption"/>
        <w:divId w:val="1548566716"/>
        <w:rPr>
          <w:color w:val="auto"/>
        </w:rPr>
      </w:pPr>
      <w:r w:rsidRPr="0031099C">
        <w:rPr>
          <w:color w:val="auto"/>
        </w:rPr>
        <w:lastRenderedPageBreak/>
        <w:t xml:space="preserve">Table </w:t>
      </w:r>
      <w:r w:rsidR="00525959" w:rsidRPr="0031099C">
        <w:rPr>
          <w:noProof/>
          <w:color w:val="auto"/>
        </w:rPr>
        <w:t>6</w:t>
      </w:r>
      <w:bookmarkEnd w:id="13"/>
      <w:r w:rsidRPr="0031099C">
        <w:rPr>
          <w:color w:val="auto"/>
        </w:rPr>
        <w:t xml:space="preserve"> Illustration of the effect of different levels of sensitivity and specificity on ICER of TTE compared with no TTE in cohorts of </w:t>
      </w:r>
      <w:r w:rsidR="00523D67" w:rsidRPr="0031099C">
        <w:rPr>
          <w:color w:val="auto"/>
        </w:rPr>
        <w:t xml:space="preserve">female </w:t>
      </w:r>
      <w:r w:rsidRPr="0031099C">
        <w:rPr>
          <w:color w:val="auto"/>
        </w:rPr>
        <w:t xml:space="preserve">patients aged </w:t>
      </w:r>
      <w:r w:rsidR="00523D67" w:rsidRPr="0031099C">
        <w:rPr>
          <w:color w:val="auto"/>
        </w:rPr>
        <w:t>sixty five, and with an initial CHADS</w:t>
      </w:r>
      <w:r w:rsidR="00523D67" w:rsidRPr="0031099C">
        <w:rPr>
          <w:color w:val="auto"/>
          <w:vertAlign w:val="subscript"/>
        </w:rPr>
        <w:t>2</w:t>
      </w:r>
      <w:r w:rsidR="00523D67" w:rsidRPr="0031099C">
        <w:rPr>
          <w:color w:val="auto"/>
        </w:rPr>
        <w:t xml:space="preserve"> score of zero, </w:t>
      </w:r>
      <w:r w:rsidRPr="0031099C">
        <w:rPr>
          <w:color w:val="auto"/>
        </w:rPr>
        <w:t xml:space="preserve">in making the decision whether to prescribe </w:t>
      </w:r>
      <w:r w:rsidR="00523D67" w:rsidRPr="0031099C">
        <w:rPr>
          <w:color w:val="auto"/>
        </w:rPr>
        <w:t xml:space="preserve">a) </w:t>
      </w:r>
      <w:r w:rsidRPr="0031099C">
        <w:rPr>
          <w:color w:val="auto"/>
        </w:rPr>
        <w:t>warfarin</w:t>
      </w:r>
      <w:r w:rsidR="00523D67" w:rsidRPr="0031099C">
        <w:rPr>
          <w:color w:val="auto"/>
        </w:rPr>
        <w:t xml:space="preserve">, b) </w:t>
      </w:r>
      <w:proofErr w:type="spellStart"/>
      <w:r w:rsidR="00523D67" w:rsidRPr="0031099C">
        <w:rPr>
          <w:color w:val="auto"/>
        </w:rPr>
        <w:t>rivaroxaban</w:t>
      </w:r>
      <w:proofErr w:type="spellEnd"/>
      <w:r w:rsidR="00523D67" w:rsidRPr="0031099C">
        <w:rPr>
          <w:color w:val="auto"/>
        </w:rPr>
        <w:t xml:space="preserve">, or c) </w:t>
      </w:r>
      <w:proofErr w:type="spellStart"/>
      <w:r w:rsidR="00523D67" w:rsidRPr="0031099C">
        <w:rPr>
          <w:color w:val="auto"/>
        </w:rPr>
        <w:t>dabigatran</w:t>
      </w:r>
      <w:proofErr w:type="spellEnd"/>
      <w:r w:rsidRPr="0031099C">
        <w:rPr>
          <w:color w:val="auto"/>
        </w:rPr>
        <w:t>.</w:t>
      </w:r>
      <w:r w:rsidR="00040779" w:rsidRPr="0031099C">
        <w:rPr>
          <w:color w:val="auto"/>
        </w:rPr>
        <w:t xml:space="preserve"> The four cells with sensitivity and specificity values closest to the empirical values are underlined</w:t>
      </w:r>
      <w:r w:rsidR="0053772E" w:rsidRPr="0031099C">
        <w:rPr>
          <w:color w:val="auto"/>
        </w:rPr>
        <w:t>.</w:t>
      </w:r>
      <w:r w:rsidRPr="0031099C">
        <w:rPr>
          <w:color w:val="auto"/>
        </w:rPr>
        <w:t xml:space="preserve"> (Amounts in £1000 / QALY; &gt;99; Over £99,000/QALY; D: </w:t>
      </w:r>
      <w:commentRangeStart w:id="17"/>
      <w:r w:rsidRPr="0031099C">
        <w:rPr>
          <w:color w:val="auto"/>
        </w:rPr>
        <w:t>Dominated</w:t>
      </w:r>
      <w:commentRangeEnd w:id="17"/>
      <w:r w:rsidR="00D7721F" w:rsidRPr="0031099C">
        <w:rPr>
          <w:rStyle w:val="CommentReference"/>
          <w:rFonts w:ascii="Times New Roman" w:eastAsia="Times New Roman" w:hAnsi="Times New Roman" w:cs="Times New Roman"/>
          <w:b w:val="0"/>
          <w:bCs w:val="0"/>
          <w:color w:val="auto"/>
          <w:lang w:eastAsia="en-GB" w:bidi="ar-SA"/>
        </w:rPr>
        <w:commentReference w:id="17"/>
      </w:r>
      <w:r w:rsidRPr="0031099C">
        <w:rPr>
          <w:color w:val="auto"/>
        </w:rPr>
        <w:t>)</w:t>
      </w:r>
    </w:p>
    <w:tbl>
      <w:tblPr>
        <w:tblpPr w:leftFromText="180" w:rightFromText="180" w:vertAnchor="page" w:horzAnchor="margin" w:tblpY="2911"/>
        <w:tblW w:w="0" w:type="auto"/>
        <w:tblLook w:val="04A0" w:firstRow="1" w:lastRow="0" w:firstColumn="1" w:lastColumn="0" w:noHBand="0" w:noVBand="1"/>
      </w:tblPr>
      <w:tblGrid>
        <w:gridCol w:w="556"/>
        <w:gridCol w:w="686"/>
        <w:gridCol w:w="549"/>
        <w:gridCol w:w="567"/>
        <w:gridCol w:w="607"/>
        <w:gridCol w:w="607"/>
        <w:gridCol w:w="607"/>
        <w:gridCol w:w="607"/>
        <w:gridCol w:w="607"/>
        <w:gridCol w:w="780"/>
        <w:gridCol w:w="709"/>
        <w:gridCol w:w="607"/>
        <w:gridCol w:w="552"/>
      </w:tblGrid>
      <w:tr w:rsidR="00D7721F" w:rsidRPr="0031099C"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31099C" w:rsidRDefault="00DB7C63" w:rsidP="00523D67">
            <w:pPr>
              <w:pStyle w:val="ListParagraph"/>
              <w:numPr>
                <w:ilvl w:val="0"/>
                <w:numId w:val="23"/>
              </w:numPr>
              <w:spacing w:after="0" w:line="240" w:lineRule="auto"/>
              <w:rPr>
                <w:rFonts w:ascii="Calibri" w:eastAsia="Times New Roman" w:hAnsi="Calibri" w:cs="Calibri"/>
                <w:b/>
                <w:bCs/>
                <w:i/>
                <w:iCs/>
                <w:lang w:eastAsia="en-GB"/>
              </w:rPr>
            </w:pP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523D67">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tcPr>
          <w:p w:rsidR="00DB7C63" w:rsidRPr="0031099C" w:rsidRDefault="00DB7C63" w:rsidP="00523D67">
            <w:pPr>
              <w:spacing w:after="0" w:line="240" w:lineRule="auto"/>
              <w:rPr>
                <w:rFonts w:ascii="Calibri" w:eastAsia="Times New Roman" w:hAnsi="Calibri" w:cs="Calibri"/>
                <w:b/>
                <w:bCs/>
                <w:i/>
                <w:iCs/>
                <w:lang w:eastAsia="en-GB"/>
              </w:rPr>
            </w:pP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523D67">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D7721F">
            <w:pPr>
              <w:spacing w:after="0" w:line="240" w:lineRule="auto"/>
              <w:rPr>
                <w:rFonts w:ascii="Calibri" w:eastAsia="Times New Roman" w:hAnsi="Calibri" w:cs="Calibri"/>
                <w:lang w:eastAsia="en-GB"/>
              </w:rPr>
            </w:pPr>
            <w:r w:rsidRPr="0031099C">
              <w:rPr>
                <w:rFonts w:ascii="Calibri" w:eastAsia="Times New Roman" w:hAnsi="Calibri" w:cs="Calibri"/>
                <w:lang w:eastAsia="en-GB"/>
              </w:rPr>
              <w:t>12.9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54.7</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58.6</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65.7</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40.5</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98691C" w:rsidRPr="0031099C" w:rsidRDefault="0098691C" w:rsidP="003162AB">
      <w:pPr>
        <w:divId w:val="1548566716"/>
      </w:pPr>
    </w:p>
    <w:p w:rsidR="0098691C" w:rsidRPr="0031099C" w:rsidRDefault="0098691C" w:rsidP="003162AB">
      <w:pPr>
        <w:divId w:val="1548566716"/>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D7721F" w:rsidRPr="0031099C" w:rsidTr="00345E19">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b)</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D7721F" w:rsidRPr="0031099C" w:rsidRDefault="00D7721F">
      <w:pPr>
        <w:spacing w:line="276" w:lineRule="auto"/>
        <w:jc w:val="left"/>
      </w:pPr>
    </w:p>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D7721F" w:rsidRPr="0031099C" w:rsidTr="00345E19">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c)</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D7721F">
            <w:pPr>
              <w:spacing w:after="0" w:line="240" w:lineRule="auto"/>
              <w:rPr>
                <w:rFonts w:ascii="Calibri" w:eastAsia="Times New Roman" w:hAnsi="Calibri" w:cs="Calibri"/>
                <w:b/>
                <w:bCs/>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2D3329" w:rsidRPr="0031099C" w:rsidRDefault="002D3329">
      <w:pPr>
        <w:spacing w:line="276" w:lineRule="auto"/>
        <w:jc w:val="left"/>
      </w:pPr>
      <w:r w:rsidRPr="0031099C">
        <w:br w:type="page"/>
      </w:r>
    </w:p>
    <w:p w:rsidR="003162AB" w:rsidRPr="0031099C" w:rsidRDefault="003A6116" w:rsidP="003A6116">
      <w:pPr>
        <w:pStyle w:val="Caption"/>
        <w:divId w:val="1548566716"/>
        <w:rPr>
          <w:color w:val="auto"/>
        </w:rPr>
      </w:pPr>
      <w:bookmarkStart w:id="18" w:name="_Ref335142114"/>
      <w:proofErr w:type="gramStart"/>
      <w:r w:rsidRPr="0031099C">
        <w:rPr>
          <w:color w:val="auto"/>
        </w:rPr>
        <w:lastRenderedPageBreak/>
        <w:t xml:space="preserve">Table </w:t>
      </w:r>
      <w:r w:rsidR="00345E19" w:rsidRPr="0031099C">
        <w:rPr>
          <w:noProof/>
          <w:color w:val="auto"/>
        </w:rPr>
        <w:t>7</w:t>
      </w:r>
      <w:bookmarkEnd w:id="18"/>
      <w:r w:rsidRPr="0031099C">
        <w:rPr>
          <w:color w:val="auto"/>
        </w:rPr>
        <w:t xml:space="preserve"> </w:t>
      </w:r>
      <w:commentRangeStart w:id="19"/>
      <w:r w:rsidRPr="0031099C">
        <w:rPr>
          <w:color w:val="auto"/>
        </w:rPr>
        <w:t>Qualitat</w:t>
      </w:r>
      <w:r w:rsidR="00610C33" w:rsidRPr="0031099C">
        <w:rPr>
          <w:color w:val="auto"/>
        </w:rPr>
        <w:t>ive summary of results of all 10</w:t>
      </w:r>
      <w:r w:rsidRPr="0031099C">
        <w:rPr>
          <w:color w:val="auto"/>
        </w:rPr>
        <w:t xml:space="preserve"> scenarios</w:t>
      </w:r>
      <w:r w:rsidR="00D7721F" w:rsidRPr="0031099C">
        <w:rPr>
          <w:color w:val="auto"/>
        </w:rPr>
        <w:t>.</w:t>
      </w:r>
      <w:proofErr w:type="gramEnd"/>
      <w:r w:rsidR="00D7721F" w:rsidRPr="0031099C">
        <w:rPr>
          <w:color w:val="auto"/>
        </w:rPr>
        <w:t xml:space="preserve"> ICERs presented to nearest £1,000/QALY. QALY: Quality Adjusted </w:t>
      </w:r>
      <w:proofErr w:type="spellStart"/>
      <w:r w:rsidR="00D7721F" w:rsidRPr="0031099C">
        <w:rPr>
          <w:color w:val="auto"/>
        </w:rPr>
        <w:t>Lifeyear</w:t>
      </w:r>
      <w:proofErr w:type="spellEnd"/>
      <w:r w:rsidR="00D7721F" w:rsidRPr="0031099C">
        <w:rPr>
          <w:color w:val="auto"/>
        </w:rPr>
        <w:t xml:space="preserve">. </w:t>
      </w:r>
      <w:r w:rsidR="00525959" w:rsidRPr="0031099C">
        <w:rPr>
          <w:color w:val="auto"/>
        </w:rPr>
        <w:t xml:space="preserve">ICER: Incremental Cost Effectiveness Ratio. </w:t>
      </w:r>
      <w:r w:rsidR="00D7721F" w:rsidRPr="0031099C">
        <w:rPr>
          <w:color w:val="auto"/>
        </w:rPr>
        <w:t xml:space="preserve">NA: Not applicable. OAC: Oral anticoagulant. </w:t>
      </w:r>
      <w:r w:rsidR="0016298B" w:rsidRPr="0031099C">
        <w:rPr>
          <w:color w:val="auto"/>
        </w:rPr>
        <w:t xml:space="preserve">TTE: Transthoracic echocardiography. </w:t>
      </w:r>
      <w:r w:rsidR="00D7721F" w:rsidRPr="0031099C">
        <w:rPr>
          <w:color w:val="auto"/>
        </w:rPr>
        <w:t xml:space="preserve">Simple Dominance: </w:t>
      </w:r>
      <w:r w:rsidR="0016298B" w:rsidRPr="0031099C">
        <w:rPr>
          <w:color w:val="auto"/>
        </w:rPr>
        <w:t>TTE strategy is more expensive and less effective than no TTE strategy.</w:t>
      </w:r>
      <w:commentRangeEnd w:id="19"/>
      <w:r w:rsidR="00525959" w:rsidRPr="0031099C">
        <w:rPr>
          <w:rStyle w:val="CommentReference"/>
          <w:rFonts w:ascii="Times New Roman" w:eastAsia="Times New Roman" w:hAnsi="Times New Roman" w:cs="Times New Roman"/>
          <w:b w:val="0"/>
          <w:bCs w:val="0"/>
          <w:color w:val="auto"/>
          <w:lang w:eastAsia="en-GB" w:bidi="ar-SA"/>
        </w:rPr>
        <w:commentReference w:id="19"/>
      </w:r>
    </w:p>
    <w:tbl>
      <w:tblPr>
        <w:tblStyle w:val="TableGrid"/>
        <w:tblW w:w="8046" w:type="dxa"/>
        <w:tblLayout w:type="fixed"/>
        <w:tblLook w:val="04A0" w:firstRow="1" w:lastRow="0" w:firstColumn="1" w:lastColumn="0" w:noHBand="0" w:noVBand="1"/>
      </w:tblPr>
      <w:tblGrid>
        <w:gridCol w:w="675"/>
        <w:gridCol w:w="882"/>
        <w:gridCol w:w="1258"/>
        <w:gridCol w:w="2538"/>
        <w:gridCol w:w="1418"/>
        <w:gridCol w:w="1275"/>
      </w:tblGrid>
      <w:tr w:rsidR="00525959" w:rsidRPr="0031099C" w:rsidTr="0016298B">
        <w:trPr>
          <w:divId w:val="1548566716"/>
          <w:trHeight w:val="318"/>
        </w:trPr>
        <w:tc>
          <w:tcPr>
            <w:tcW w:w="675" w:type="dxa"/>
            <w:vMerge w:val="restart"/>
          </w:tcPr>
          <w:p w:rsidR="00610C33" w:rsidRPr="0031099C" w:rsidRDefault="00610C33" w:rsidP="003162AB">
            <w:r w:rsidRPr="0031099C">
              <w:t>Age</w:t>
            </w:r>
          </w:p>
        </w:tc>
        <w:tc>
          <w:tcPr>
            <w:tcW w:w="882" w:type="dxa"/>
            <w:vMerge w:val="restart"/>
          </w:tcPr>
          <w:p w:rsidR="00610C33" w:rsidRPr="0031099C" w:rsidRDefault="00610C33" w:rsidP="003162AB">
            <w:r w:rsidRPr="0031099C">
              <w:t>Gender</w:t>
            </w:r>
          </w:p>
        </w:tc>
        <w:tc>
          <w:tcPr>
            <w:tcW w:w="1258" w:type="dxa"/>
            <w:vMerge w:val="restart"/>
          </w:tcPr>
          <w:p w:rsidR="00610C33" w:rsidRPr="0031099C" w:rsidRDefault="00610C33" w:rsidP="003162AB">
            <w:r w:rsidRPr="0031099C">
              <w:t>OAC</w:t>
            </w:r>
          </w:p>
        </w:tc>
        <w:tc>
          <w:tcPr>
            <w:tcW w:w="2538" w:type="dxa"/>
            <w:vMerge w:val="restart"/>
          </w:tcPr>
          <w:p w:rsidR="00610C33" w:rsidRPr="0031099C" w:rsidRDefault="0016298B" w:rsidP="0016298B">
            <w:r w:rsidRPr="0031099C">
              <w:t xml:space="preserve">ICER </w:t>
            </w:r>
            <w:r w:rsidR="00610C33" w:rsidRPr="0031099C">
              <w:t>of TTE compared with no TTE</w:t>
            </w:r>
            <w:r w:rsidRPr="0031099C">
              <w:t xml:space="preserve"> strategy</w:t>
            </w:r>
          </w:p>
        </w:tc>
        <w:tc>
          <w:tcPr>
            <w:tcW w:w="2693" w:type="dxa"/>
            <w:gridSpan w:val="2"/>
          </w:tcPr>
          <w:p w:rsidR="00610C33" w:rsidRPr="0031099C" w:rsidRDefault="00610C33" w:rsidP="002D3329">
            <w:r w:rsidRPr="0031099C">
              <w:t>TTE optimal</w:t>
            </w:r>
          </w:p>
        </w:tc>
      </w:tr>
      <w:tr w:rsidR="00525959" w:rsidRPr="0031099C" w:rsidTr="0016298B">
        <w:trPr>
          <w:divId w:val="1548566716"/>
          <w:trHeight w:val="327"/>
        </w:trPr>
        <w:tc>
          <w:tcPr>
            <w:tcW w:w="675" w:type="dxa"/>
            <w:vMerge/>
          </w:tcPr>
          <w:p w:rsidR="00610C33" w:rsidRPr="0031099C" w:rsidRDefault="00610C33" w:rsidP="003162AB"/>
        </w:tc>
        <w:tc>
          <w:tcPr>
            <w:tcW w:w="882" w:type="dxa"/>
            <w:vMerge/>
          </w:tcPr>
          <w:p w:rsidR="00610C33" w:rsidRPr="0031099C" w:rsidRDefault="00610C33" w:rsidP="003162AB"/>
        </w:tc>
        <w:tc>
          <w:tcPr>
            <w:tcW w:w="1258" w:type="dxa"/>
            <w:vMerge/>
          </w:tcPr>
          <w:p w:rsidR="00610C33" w:rsidRPr="0031099C" w:rsidRDefault="00610C33" w:rsidP="003162AB"/>
        </w:tc>
        <w:tc>
          <w:tcPr>
            <w:tcW w:w="2538" w:type="dxa"/>
            <w:vMerge/>
          </w:tcPr>
          <w:p w:rsidR="00610C33" w:rsidRPr="0031099C" w:rsidRDefault="00610C33" w:rsidP="003225C4"/>
        </w:tc>
        <w:tc>
          <w:tcPr>
            <w:tcW w:w="1418" w:type="dxa"/>
          </w:tcPr>
          <w:p w:rsidR="00610C33" w:rsidRPr="0031099C" w:rsidRDefault="0016298B" w:rsidP="003225C4">
            <w:r w:rsidRPr="0031099C">
              <w:t>A</w:t>
            </w:r>
            <w:r w:rsidR="00610C33" w:rsidRPr="0031099C">
              <w:t>t £20,000</w:t>
            </w:r>
            <w:r w:rsidRPr="0031099C">
              <w:t xml:space="preserve"> </w:t>
            </w:r>
            <w:r w:rsidR="00610C33" w:rsidRPr="0031099C">
              <w:t>/</w:t>
            </w:r>
            <w:r w:rsidRPr="0031099C">
              <w:t xml:space="preserve"> </w:t>
            </w:r>
            <w:r w:rsidR="00610C33" w:rsidRPr="0031099C">
              <w:t>QALY</w:t>
            </w:r>
          </w:p>
        </w:tc>
        <w:tc>
          <w:tcPr>
            <w:tcW w:w="1275" w:type="dxa"/>
          </w:tcPr>
          <w:p w:rsidR="00610C33" w:rsidRPr="0031099C" w:rsidRDefault="00610C33" w:rsidP="003225C4">
            <w:r w:rsidRPr="0031099C">
              <w:t>At £30,000 /</w:t>
            </w:r>
            <w:r w:rsidR="0016298B" w:rsidRPr="0031099C">
              <w:t xml:space="preserve"> </w:t>
            </w:r>
            <w:r w:rsidRPr="0031099C">
              <w:t>QALY</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D7721F" w:rsidP="002D3329">
            <w:r w:rsidRPr="0031099C">
              <w:t>£67,000/QALY</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D7721F" w:rsidP="003162AB">
            <w:r w:rsidRPr="0031099C">
              <w:t>£40,000/QALY</w:t>
            </w:r>
          </w:p>
        </w:tc>
        <w:tc>
          <w:tcPr>
            <w:tcW w:w="1418" w:type="dxa"/>
          </w:tcPr>
          <w:p w:rsidR="00610C33" w:rsidRPr="0031099C" w:rsidRDefault="00D7721F" w:rsidP="003162AB">
            <w:r w:rsidRPr="0031099C">
              <w:t>No</w:t>
            </w:r>
          </w:p>
        </w:tc>
        <w:tc>
          <w:tcPr>
            <w:tcW w:w="1275" w:type="dxa"/>
          </w:tcPr>
          <w:p w:rsidR="00610C33" w:rsidRPr="0031099C" w:rsidRDefault="00D7721F" w:rsidP="003162AB">
            <w:r w:rsidRPr="0031099C">
              <w:t>No</w:t>
            </w:r>
          </w:p>
        </w:tc>
      </w:tr>
      <w:tr w:rsidR="00525959" w:rsidRPr="0031099C" w:rsidTr="0016298B">
        <w:trPr>
          <w:divId w:val="1548566716"/>
          <w:trHeight w:val="201"/>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217"/>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178"/>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16298B">
            <w:r w:rsidRPr="0031099C">
              <w:t>£30,000/QALY</w:t>
            </w:r>
          </w:p>
        </w:tc>
        <w:tc>
          <w:tcPr>
            <w:tcW w:w="1418" w:type="dxa"/>
          </w:tcPr>
          <w:p w:rsidR="00610C33" w:rsidRPr="0031099C" w:rsidRDefault="0016298B" w:rsidP="003162AB">
            <w:r w:rsidRPr="0031099C">
              <w:t>No</w:t>
            </w:r>
          </w:p>
        </w:tc>
        <w:tc>
          <w:tcPr>
            <w:tcW w:w="1275" w:type="dxa"/>
          </w:tcPr>
          <w:p w:rsidR="00610C33" w:rsidRPr="0031099C" w:rsidRDefault="0016298B" w:rsidP="002D3329">
            <w:r w:rsidRPr="0031099C">
              <w:t>Borderline</w:t>
            </w:r>
            <w:r w:rsidRPr="0031099C">
              <w:rPr>
                <w:rStyle w:val="FootnoteReference"/>
              </w:rPr>
              <w:footnoteReference w:id="1"/>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£23,000/QALY</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Yes</w:t>
            </w:r>
          </w:p>
        </w:tc>
      </w:tr>
      <w:tr w:rsidR="00525959" w:rsidRPr="0031099C" w:rsidTr="0016298B">
        <w:trPr>
          <w:divId w:val="1548566716"/>
          <w:trHeight w:val="20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dabigatran</w:t>
            </w:r>
            <w:proofErr w:type="spellEnd"/>
          </w:p>
        </w:tc>
        <w:tc>
          <w:tcPr>
            <w:tcW w:w="2538" w:type="dxa"/>
          </w:tcPr>
          <w:p w:rsidR="00610C33" w:rsidRPr="0031099C" w:rsidRDefault="0016298B" w:rsidP="002D3329">
            <w:r w:rsidRPr="0031099C">
              <w:t>£15,000/QALY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dabigatran</w:t>
            </w:r>
            <w:proofErr w:type="spellEnd"/>
          </w:p>
        </w:tc>
        <w:tc>
          <w:tcPr>
            <w:tcW w:w="2538" w:type="dxa"/>
          </w:tcPr>
          <w:p w:rsidR="00610C33" w:rsidRPr="0031099C" w:rsidRDefault="0016298B" w:rsidP="002D3329">
            <w:r w:rsidRPr="0031099C">
              <w:t>£12,000/QALY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bl>
    <w:p w:rsidR="003162AB" w:rsidRPr="0031099C" w:rsidRDefault="003162AB" w:rsidP="003162AB">
      <w:pPr>
        <w:divId w:val="1548566716"/>
        <w:rPr>
          <w:lang w:val="en-GB"/>
        </w:rPr>
      </w:pPr>
    </w:p>
    <w:p w:rsidR="006E20FD" w:rsidRPr="0031099C" w:rsidRDefault="006E20FD" w:rsidP="003162AB">
      <w:pPr>
        <w:divId w:val="1548566716"/>
        <w:rPr>
          <w:lang w:val="en-GB"/>
        </w:rPr>
      </w:pPr>
    </w:p>
    <w:p w:rsidR="006E20FD" w:rsidRPr="0031099C" w:rsidRDefault="006E20FD">
      <w:pPr>
        <w:spacing w:line="276" w:lineRule="auto"/>
        <w:jc w:val="left"/>
        <w:rPr>
          <w:lang w:val="en-GB"/>
        </w:rPr>
      </w:pPr>
      <w:r w:rsidRPr="0031099C">
        <w:rPr>
          <w:lang w:val="en-GB"/>
        </w:rPr>
        <w:br w:type="page"/>
      </w:r>
    </w:p>
    <w:p w:rsidR="006E20FD" w:rsidRPr="0031099C" w:rsidRDefault="006E20FD" w:rsidP="006E20FD">
      <w:pPr>
        <w:pStyle w:val="Heading1"/>
        <w:divId w:val="1548566716"/>
        <w:rPr>
          <w:lang w:val="en-GB"/>
        </w:rPr>
      </w:pPr>
      <w:r w:rsidRPr="0031099C">
        <w:rPr>
          <w:lang w:val="en-GB"/>
        </w:rPr>
        <w:lastRenderedPageBreak/>
        <w:t>Appendix</w:t>
      </w:r>
    </w:p>
    <w:p w:rsidR="006E20FD" w:rsidRPr="0031099C" w:rsidRDefault="006E20FD" w:rsidP="006E20FD">
      <w:pPr>
        <w:pStyle w:val="Heading2"/>
        <w:divId w:val="1548566716"/>
        <w:rPr>
          <w:lang w:val="en-GB"/>
        </w:rPr>
      </w:pPr>
      <w:r w:rsidRPr="0031099C">
        <w:rPr>
          <w:lang w:val="en-GB"/>
        </w:rPr>
        <w:t>Sensitivity and Specificity tables</w:t>
      </w:r>
    </w:p>
    <w:tbl>
      <w:tblPr>
        <w:tblStyle w:val="TableGrid"/>
        <w:tblW w:w="0" w:type="auto"/>
        <w:tblLook w:val="04A0" w:firstRow="1" w:lastRow="0" w:firstColumn="1" w:lastColumn="0" w:noHBand="0" w:noVBand="1"/>
      </w:tblPr>
      <w:tblGrid>
        <w:gridCol w:w="7905"/>
      </w:tblGrid>
      <w:tr w:rsidR="004B4D95" w:rsidRPr="0031099C"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4B4D95" w:rsidRPr="0031099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bl>
          <w:p w:rsidR="006E20FD" w:rsidRPr="0031099C" w:rsidRDefault="006E20FD" w:rsidP="006E20FD">
            <w:pPr>
              <w:jc w:val="center"/>
            </w:pPr>
          </w:p>
        </w:tc>
      </w:tr>
      <w:tr w:rsidR="006E20FD" w:rsidRPr="0031099C" w:rsidTr="006E20FD">
        <w:trPr>
          <w:divId w:val="1548566716"/>
        </w:trPr>
        <w:tc>
          <w:tcPr>
            <w:tcW w:w="7905" w:type="dxa"/>
          </w:tcPr>
          <w:p w:rsidR="006E20FD" w:rsidRPr="0031099C" w:rsidRDefault="006E20FD" w:rsidP="006E20FD">
            <w:pPr>
              <w:pStyle w:val="ListParagraph"/>
              <w:numPr>
                <w:ilvl w:val="0"/>
                <w:numId w:val="17"/>
              </w:numPr>
              <w:spacing w:line="240" w:lineRule="auto"/>
              <w:jc w:val="center"/>
            </w:pPr>
            <w:r w:rsidRPr="0031099C">
              <w:t>W_50_0_M</w:t>
            </w:r>
          </w:p>
        </w:tc>
      </w:tr>
      <w:tr w:rsidR="006E20FD" w:rsidRPr="0031099C"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4B4D95" w:rsidRPr="0031099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bl>
          <w:p w:rsidR="006E20FD" w:rsidRPr="0031099C" w:rsidRDefault="006E20FD" w:rsidP="006E20FD">
            <w:pPr>
              <w:pStyle w:val="ListParagraph"/>
              <w:numPr>
                <w:ilvl w:val="0"/>
                <w:numId w:val="17"/>
              </w:numPr>
              <w:spacing w:line="240" w:lineRule="auto"/>
              <w:jc w:val="center"/>
            </w:pPr>
            <w:r w:rsidRPr="0031099C">
              <w:t>W_65_0_M</w:t>
            </w:r>
          </w:p>
        </w:tc>
      </w:tr>
    </w:tbl>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8046"/>
      </w:tblGrid>
      <w:tr w:rsidR="006E20FD" w:rsidRPr="0031099C"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DE6F42"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Specificity</w:t>
                  </w:r>
                </w:p>
              </w:tc>
            </w:tr>
            <w:tr w:rsidR="00DE6F42"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E6F42"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6E20FD" w:rsidRPr="0031099C" w:rsidRDefault="006E20FD" w:rsidP="006E20FD">
            <w:pPr>
              <w:jc w:val="center"/>
            </w:pPr>
          </w:p>
        </w:tc>
      </w:tr>
      <w:tr w:rsidR="006E20FD" w:rsidRPr="0031099C" w:rsidTr="006E20FD">
        <w:trPr>
          <w:divId w:val="1548566716"/>
          <w:trHeight w:val="151"/>
        </w:trPr>
        <w:tc>
          <w:tcPr>
            <w:tcW w:w="8046" w:type="dxa"/>
          </w:tcPr>
          <w:p w:rsidR="006E20FD" w:rsidRPr="0031099C" w:rsidRDefault="006E20FD" w:rsidP="006E20FD">
            <w:pPr>
              <w:pStyle w:val="ListParagraph"/>
              <w:numPr>
                <w:ilvl w:val="0"/>
                <w:numId w:val="17"/>
              </w:numPr>
              <w:spacing w:line="240" w:lineRule="auto"/>
              <w:jc w:val="center"/>
            </w:pPr>
            <w:r w:rsidRPr="0031099C">
              <w:t>W_65_0_F</w:t>
            </w:r>
          </w:p>
        </w:tc>
      </w:tr>
    </w:tbl>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8046"/>
      </w:tblGrid>
      <w:tr w:rsidR="006E20FD" w:rsidRPr="0031099C"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31099C"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bl>
          <w:p w:rsidR="006E20FD" w:rsidRPr="0031099C" w:rsidRDefault="006E20FD" w:rsidP="006E20FD">
            <w:pPr>
              <w:jc w:val="center"/>
            </w:pPr>
          </w:p>
        </w:tc>
      </w:tr>
      <w:tr w:rsidR="006E20FD" w:rsidRPr="0031099C" w:rsidTr="006E20FD">
        <w:trPr>
          <w:divId w:val="1548566716"/>
          <w:trHeight w:val="118"/>
        </w:trPr>
        <w:tc>
          <w:tcPr>
            <w:tcW w:w="8046" w:type="dxa"/>
          </w:tcPr>
          <w:p w:rsidR="006E20FD" w:rsidRPr="0031099C" w:rsidRDefault="006E20FD" w:rsidP="006E20FD">
            <w:pPr>
              <w:pStyle w:val="ListParagraph"/>
              <w:numPr>
                <w:ilvl w:val="0"/>
                <w:numId w:val="17"/>
              </w:numPr>
              <w:spacing w:line="240" w:lineRule="auto"/>
              <w:jc w:val="center"/>
            </w:pPr>
            <w:r w:rsidRPr="0031099C">
              <w:t>R_50_0_M</w:t>
            </w:r>
          </w:p>
        </w:tc>
      </w:tr>
    </w:tbl>
    <w:p w:rsidR="006E20FD" w:rsidRPr="0031099C" w:rsidRDefault="006E20FD" w:rsidP="006E20FD">
      <w:pPr>
        <w:divId w:val="1548566716"/>
      </w:pPr>
    </w:p>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9242"/>
      </w:tblGrid>
      <w:tr w:rsidR="006E20FD" w:rsidRPr="0031099C"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31099C"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bl>
          <w:p w:rsidR="006E20FD" w:rsidRPr="0031099C" w:rsidRDefault="006E20FD" w:rsidP="006E20FD">
            <w:pPr>
              <w:jc w:val="center"/>
            </w:pPr>
          </w:p>
        </w:tc>
      </w:tr>
      <w:tr w:rsidR="006E20FD" w:rsidRPr="0031099C" w:rsidTr="006E20FD">
        <w:trPr>
          <w:divId w:val="1548566716"/>
          <w:trHeight w:val="118"/>
        </w:trPr>
        <w:tc>
          <w:tcPr>
            <w:tcW w:w="9242" w:type="dxa"/>
          </w:tcPr>
          <w:p w:rsidR="006E20FD" w:rsidRPr="0031099C" w:rsidRDefault="006E20FD" w:rsidP="006E20FD">
            <w:pPr>
              <w:pStyle w:val="ListParagraph"/>
              <w:numPr>
                <w:ilvl w:val="0"/>
                <w:numId w:val="17"/>
              </w:numPr>
              <w:spacing w:line="240" w:lineRule="auto"/>
              <w:jc w:val="center"/>
            </w:pPr>
            <w:r w:rsidRPr="0031099C">
              <w:t>R_50_0_F</w:t>
            </w:r>
          </w:p>
        </w:tc>
      </w:tr>
      <w:tr w:rsidR="006E20FD" w:rsidRPr="0031099C"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31099C"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bl>
          <w:p w:rsidR="006E20FD" w:rsidRPr="0031099C" w:rsidRDefault="006E20FD" w:rsidP="006E20FD">
            <w:pPr>
              <w:jc w:val="center"/>
            </w:pPr>
          </w:p>
        </w:tc>
      </w:tr>
      <w:tr w:rsidR="006E20FD" w:rsidRPr="0031099C" w:rsidTr="006E20FD">
        <w:trPr>
          <w:divId w:val="1548566716"/>
          <w:trHeight w:val="134"/>
        </w:trPr>
        <w:tc>
          <w:tcPr>
            <w:tcW w:w="9242" w:type="dxa"/>
          </w:tcPr>
          <w:p w:rsidR="006E20FD" w:rsidRPr="0031099C" w:rsidRDefault="006E20FD" w:rsidP="006E20FD">
            <w:pPr>
              <w:pStyle w:val="ListParagraph"/>
              <w:numPr>
                <w:ilvl w:val="0"/>
                <w:numId w:val="17"/>
              </w:numPr>
              <w:spacing w:line="240" w:lineRule="auto"/>
              <w:jc w:val="center"/>
            </w:pPr>
            <w:r w:rsidRPr="0031099C">
              <w:t>R_65_0_M</w:t>
            </w:r>
          </w:p>
        </w:tc>
      </w:tr>
      <w:tr w:rsidR="006E20FD" w:rsidRPr="0031099C"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31099C"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6E20FD" w:rsidRPr="0031099C" w:rsidRDefault="006E20FD" w:rsidP="006E20FD">
            <w:pPr>
              <w:jc w:val="center"/>
            </w:pPr>
          </w:p>
        </w:tc>
      </w:tr>
      <w:tr w:rsidR="006E20FD" w:rsidRPr="0031099C" w:rsidTr="006E20FD">
        <w:trPr>
          <w:divId w:val="1548566716"/>
          <w:trHeight w:val="117"/>
        </w:trPr>
        <w:tc>
          <w:tcPr>
            <w:tcW w:w="9242" w:type="dxa"/>
          </w:tcPr>
          <w:p w:rsidR="006E20FD" w:rsidRPr="0031099C" w:rsidRDefault="006E20FD" w:rsidP="006E20FD">
            <w:pPr>
              <w:pStyle w:val="ListParagraph"/>
              <w:numPr>
                <w:ilvl w:val="0"/>
                <w:numId w:val="17"/>
              </w:numPr>
              <w:spacing w:line="240" w:lineRule="auto"/>
              <w:jc w:val="center"/>
            </w:pPr>
            <w:r w:rsidRPr="0031099C">
              <w:t>R_65_0_F</w:t>
            </w:r>
          </w:p>
        </w:tc>
      </w:tr>
    </w:tbl>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9242"/>
      </w:tblGrid>
      <w:tr w:rsidR="006E20FD" w:rsidRPr="0031099C" w:rsidTr="006E20FD">
        <w:trPr>
          <w:divId w:val="1548566716"/>
          <w:trHeight w:val="118"/>
        </w:trPr>
        <w:tc>
          <w:tcPr>
            <w:tcW w:w="9242" w:type="dxa"/>
          </w:tcPr>
          <w:p w:rsidR="006E20FD" w:rsidRPr="0031099C"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bl>
          <w:p w:rsidR="006E20FD" w:rsidRPr="0031099C" w:rsidRDefault="006E20FD" w:rsidP="006E20FD">
            <w:pPr>
              <w:jc w:val="center"/>
            </w:pPr>
          </w:p>
        </w:tc>
      </w:tr>
      <w:tr w:rsidR="006E20FD" w:rsidRPr="0031099C" w:rsidTr="006E20FD">
        <w:trPr>
          <w:divId w:val="1548566716"/>
          <w:trHeight w:val="117"/>
        </w:trPr>
        <w:tc>
          <w:tcPr>
            <w:tcW w:w="9242" w:type="dxa"/>
          </w:tcPr>
          <w:p w:rsidR="006E20FD" w:rsidRPr="0031099C" w:rsidRDefault="006E20FD" w:rsidP="006E20FD">
            <w:pPr>
              <w:pStyle w:val="ListParagraph"/>
              <w:numPr>
                <w:ilvl w:val="0"/>
                <w:numId w:val="17"/>
              </w:numPr>
              <w:spacing w:line="240" w:lineRule="auto"/>
              <w:jc w:val="center"/>
            </w:pPr>
            <w:r w:rsidRPr="0031099C">
              <w:t>D_65_0_M</w:t>
            </w:r>
          </w:p>
        </w:tc>
      </w:tr>
      <w:tr w:rsidR="006E20FD" w:rsidRPr="0031099C"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6E20FD" w:rsidRPr="0031099C" w:rsidRDefault="006E20FD" w:rsidP="006E20FD">
            <w:pPr>
              <w:jc w:val="center"/>
            </w:pPr>
          </w:p>
        </w:tc>
      </w:tr>
      <w:tr w:rsidR="006E20FD" w:rsidRPr="0031099C" w:rsidTr="006E20FD">
        <w:trPr>
          <w:divId w:val="1548566716"/>
          <w:trHeight w:val="117"/>
        </w:trPr>
        <w:tc>
          <w:tcPr>
            <w:tcW w:w="9242" w:type="dxa"/>
          </w:tcPr>
          <w:p w:rsidR="006E20FD" w:rsidRPr="0031099C" w:rsidRDefault="006E20FD" w:rsidP="006E20FD">
            <w:pPr>
              <w:pStyle w:val="ListParagraph"/>
              <w:numPr>
                <w:ilvl w:val="0"/>
                <w:numId w:val="17"/>
              </w:numPr>
              <w:spacing w:line="240" w:lineRule="auto"/>
              <w:jc w:val="center"/>
            </w:pPr>
            <w:r w:rsidRPr="0031099C">
              <w:t>D_65_0_F</w:t>
            </w:r>
          </w:p>
        </w:tc>
      </w:tr>
    </w:tbl>
    <w:p w:rsidR="006E20FD" w:rsidRPr="0031099C" w:rsidRDefault="006E20FD" w:rsidP="006E20FD">
      <w:pPr>
        <w:jc w:val="center"/>
        <w:divId w:val="1548566716"/>
      </w:pPr>
    </w:p>
    <w:p w:rsidR="006E20FD" w:rsidRPr="0031099C" w:rsidRDefault="006E20FD">
      <w:pPr>
        <w:spacing w:line="276" w:lineRule="auto"/>
        <w:jc w:val="left"/>
        <w:rPr>
          <w:lang w:val="en-GB"/>
        </w:rPr>
      </w:pPr>
    </w:p>
    <w:p w:rsidR="006E20FD" w:rsidRPr="0031099C" w:rsidRDefault="006E20FD">
      <w:pPr>
        <w:spacing w:line="276" w:lineRule="auto"/>
        <w:jc w:val="left"/>
        <w:rPr>
          <w:lang w:val="en-GB"/>
        </w:rPr>
      </w:pPr>
    </w:p>
    <w:p w:rsidR="006E20FD" w:rsidRPr="0031099C" w:rsidRDefault="006E20FD">
      <w:pPr>
        <w:spacing w:line="276" w:lineRule="auto"/>
        <w:jc w:val="left"/>
        <w:rPr>
          <w:lang w:val="en-GB"/>
        </w:rPr>
        <w:sectPr w:rsidR="006E20FD" w:rsidRPr="0031099C" w:rsidSect="006D0808">
          <w:pgSz w:w="11906" w:h="16838"/>
          <w:pgMar w:top="1440" w:right="1440" w:bottom="1440" w:left="1440" w:header="709" w:footer="709" w:gutter="0"/>
          <w:cols w:space="708"/>
          <w:docGrid w:linePitch="360"/>
        </w:sectPr>
      </w:pPr>
    </w:p>
    <w:p w:rsidR="006E20FD" w:rsidRPr="0031099C" w:rsidRDefault="006E20FD" w:rsidP="006E20FD">
      <w:pPr>
        <w:pStyle w:val="Heading1"/>
        <w:divId w:val="1548566716"/>
      </w:pPr>
      <w:r w:rsidRPr="0031099C">
        <w:lastRenderedPageBreak/>
        <w:t>Fifty year old males,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tbl>
      <w:tblPr>
        <w:tblStyle w:val="TableGrid"/>
        <w:tblW w:w="14174" w:type="dxa"/>
        <w:tblLook w:val="04A0" w:firstRow="1" w:lastRow="0" w:firstColumn="1" w:lastColumn="0" w:noHBand="0" w:noVBand="1"/>
      </w:tblPr>
      <w:tblGrid>
        <w:gridCol w:w="113"/>
        <w:gridCol w:w="1806"/>
        <w:gridCol w:w="1133"/>
        <w:gridCol w:w="993"/>
        <w:gridCol w:w="850"/>
        <w:gridCol w:w="851"/>
        <w:gridCol w:w="1275"/>
        <w:gridCol w:w="66"/>
        <w:gridCol w:w="1352"/>
        <w:gridCol w:w="718"/>
        <w:gridCol w:w="841"/>
        <w:gridCol w:w="4176"/>
      </w:tblGrid>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Cause of Death (%)</w:t>
            </w:r>
          </w:p>
        </w:tc>
        <w:tc>
          <w:tcPr>
            <w:tcW w:w="4252" w:type="dxa"/>
            <w:gridSpan w:val="5"/>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Average Number of Events</w:t>
            </w:r>
          </w:p>
        </w:tc>
      </w:tr>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Dependent Strokes</w:t>
            </w:r>
          </w:p>
        </w:tc>
        <w:tc>
          <w:tcPr>
            <w:tcW w:w="1418" w:type="dxa"/>
            <w:gridSpan w:val="2"/>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NICH</w:t>
            </w:r>
          </w:p>
        </w:tc>
      </w:tr>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87.1</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0.120</w:t>
            </w:r>
          </w:p>
        </w:tc>
        <w:tc>
          <w:tcPr>
            <w:tcW w:w="1418" w:type="dxa"/>
            <w:gridSpan w:val="2"/>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0.075</w:t>
            </w:r>
          </w:p>
        </w:tc>
      </w:tr>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87.4</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0.111</w:t>
            </w:r>
          </w:p>
        </w:tc>
        <w:tc>
          <w:tcPr>
            <w:tcW w:w="1418" w:type="dxa"/>
            <w:gridSpan w:val="2"/>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0.112</w:t>
            </w:r>
          </w:p>
        </w:tc>
      </w:tr>
      <w:tr w:rsidR="0031099C" w:rsidRPr="0031099C" w:rsidTr="00ED0A41">
        <w:trPr>
          <w:divId w:val="1548566716"/>
          <w:trHeight w:val="5519"/>
        </w:trPr>
        <w:tc>
          <w:tcPr>
            <w:tcW w:w="7087" w:type="dxa"/>
            <w:gridSpan w:val="8"/>
          </w:tcPr>
          <w:p w:rsidR="00ED0A41" w:rsidRPr="0031099C" w:rsidRDefault="00ED0A41" w:rsidP="006E20FD">
            <w:pPr>
              <w:jc w:val="center"/>
            </w:pPr>
            <w:r w:rsidRPr="0031099C">
              <w:rPr>
                <w:noProof/>
                <w:lang w:val="en-GB" w:eastAsia="en-GB"/>
              </w:rPr>
              <w:lastRenderedPageBreak/>
              <w:drawing>
                <wp:inline distT="0" distB="0" distL="0" distR="0" wp14:anchorId="14E0EDEA" wp14:editId="1413D6BE">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gridSpan w:val="4"/>
          </w:tcPr>
          <w:p w:rsidR="00ED0A41" w:rsidRPr="0031099C" w:rsidRDefault="00ED0A41" w:rsidP="006E20FD">
            <w:pPr>
              <w:jc w:val="center"/>
            </w:pPr>
            <w:r w:rsidRPr="0031099C">
              <w:rPr>
                <w:noProof/>
                <w:lang w:val="en-GB" w:eastAsia="en-GB"/>
              </w:rPr>
              <w:drawing>
                <wp:inline distT="0" distB="0" distL="0" distR="0" wp14:anchorId="5821FB5B" wp14:editId="2AB4C513">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31099C" w:rsidRPr="0031099C" w:rsidTr="00ED0A41">
        <w:trPr>
          <w:divId w:val="1548566716"/>
        </w:trPr>
        <w:tc>
          <w:tcPr>
            <w:tcW w:w="7087" w:type="dxa"/>
            <w:gridSpan w:val="8"/>
          </w:tcPr>
          <w:p w:rsidR="00ED0A41" w:rsidRPr="0031099C" w:rsidRDefault="00ED0A41" w:rsidP="006E20FD">
            <w:r w:rsidRPr="0031099C">
              <w:t>a ) Scatterplot of difference in costs (£) against differences in QALYs</w:t>
            </w:r>
          </w:p>
        </w:tc>
        <w:tc>
          <w:tcPr>
            <w:tcW w:w="7087" w:type="dxa"/>
            <w:gridSpan w:val="4"/>
          </w:tcPr>
          <w:p w:rsidR="00ED0A41" w:rsidRPr="0031099C" w:rsidRDefault="00ED0A41" w:rsidP="006E20FD">
            <w:r w:rsidRPr="0031099C">
              <w:t>b) Cost-effectiveness Acceptability Frontier</w:t>
            </w:r>
          </w:p>
        </w:tc>
      </w:tr>
      <w:tr w:rsidR="0031099C" w:rsidRPr="0031099C" w:rsidTr="00ED0A41">
        <w:trPr>
          <w:divId w:val="1548566716"/>
          <w:trHeight w:val="1515"/>
        </w:trPr>
        <w:tc>
          <w:tcPr>
            <w:tcW w:w="14174" w:type="dxa"/>
            <w:gridSpan w:val="1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ED0A41" w:rsidRPr="0031099C" w:rsidTr="006E20FD">
              <w:trPr>
                <w:trHeight w:val="314"/>
              </w:trPr>
              <w:tc>
                <w:tcPr>
                  <w:tcW w:w="1566"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ED0A41"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ED0A41" w:rsidRPr="0031099C" w:rsidRDefault="00ED0A41"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ED0A41" w:rsidRPr="0031099C" w:rsidRDefault="00ED0A41"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r>
            <w:tr w:rsidR="00ED0A41"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r>
          </w:tbl>
          <w:p w:rsidR="00ED0A41" w:rsidRPr="0031099C" w:rsidRDefault="00ED0A41" w:rsidP="006E20FD"/>
        </w:tc>
      </w:tr>
      <w:tr w:rsidR="0031099C" w:rsidRPr="0031099C" w:rsidTr="00ED0A41">
        <w:trPr>
          <w:divId w:val="1548566716"/>
          <w:trHeight w:val="164"/>
        </w:trPr>
        <w:tc>
          <w:tcPr>
            <w:tcW w:w="14174" w:type="dxa"/>
            <w:gridSpan w:val="12"/>
            <w:tcBorders>
              <w:bottom w:val="single" w:sz="4" w:space="0" w:color="auto"/>
            </w:tcBorders>
          </w:tcPr>
          <w:p w:rsidR="00ED0A41" w:rsidRPr="0031099C" w:rsidRDefault="00ED0A41"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Fifty year old females with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tcPr>
          <w:p w:rsidR="00ED0A41" w:rsidRPr="0031099C" w:rsidRDefault="00ED0A41" w:rsidP="00ED0A41">
            <w:pPr>
              <w:spacing w:line="276" w:lineRule="auto"/>
              <w:jc w:val="left"/>
              <w:divId w:val="1548566716"/>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Average Number of Events</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NICH</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0.091</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0.130</w:t>
            </w:r>
          </w:p>
        </w:tc>
      </w:tr>
    </w:tbl>
    <w:p w:rsidR="006E20FD" w:rsidRPr="0031099C" w:rsidRDefault="006E20FD" w:rsidP="006E20FD">
      <w:pPr>
        <w:divId w:val="1548566716"/>
      </w:pPr>
    </w:p>
    <w:p w:rsidR="006E20FD" w:rsidRPr="0031099C" w:rsidRDefault="006E20FD" w:rsidP="006E20FD">
      <w:pPr>
        <w:divId w:val="1548566716"/>
      </w:pPr>
    </w:p>
    <w:p w:rsidR="006E20FD" w:rsidRPr="0031099C" w:rsidRDefault="006E20FD"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73F93CC5" wp14:editId="3B9D4DB9">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1CBB8B4D" wp14:editId="61DBBB53">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31099C"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31099C" w:rsidRPr="0031099C"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46051B"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2,815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14.27</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34,078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-£ 34,175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33,952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46051B"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5,405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14.19</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46051B" w:rsidRPr="0031099C" w:rsidTr="006E20FD">
        <w:trPr>
          <w:divId w:val="1548566716"/>
          <w:trHeight w:val="96"/>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males with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Average Number of Events</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NICH</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0.052</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0.079</w:t>
            </w:r>
          </w:p>
        </w:tc>
      </w:tr>
    </w:tbl>
    <w:p w:rsidR="006E20FD" w:rsidRPr="0031099C" w:rsidRDefault="006E20FD" w:rsidP="006E20FD">
      <w:pPr>
        <w:divId w:val="1548566716"/>
      </w:pPr>
    </w:p>
    <w:p w:rsidR="00ED0A41" w:rsidRPr="0031099C" w:rsidRDefault="00ED0A41" w:rsidP="006E20FD">
      <w:pPr>
        <w:divId w:val="1548566716"/>
      </w:pPr>
    </w:p>
    <w:p w:rsidR="00ED0A41" w:rsidRPr="0031099C" w:rsidRDefault="00ED0A41" w:rsidP="006E20FD">
      <w:pPr>
        <w:divId w:val="1548566716"/>
        <w:sectPr w:rsidR="00ED0A41"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45AE3B64" wp14:editId="482935CF">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70020ECD" wp14:editId="19FECF0D">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46051B" w:rsidRPr="0031099C"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46051B"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1,527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9.12</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66,793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£ 66,217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67,599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46051B"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2,467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9.13</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46051B" w:rsidRPr="0031099C" w:rsidTr="006E20FD">
        <w:trPr>
          <w:divId w:val="1548566716"/>
          <w:trHeight w:val="165"/>
        </w:trPr>
        <w:tc>
          <w:tcPr>
            <w:tcW w:w="14174" w:type="dxa"/>
            <w:gridSpan w:val="2"/>
            <w:tcBorders>
              <w:bottom w:val="single" w:sz="4" w:space="0" w:color="auto"/>
            </w:tcBorders>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females with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0.065</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0.095</w:t>
            </w:r>
          </w:p>
        </w:tc>
      </w:tr>
    </w:tbl>
    <w:p w:rsidR="006E20FD" w:rsidRPr="0031099C" w:rsidRDefault="006E20FD" w:rsidP="006E20FD">
      <w:pPr>
        <w:divId w:val="1548566716"/>
      </w:pPr>
    </w:p>
    <w:p w:rsidR="0031099C" w:rsidRPr="0031099C" w:rsidRDefault="0031099C" w:rsidP="006E20FD">
      <w:pPr>
        <w:divId w:val="1548566716"/>
      </w:pPr>
    </w:p>
    <w:p w:rsidR="0031099C" w:rsidRPr="0031099C" w:rsidRDefault="0031099C" w:rsidP="006E20FD">
      <w:pPr>
        <w:divId w:val="1548566716"/>
        <w:sectPr w:rsidR="0031099C"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5F59F3DF" wp14:editId="18ED9D29">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6EB2FDFE" wp14:editId="63C6D9C7">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46051B" w:rsidRPr="0031099C"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46051B"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1,974</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9.94</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39,485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£ 39,291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39,754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46051B"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3,106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9.97</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46051B" w:rsidRPr="0031099C" w:rsidTr="006E20FD">
        <w:trPr>
          <w:divId w:val="1548566716"/>
          <w:trHeight w:val="128"/>
        </w:trPr>
        <w:tc>
          <w:tcPr>
            <w:tcW w:w="14174" w:type="dxa"/>
            <w:gridSpan w:val="2"/>
            <w:tcBorders>
              <w:bottom w:val="single" w:sz="4" w:space="0" w:color="auto"/>
            </w:tcBorders>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Fifty year old 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87.2</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0.117</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0.075</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87.6</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0.108</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0.113</w:t>
            </w:r>
          </w:p>
        </w:tc>
      </w:tr>
    </w:tbl>
    <w:p w:rsidR="0031099C" w:rsidRPr="0031099C" w:rsidRDefault="0031099C"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5E9DA5B2" wp14:editId="60EA87E9">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206CE537" wp14:editId="0CA23438">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2,449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13.61</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34,060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-£ 34,170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33,910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4,614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13.54</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158"/>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Fifty year old females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85.1</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0.136</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0.091</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85.5</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0.127</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0.130</w:t>
            </w:r>
          </w:p>
        </w:tc>
      </w:tr>
    </w:tbl>
    <w:p w:rsidR="0031099C" w:rsidRPr="0031099C" w:rsidRDefault="0031099C" w:rsidP="006E20FD">
      <w:pPr>
        <w:divId w:val="1548566716"/>
      </w:pPr>
    </w:p>
    <w:p w:rsidR="006E20FD" w:rsidRPr="0031099C" w:rsidRDefault="006E20FD" w:rsidP="006E20FD">
      <w:pPr>
        <w:divId w:val="1548566716"/>
      </w:pPr>
    </w:p>
    <w:p w:rsidR="0031099C" w:rsidRPr="0031099C" w:rsidRDefault="0031099C" w:rsidP="006E20FD">
      <w:pPr>
        <w:divId w:val="1548566716"/>
        <w:sectPr w:rsidR="0031099C"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45B9F587" wp14:editId="0A0D03D4">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30588FF1" wp14:editId="5096E5AB">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2,779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14.27</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47,535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-£ 47,773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47,271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5,315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14.22</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173"/>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31099C" w:rsidRPr="0031099C" w:rsidRDefault="0031099C" w:rsidP="0031099C">
      <w:pPr>
        <w:divId w:val="1548566716"/>
      </w:pPr>
    </w:p>
    <w:p w:rsidR="0031099C" w:rsidRPr="0031099C" w:rsidRDefault="0031099C" w:rsidP="0031099C">
      <w:pPr>
        <w:divId w:val="1548566716"/>
      </w:pP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90.3</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0.085</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0.052</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90.9</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0.076</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0.080</w:t>
            </w:r>
          </w:p>
        </w:tc>
      </w:tr>
    </w:tbl>
    <w:p w:rsidR="0031099C" w:rsidRPr="0031099C" w:rsidRDefault="0031099C" w:rsidP="006E20FD">
      <w:pPr>
        <w:divId w:val="1548566716"/>
      </w:pPr>
    </w:p>
    <w:p w:rsidR="0031099C" w:rsidRPr="0031099C" w:rsidRDefault="0031099C" w:rsidP="006E20FD">
      <w:pPr>
        <w:divId w:val="1548566716"/>
      </w:pPr>
    </w:p>
    <w:p w:rsidR="0031099C" w:rsidRPr="0031099C" w:rsidRDefault="0031099C" w:rsidP="006E20FD">
      <w:pPr>
        <w:divId w:val="1548566716"/>
        <w:sectPr w:rsidR="0031099C"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47F5B826" wp14:editId="38A65A47">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60E232C7" wp14:editId="60C2E617">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1,510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9.12</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30,310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£ 30,179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30,487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2,393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9.15</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218"/>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females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0.066</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0.096</w:t>
            </w:r>
          </w:p>
        </w:tc>
      </w:tr>
    </w:tbl>
    <w:p w:rsidR="0031099C" w:rsidRPr="0031099C" w:rsidRDefault="0031099C"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3001EC7A" wp14:editId="54D9E248">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45CAB574" wp14:editId="0CA0000E">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1,955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9.95</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22,751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£ 22,681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22,844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3,039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9.99</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pPr>
              <w:rPr>
                <w:sz w:val="12"/>
              </w:rPr>
            </w:pPr>
          </w:p>
        </w:tc>
      </w:tr>
      <w:tr w:rsidR="006E20FD" w:rsidRPr="0031099C" w:rsidTr="006E20FD">
        <w:trPr>
          <w:divId w:val="1548566716"/>
          <w:trHeight w:val="218"/>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males with initial CHADS</w:t>
      </w:r>
      <w:r w:rsidRPr="0031099C">
        <w:rPr>
          <w:vertAlign w:val="subscript"/>
        </w:rPr>
        <w:t>2</w:t>
      </w:r>
      <w:r w:rsidRPr="0031099C">
        <w:t xml:space="preserve"> score of 0, treated with </w:t>
      </w:r>
      <w:proofErr w:type="spellStart"/>
      <w:r w:rsidRPr="0031099C">
        <w:t>dabigatran</w:t>
      </w:r>
      <w:proofErr w:type="spellEnd"/>
    </w:p>
    <w:p w:rsidR="006E20FD" w:rsidRPr="0031099C" w:rsidRDefault="006E20FD" w:rsidP="006E20FD">
      <w:pPr>
        <w:pStyle w:val="Heading2"/>
        <w:divId w:val="1548566716"/>
      </w:pPr>
      <w:r w:rsidRPr="0031099C">
        <w:t>Results</w:t>
      </w:r>
    </w:p>
    <w:p w:rsidR="0031099C" w:rsidRPr="0031099C" w:rsidRDefault="0031099C" w:rsidP="0031099C">
      <w:pPr>
        <w:divId w:val="1548566716"/>
      </w:pP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90.5</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0.081</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0.053</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91.2</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0.072</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0.081</w:t>
            </w:r>
          </w:p>
        </w:tc>
      </w:tr>
    </w:tbl>
    <w:p w:rsidR="0031099C" w:rsidRPr="0031099C" w:rsidRDefault="0031099C"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712ED58D" wp14:editId="2CC37277">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610B1CD0" wp14:editId="025D52C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D_65_0_M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1,489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9.13</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14,728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£ 14,693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14,782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2,321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9.18</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210"/>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females with initial CHADS</w:t>
      </w:r>
      <w:r w:rsidRPr="0031099C">
        <w:rPr>
          <w:vertAlign w:val="subscript"/>
        </w:rPr>
        <w:t>2</w:t>
      </w:r>
      <w:r w:rsidRPr="0031099C">
        <w:t xml:space="preserve"> score of 0, treated with </w:t>
      </w:r>
      <w:proofErr w:type="spellStart"/>
      <w:r w:rsidR="0016298B" w:rsidRPr="0031099C">
        <w:t>d</w:t>
      </w:r>
      <w:r w:rsidRPr="0031099C">
        <w:t>abigatran</w:t>
      </w:r>
      <w:proofErr w:type="spellEnd"/>
    </w:p>
    <w:p w:rsidR="006E20FD" w:rsidRPr="0031099C" w:rsidRDefault="006E20FD" w:rsidP="006E20FD">
      <w:pPr>
        <w:pStyle w:val="Heading2"/>
        <w:divId w:val="1548566716"/>
      </w:pPr>
      <w:r w:rsidRPr="0031099C">
        <w:t>Results</w:t>
      </w:r>
    </w:p>
    <w:p w:rsidR="0031099C" w:rsidRPr="0031099C" w:rsidRDefault="0031099C" w:rsidP="0031099C">
      <w:pPr>
        <w:divId w:val="1548566716"/>
      </w:pP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88.7</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0.099</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0.066</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89.4</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0.089</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0.097</w:t>
            </w:r>
          </w:p>
        </w:tc>
      </w:tr>
    </w:tbl>
    <w:p w:rsidR="006E20FD" w:rsidRPr="0031099C" w:rsidRDefault="006E20FD" w:rsidP="006E20FD">
      <w:pPr>
        <w:divId w:val="1548566716"/>
      </w:pPr>
      <w:r w:rsidRPr="0031099C">
        <w:t>…</w:t>
      </w: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425"/>
        </w:trPr>
        <w:tc>
          <w:tcPr>
            <w:tcW w:w="7087" w:type="dxa"/>
          </w:tcPr>
          <w:p w:rsidR="006E20FD" w:rsidRPr="0031099C" w:rsidRDefault="006E20FD" w:rsidP="006E20FD">
            <w:r w:rsidRPr="0031099C">
              <w:rPr>
                <w:noProof/>
                <w:lang w:val="en-GB" w:eastAsia="en-GB"/>
              </w:rPr>
              <w:lastRenderedPageBreak/>
              <w:drawing>
                <wp:inline distT="0" distB="0" distL="0" distR="0" wp14:anchorId="513C348A" wp14:editId="0DB87319">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78242BD8" wp14:editId="1EB2EC4A">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Height w:val="265"/>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D_65_0_F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1,942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9.95</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12,314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£ 12,290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12,348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2,946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10.01</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225"/>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on Minton" w:date="2012-10-15T15:11:00Z" w:initials="JM">
    <w:p w:rsidR="00DE6F42" w:rsidRDefault="00DE6F42">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 w:id="9" w:author="Jon Minton" w:date="2013-01-03T17:21:00Z" w:initials="JM">
    <w:p w:rsidR="00DE6F42" w:rsidRDefault="00DE6F42" w:rsidP="0046051B">
      <w:pPr>
        <w:pStyle w:val="CommentText"/>
      </w:pPr>
      <w:r>
        <w:rPr>
          <w:rStyle w:val="CommentReference"/>
          <w:rFonts w:eastAsiaTheme="majorEastAsia"/>
        </w:rPr>
        <w:annotationRef/>
      </w:r>
      <w:r>
        <w:t>Changed to reflect Warf at C=1 not 2</w:t>
      </w:r>
    </w:p>
  </w:comment>
  <w:comment w:id="12" w:author="Jon Minton" w:date="2013-01-03T17:22:00Z" w:initials="JM">
    <w:p w:rsidR="00DE6F42" w:rsidRDefault="00DE6F42" w:rsidP="0046051B">
      <w:pPr>
        <w:pStyle w:val="CommentText"/>
      </w:pPr>
      <w:r>
        <w:rPr>
          <w:rStyle w:val="CommentReference"/>
          <w:rFonts w:eastAsiaTheme="majorEastAsia"/>
        </w:rPr>
        <w:annotationRef/>
      </w:r>
      <w:r>
        <w:t>Changed to reflect OAC at C=1 not 2</w:t>
      </w:r>
    </w:p>
  </w:comment>
  <w:comment w:id="14" w:author="Jon Minton" w:date="2013-01-03T17:25:00Z" w:initials="JM">
    <w:p w:rsidR="00DE6F42" w:rsidRDefault="00DE6F42" w:rsidP="0046051B">
      <w:pPr>
        <w:pStyle w:val="CommentText"/>
      </w:pPr>
      <w:r>
        <w:rPr>
          <w:rStyle w:val="CommentReference"/>
          <w:rFonts w:eastAsiaTheme="majorEastAsia"/>
        </w:rPr>
        <w:annotationRef/>
      </w:r>
      <w:r>
        <w:t>Changed to reflect Warf at C=1</w:t>
      </w:r>
    </w:p>
  </w:comment>
  <w:comment w:id="17" w:author="Jon Minton" w:date="2013-01-20T16:05:00Z" w:initials="JM">
    <w:p w:rsidR="00DE6F42" w:rsidRDefault="00DE6F42">
      <w:pPr>
        <w:pStyle w:val="CommentText"/>
      </w:pPr>
      <w:r>
        <w:rPr>
          <w:rStyle w:val="CommentReference"/>
        </w:rPr>
        <w:annotationRef/>
      </w:r>
      <w:r>
        <w:t>Changed 1/2013 to reflect Warf at C=1</w:t>
      </w:r>
    </w:p>
  </w:comment>
  <w:comment w:id="19" w:author="Jon Minton" w:date="2013-01-11T16:17:00Z" w:initials="JM">
    <w:p w:rsidR="00DE6F42" w:rsidRDefault="00DE6F42">
      <w:pPr>
        <w:pStyle w:val="CommentText"/>
      </w:pPr>
      <w:r>
        <w:rPr>
          <w:rStyle w:val="CommentReference"/>
        </w:rPr>
        <w:annotationRef/>
      </w:r>
      <w:r>
        <w:t>Amended to take into account changed recommendation. Warfarin at CHADS2 =1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DD3" w:rsidRDefault="00EA3DD3" w:rsidP="008D11C1">
      <w:r>
        <w:separator/>
      </w:r>
    </w:p>
  </w:endnote>
  <w:endnote w:type="continuationSeparator" w:id="0">
    <w:p w:rsidR="00EA3DD3" w:rsidRDefault="00EA3DD3"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EndPr/>
    <w:sdtContent>
      <w:p w:rsidR="00DE6F42" w:rsidRDefault="00DE6F42" w:rsidP="008D11C1">
        <w:pPr>
          <w:pStyle w:val="Footer"/>
        </w:pPr>
        <w:r>
          <w:fldChar w:fldCharType="begin"/>
        </w:r>
        <w:r>
          <w:instrText xml:space="preserve"> PAGE   \* MERGEFORMAT </w:instrText>
        </w:r>
        <w:r>
          <w:fldChar w:fldCharType="separate"/>
        </w:r>
        <w:r w:rsidR="00667F69">
          <w:rPr>
            <w:noProof/>
          </w:rPr>
          <w:t>31</w:t>
        </w:r>
        <w:r>
          <w:rPr>
            <w:noProof/>
          </w:rPr>
          <w:fldChar w:fldCharType="end"/>
        </w:r>
      </w:p>
    </w:sdtContent>
  </w:sdt>
  <w:p w:rsidR="00DE6F42" w:rsidRDefault="00DE6F42"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DD3" w:rsidRDefault="00EA3DD3" w:rsidP="008D11C1">
      <w:r>
        <w:separator/>
      </w:r>
    </w:p>
  </w:footnote>
  <w:footnote w:type="continuationSeparator" w:id="0">
    <w:p w:rsidR="00EA3DD3" w:rsidRDefault="00EA3DD3" w:rsidP="008D11C1">
      <w:r>
        <w:continuationSeparator/>
      </w:r>
    </w:p>
  </w:footnote>
  <w:footnote w:id="1">
    <w:p w:rsidR="00DE6F42" w:rsidRDefault="00DE6F42">
      <w:pPr>
        <w:pStyle w:val="FootnoteText"/>
      </w:pPr>
      <w:r>
        <w:rPr>
          <w:rStyle w:val="FootnoteReference"/>
        </w:rPr>
        <w:footnoteRef/>
      </w:r>
      <w:r>
        <w:t xml:space="preserve"> Precise ICER is £30,310/QALY, so the No TTE option is still optimal at £30,000/QALY.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200A5D"/>
    <w:multiLevelType w:val="hybridMultilevel"/>
    <w:tmpl w:val="8F622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2F67B2"/>
    <w:multiLevelType w:val="hybridMultilevel"/>
    <w:tmpl w:val="326601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8"/>
  </w:num>
  <w:num w:numId="3">
    <w:abstractNumId w:val="1"/>
  </w:num>
  <w:num w:numId="4">
    <w:abstractNumId w:val="21"/>
  </w:num>
  <w:num w:numId="5">
    <w:abstractNumId w:val="17"/>
  </w:num>
  <w:num w:numId="6">
    <w:abstractNumId w:val="11"/>
  </w:num>
  <w:num w:numId="7">
    <w:abstractNumId w:val="6"/>
  </w:num>
  <w:num w:numId="8">
    <w:abstractNumId w:val="0"/>
  </w:num>
  <w:num w:numId="9">
    <w:abstractNumId w:val="19"/>
  </w:num>
  <w:num w:numId="10">
    <w:abstractNumId w:val="2"/>
  </w:num>
  <w:num w:numId="11">
    <w:abstractNumId w:val="20"/>
  </w:num>
  <w:num w:numId="12">
    <w:abstractNumId w:val="16"/>
  </w:num>
  <w:num w:numId="13">
    <w:abstractNumId w:val="12"/>
  </w:num>
  <w:num w:numId="14">
    <w:abstractNumId w:val="18"/>
  </w:num>
  <w:num w:numId="15">
    <w:abstractNumId w:val="7"/>
  </w:num>
  <w:num w:numId="16">
    <w:abstractNumId w:val="13"/>
  </w:num>
  <w:num w:numId="17">
    <w:abstractNumId w:val="10"/>
  </w:num>
  <w:num w:numId="18">
    <w:abstractNumId w:val="3"/>
  </w:num>
  <w:num w:numId="19">
    <w:abstractNumId w:val="15"/>
  </w:num>
  <w:num w:numId="20">
    <w:abstractNumId w:val="9"/>
  </w:num>
  <w:num w:numId="21">
    <w:abstractNumId w:val="5"/>
  </w:num>
  <w:num w:numId="22">
    <w:abstractNumId w:val="14"/>
  </w:num>
  <w:num w:numId="23">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9D1"/>
    <w:rsid w:val="00004236"/>
    <w:rsid w:val="0000576D"/>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298B"/>
    <w:rsid w:val="00167865"/>
    <w:rsid w:val="00182F39"/>
    <w:rsid w:val="00183C66"/>
    <w:rsid w:val="00194737"/>
    <w:rsid w:val="001B457D"/>
    <w:rsid w:val="001B784A"/>
    <w:rsid w:val="001B7E26"/>
    <w:rsid w:val="001C47C7"/>
    <w:rsid w:val="002148A0"/>
    <w:rsid w:val="00216347"/>
    <w:rsid w:val="002173F5"/>
    <w:rsid w:val="002379A0"/>
    <w:rsid w:val="00253316"/>
    <w:rsid w:val="00260232"/>
    <w:rsid w:val="00263B7C"/>
    <w:rsid w:val="00266451"/>
    <w:rsid w:val="00267F89"/>
    <w:rsid w:val="00270FD8"/>
    <w:rsid w:val="00273A34"/>
    <w:rsid w:val="002857F0"/>
    <w:rsid w:val="002908BA"/>
    <w:rsid w:val="00296642"/>
    <w:rsid w:val="002970B4"/>
    <w:rsid w:val="002B0A3A"/>
    <w:rsid w:val="002B2FB1"/>
    <w:rsid w:val="002C4C31"/>
    <w:rsid w:val="002D3329"/>
    <w:rsid w:val="002D6708"/>
    <w:rsid w:val="002F05E5"/>
    <w:rsid w:val="002F7CCE"/>
    <w:rsid w:val="00305A5B"/>
    <w:rsid w:val="00307F5F"/>
    <w:rsid w:val="0031099C"/>
    <w:rsid w:val="00313F74"/>
    <w:rsid w:val="003162AB"/>
    <w:rsid w:val="00321AA3"/>
    <w:rsid w:val="003225C4"/>
    <w:rsid w:val="003378D6"/>
    <w:rsid w:val="00337C3B"/>
    <w:rsid w:val="00345E19"/>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051B"/>
    <w:rsid w:val="00465A7A"/>
    <w:rsid w:val="0047004A"/>
    <w:rsid w:val="004850ED"/>
    <w:rsid w:val="00492057"/>
    <w:rsid w:val="00495D9F"/>
    <w:rsid w:val="0049753A"/>
    <w:rsid w:val="004A0CFF"/>
    <w:rsid w:val="004B4D95"/>
    <w:rsid w:val="004B7B0B"/>
    <w:rsid w:val="004D5F6A"/>
    <w:rsid w:val="004E06E9"/>
    <w:rsid w:val="004E4448"/>
    <w:rsid w:val="00500063"/>
    <w:rsid w:val="00501F33"/>
    <w:rsid w:val="00512460"/>
    <w:rsid w:val="00515AEC"/>
    <w:rsid w:val="00523D67"/>
    <w:rsid w:val="00525959"/>
    <w:rsid w:val="00532F44"/>
    <w:rsid w:val="005364A7"/>
    <w:rsid w:val="00536C35"/>
    <w:rsid w:val="0053772E"/>
    <w:rsid w:val="00542E72"/>
    <w:rsid w:val="005468D5"/>
    <w:rsid w:val="00553D33"/>
    <w:rsid w:val="0055657D"/>
    <w:rsid w:val="00560933"/>
    <w:rsid w:val="005653D1"/>
    <w:rsid w:val="00570EFD"/>
    <w:rsid w:val="00577888"/>
    <w:rsid w:val="005953B7"/>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67F69"/>
    <w:rsid w:val="00670364"/>
    <w:rsid w:val="00672785"/>
    <w:rsid w:val="006737F8"/>
    <w:rsid w:val="00682DC7"/>
    <w:rsid w:val="0069573B"/>
    <w:rsid w:val="006B480A"/>
    <w:rsid w:val="006B4FDF"/>
    <w:rsid w:val="006B7EC6"/>
    <w:rsid w:val="006C1146"/>
    <w:rsid w:val="006C3CB6"/>
    <w:rsid w:val="006C6A74"/>
    <w:rsid w:val="006D0808"/>
    <w:rsid w:val="006D7B3B"/>
    <w:rsid w:val="006E020D"/>
    <w:rsid w:val="006E14F1"/>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5046"/>
    <w:rsid w:val="007B765A"/>
    <w:rsid w:val="007C70A4"/>
    <w:rsid w:val="007D019C"/>
    <w:rsid w:val="007D1C2B"/>
    <w:rsid w:val="00810E76"/>
    <w:rsid w:val="00812032"/>
    <w:rsid w:val="00820F9B"/>
    <w:rsid w:val="0083066E"/>
    <w:rsid w:val="00834F71"/>
    <w:rsid w:val="00850455"/>
    <w:rsid w:val="0085183F"/>
    <w:rsid w:val="008539B5"/>
    <w:rsid w:val="00862C39"/>
    <w:rsid w:val="00867ABA"/>
    <w:rsid w:val="00867F7E"/>
    <w:rsid w:val="00875B61"/>
    <w:rsid w:val="00876B5A"/>
    <w:rsid w:val="008864FC"/>
    <w:rsid w:val="0089277F"/>
    <w:rsid w:val="00894960"/>
    <w:rsid w:val="0089571D"/>
    <w:rsid w:val="00896DA7"/>
    <w:rsid w:val="008C72E4"/>
    <w:rsid w:val="008D11C1"/>
    <w:rsid w:val="008D30D8"/>
    <w:rsid w:val="008D3B31"/>
    <w:rsid w:val="008D613B"/>
    <w:rsid w:val="008E6143"/>
    <w:rsid w:val="00900CA4"/>
    <w:rsid w:val="00900D68"/>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17AD4"/>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16573"/>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24CF"/>
    <w:rsid w:val="00D34DE7"/>
    <w:rsid w:val="00D47469"/>
    <w:rsid w:val="00D561D8"/>
    <w:rsid w:val="00D57902"/>
    <w:rsid w:val="00D62831"/>
    <w:rsid w:val="00D65C68"/>
    <w:rsid w:val="00D67B2F"/>
    <w:rsid w:val="00D7721F"/>
    <w:rsid w:val="00D828F2"/>
    <w:rsid w:val="00D87110"/>
    <w:rsid w:val="00DB4BF1"/>
    <w:rsid w:val="00DB7C63"/>
    <w:rsid w:val="00DC17EE"/>
    <w:rsid w:val="00DC2385"/>
    <w:rsid w:val="00DC2BB2"/>
    <w:rsid w:val="00DC628D"/>
    <w:rsid w:val="00DD5C22"/>
    <w:rsid w:val="00DE0591"/>
    <w:rsid w:val="00DE1E86"/>
    <w:rsid w:val="00DE62D7"/>
    <w:rsid w:val="00DE6F42"/>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A3DD3"/>
    <w:rsid w:val="00EB3ED4"/>
    <w:rsid w:val="00EB5AE5"/>
    <w:rsid w:val="00EB5B27"/>
    <w:rsid w:val="00ED065B"/>
    <w:rsid w:val="00ED0A41"/>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sChild>
                                                    <w:div w:id="19218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FF453F-64E6-41B0-BBFC-BF600C857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7617</Words>
  <Characters>43420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50936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4</cp:revision>
  <cp:lastPrinted>2012-12-30T16:52:00Z</cp:lastPrinted>
  <dcterms:created xsi:type="dcterms:W3CDTF">2013-01-20T21:18:00Z</dcterms:created>
  <dcterms:modified xsi:type="dcterms:W3CDTF">2013-01-20T21:19:00Z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