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13" w:rsidRPr="00980413" w:rsidRDefault="00980413" w:rsidP="00980413">
      <w:pPr>
        <w:pStyle w:val="Heading1"/>
        <w:numPr>
          <w:ilvl w:val="0"/>
          <w:numId w:val="0"/>
        </w:numPr>
        <w:rPr>
          <w:rStyle w:val="apple-converted-space"/>
        </w:rPr>
      </w:pPr>
      <w:r w:rsidRPr="00980413">
        <w:t>Title - All manuscripts</w:t>
      </w:r>
      <w:r w:rsidRPr="00980413">
        <w:rPr>
          <w:rStyle w:val="apple-converted-space"/>
        </w:rPr>
        <w:t> </w:t>
      </w:r>
    </w:p>
    <w:p w:rsidR="00326C92" w:rsidRDefault="00326C92" w:rsidP="00C47292">
      <w:r>
        <w:t>When is it cost effective to use transthoracic echocardiography to aid the decision to prescribe oral anticoagulants in patients with newly diagnosed atrial fibrillation? An economic evaluation</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r w:rsidRPr="00980413">
        <w:t>- Names, addresses, and positions of all authors</w:t>
      </w:r>
      <w:r>
        <w:rPr>
          <w:rFonts w:ascii="Verdana" w:hAnsi="Verdana"/>
          <w:color w:val="000000"/>
          <w:sz w:val="17"/>
          <w:szCs w:val="17"/>
          <w:shd w:val="clear" w:color="auto" w:fill="FFFFFF"/>
        </w:rPr>
        <w:t xml:space="preserve"> </w:t>
      </w:r>
    </w:p>
    <w:p w:rsidR="00980413" w:rsidRDefault="00980413" w:rsidP="00980413">
      <w:pPr>
        <w:pStyle w:val="Heading1"/>
      </w:pPr>
    </w:p>
    <w:p w:rsidR="00980413" w:rsidRDefault="00980413" w:rsidP="00980413">
      <w:pPr>
        <w:pStyle w:val="Heading2"/>
        <w:numPr>
          <w:ilvl w:val="0"/>
          <w:numId w:val="0"/>
        </w:numPr>
      </w:pPr>
      <w:r>
        <w:t xml:space="preserve">Corresponding Author: </w:t>
      </w:r>
    </w:p>
    <w:p w:rsidR="00980413" w:rsidRDefault="00980413" w:rsidP="00980413">
      <w:pPr>
        <w:spacing w:after="0"/>
      </w:pPr>
      <w:r>
        <w:t>Jonathan William Minton,</w:t>
      </w:r>
    </w:p>
    <w:p w:rsidR="00D71C90" w:rsidRDefault="00D71C90" w:rsidP="00980413">
      <w:pPr>
        <w:spacing w:after="0"/>
      </w:pPr>
      <w:r>
        <w:t>Research Associate</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980413" w:rsidP="00980413"/>
    <w:p w:rsidR="00980413" w:rsidRDefault="00980413" w:rsidP="00980413">
      <w:pPr>
        <w:pStyle w:val="Heading2"/>
        <w:numPr>
          <w:ilvl w:val="0"/>
          <w:numId w:val="0"/>
        </w:numPr>
      </w:pPr>
      <w:r>
        <w:t xml:space="preserve">Second Author: </w:t>
      </w:r>
    </w:p>
    <w:p w:rsidR="00980413" w:rsidRDefault="00980413" w:rsidP="00980413">
      <w:r>
        <w:t>Professor Matthew Stevenson</w:t>
      </w:r>
    </w:p>
    <w:p w:rsidR="00D71C90" w:rsidRDefault="00D71C90" w:rsidP="00980413">
      <w:r>
        <w:t>Professor of Health Economics</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C47292" w:rsidP="00980413">
      <w:pPr>
        <w:pStyle w:val="Heading2"/>
        <w:numPr>
          <w:ilvl w:val="0"/>
          <w:numId w:val="0"/>
        </w:numPr>
      </w:pPr>
      <w:r>
        <w:t xml:space="preserve">Third Author: </w:t>
      </w:r>
    </w:p>
    <w:p w:rsidR="00C47292" w:rsidRDefault="00C47292" w:rsidP="00C47292">
      <w:proofErr w:type="spellStart"/>
      <w:r>
        <w:t>Dr</w:t>
      </w:r>
      <w:proofErr w:type="spellEnd"/>
      <w:r>
        <w:t xml:space="preserve"> Emma Simpson,</w:t>
      </w:r>
    </w:p>
    <w:p w:rsidR="00C47292" w:rsidRDefault="00C47292" w:rsidP="00C47292">
      <w:pPr>
        <w:spacing w:after="0"/>
      </w:pPr>
      <w:r>
        <w:t>Health Economic and Decision Science</w:t>
      </w:r>
    </w:p>
    <w:p w:rsidR="00C47292" w:rsidRDefault="00C47292" w:rsidP="00C47292">
      <w:pPr>
        <w:spacing w:after="0"/>
      </w:pPr>
      <w:r>
        <w:lastRenderedPageBreak/>
        <w:t>School of Health and Related Research</w:t>
      </w:r>
    </w:p>
    <w:p w:rsidR="00C47292" w:rsidRDefault="00C47292" w:rsidP="00C47292">
      <w:pPr>
        <w:spacing w:after="0"/>
      </w:pPr>
      <w:r>
        <w:t>The University of Sheffield</w:t>
      </w:r>
    </w:p>
    <w:p w:rsidR="00C47292" w:rsidRDefault="00C47292" w:rsidP="00C47292">
      <w:pPr>
        <w:spacing w:after="0"/>
      </w:pPr>
      <w:r>
        <w:t>Regent Court</w:t>
      </w:r>
    </w:p>
    <w:p w:rsidR="00C47292" w:rsidRDefault="00C47292" w:rsidP="00C47292">
      <w:pPr>
        <w:spacing w:after="0"/>
      </w:pPr>
      <w:r>
        <w:t>30 Regent Street</w:t>
      </w:r>
    </w:p>
    <w:p w:rsidR="00C47292" w:rsidRDefault="00C47292" w:rsidP="00C47292">
      <w:pPr>
        <w:spacing w:after="0"/>
      </w:pPr>
      <w:r>
        <w:t>Sheffield</w:t>
      </w:r>
    </w:p>
    <w:p w:rsidR="00C47292" w:rsidRDefault="00C47292" w:rsidP="00C47292">
      <w:pPr>
        <w:spacing w:after="0"/>
      </w:pPr>
      <w:r>
        <w:t>S1 4DA</w:t>
      </w:r>
    </w:p>
    <w:p w:rsidR="00C47292" w:rsidRPr="00C47292" w:rsidRDefault="00C47292" w:rsidP="00C47292"/>
    <w:p w:rsidR="00C47292" w:rsidRPr="00C47292" w:rsidRDefault="00C47292" w:rsidP="00C47292"/>
    <w:p w:rsidR="00980413" w:rsidRDefault="00C47292" w:rsidP="00980413">
      <w:pPr>
        <w:pStyle w:val="Heading2"/>
        <w:numPr>
          <w:ilvl w:val="0"/>
          <w:numId w:val="0"/>
        </w:numPr>
      </w:pPr>
      <w:r>
        <w:t>Fourth</w:t>
      </w:r>
      <w:r w:rsidR="00980413">
        <w:t xml:space="preserve"> Author: </w:t>
      </w:r>
    </w:p>
    <w:p w:rsidR="00980413" w:rsidRDefault="00980413" w:rsidP="00980413">
      <w:pPr>
        <w:spacing w:after="0"/>
      </w:pPr>
      <w:r>
        <w:t>Professor Gregory Y H Lip</w:t>
      </w:r>
    </w:p>
    <w:p w:rsidR="00980413" w:rsidRDefault="00980413" w:rsidP="00980413">
      <w:pPr>
        <w:spacing w:after="0"/>
      </w:pPr>
      <w:r>
        <w:t>University of Birmingham Centre for Cardiovascular Sciences</w:t>
      </w:r>
    </w:p>
    <w:p w:rsidR="00980413" w:rsidRDefault="00980413" w:rsidP="00980413">
      <w:pPr>
        <w:spacing w:after="0"/>
      </w:pPr>
      <w:r>
        <w:t>City Hospital</w:t>
      </w:r>
    </w:p>
    <w:p w:rsidR="00980413" w:rsidRDefault="00980413" w:rsidP="00980413">
      <w:pPr>
        <w:spacing w:after="0"/>
      </w:pPr>
      <w:r>
        <w:t>Birmingham</w:t>
      </w:r>
    </w:p>
    <w:p w:rsidR="00980413" w:rsidRDefault="00980413" w:rsidP="00980413">
      <w:pPr>
        <w:spacing w:after="0"/>
      </w:pPr>
      <w:r>
        <w:t>B18 7QH</w:t>
      </w:r>
    </w:p>
    <w:p w:rsidR="00980413" w:rsidRDefault="00980413" w:rsidP="00980413">
      <w:pPr>
        <w:pStyle w:val="Heading1"/>
        <w:numPr>
          <w:ilvl w:val="0"/>
          <w:numId w:val="0"/>
        </w:numPr>
      </w:pPr>
      <w:r w:rsidRPr="00980413">
        <w:t xml:space="preserve">Copyright </w:t>
      </w:r>
      <w:r>
        <w:t>Statement</w:t>
      </w:r>
    </w:p>
    <w:p w:rsidR="00980413" w:rsidRPr="00980413" w:rsidRDefault="00980413" w:rsidP="00980413">
      <w:pPr>
        <w:spacing w:after="0"/>
      </w:pPr>
      <w:r w:rsidRPr="00980413">
        <w:rPr>
          <w:bCs/>
          <w:iCs/>
        </w:rPr>
        <w:t>The Corresponding Author has the right to grant on behalf of all authors and does grant on behalf of all authors,</w:t>
      </w:r>
      <w:r w:rsidRPr="00980413">
        <w:t xml:space="preserve"> a worldwide </w:t>
      </w:r>
      <w:proofErr w:type="spellStart"/>
      <w:r w:rsidRPr="00980413">
        <w:t>licence</w:t>
      </w:r>
      <w:proofErr w:type="spellEnd"/>
      <w:r w:rsidRPr="00980413">
        <w:t> </w:t>
      </w:r>
      <w:r w:rsidRPr="00980413">
        <w:rPr>
          <w:bCs/>
          <w:iCs/>
        </w:rPr>
        <w:t xml:space="preserve">to the Publishers and its licensees in perpetuity, in all forms, formats and media (whether known now or created in the future), to </w:t>
      </w:r>
      <w:proofErr w:type="spellStart"/>
      <w:r w:rsidRPr="00980413">
        <w:rPr>
          <w:bCs/>
          <w:iCs/>
        </w:rPr>
        <w:t>i</w:t>
      </w:r>
      <w:proofErr w:type="spellEnd"/>
      <w:r w:rsidRPr="00980413">
        <w:rPr>
          <w:bCs/>
          <w:iCs/>
        </w:rPr>
        <w:t xml:space="preserve">)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w:t>
      </w:r>
      <w:proofErr w:type="spellStart"/>
      <w:r w:rsidRPr="00980413">
        <w:rPr>
          <w:bCs/>
          <w:iCs/>
        </w:rPr>
        <w:t>licence</w:t>
      </w:r>
      <w:proofErr w:type="spellEnd"/>
      <w:r w:rsidRPr="00980413">
        <w:rPr>
          <w:bCs/>
          <w:iCs/>
        </w:rPr>
        <w:t xml:space="preserve"> any third party</w:t>
      </w:r>
      <w:r>
        <w:rPr>
          <w:bCs/>
          <w:iCs/>
        </w:rPr>
        <w:t xml:space="preserve"> to do any or all of the above.</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Competing interest statement - All manuscripts</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 All authors have completed the Unified Competing Interest form atwww.icmje.org/coi_disclosure.pdf (available on request from the corresponding author) and declare: no support from any </w:t>
      </w:r>
      <w:proofErr w:type="spellStart"/>
      <w:r>
        <w:rPr>
          <w:rFonts w:ascii="Verdana" w:hAnsi="Verdana"/>
          <w:color w:val="000000"/>
          <w:sz w:val="17"/>
          <w:szCs w:val="17"/>
          <w:shd w:val="clear" w:color="auto" w:fill="FFFFFF"/>
        </w:rPr>
        <w:t>organisation</w:t>
      </w:r>
      <w:proofErr w:type="spellEnd"/>
      <w:r>
        <w:rPr>
          <w:rFonts w:ascii="Verdana" w:hAnsi="Verdana"/>
          <w:color w:val="000000"/>
          <w:sz w:val="17"/>
          <w:szCs w:val="17"/>
          <w:shd w:val="clear" w:color="auto" w:fill="FFFFFF"/>
        </w:rPr>
        <w:t xml:space="preserve"> for the submitted work [or describe if any]; no financial relationships with any </w:t>
      </w:r>
      <w:proofErr w:type="spellStart"/>
      <w:r>
        <w:rPr>
          <w:rFonts w:ascii="Verdana" w:hAnsi="Verdana"/>
          <w:color w:val="000000"/>
          <w:sz w:val="17"/>
          <w:szCs w:val="17"/>
          <w:shd w:val="clear" w:color="auto" w:fill="FFFFFF"/>
        </w:rPr>
        <w:t>organisations</w:t>
      </w:r>
      <w:proofErr w:type="spellEnd"/>
      <w:r>
        <w:rPr>
          <w:rFonts w:ascii="Verdana" w:hAnsi="Verdana"/>
          <w:color w:val="000000"/>
          <w:sz w:val="17"/>
          <w:szCs w:val="17"/>
          <w:shd w:val="clear" w:color="auto" w:fill="FFFFFF"/>
        </w:rPr>
        <w:t xml:space="preserve"> that might have an interest in the submitted work in the previous three years [or describe if any], no other relationships or activities that could appear to have influenced the submitted work [or describe if any].-</w:t>
      </w:r>
      <w:r>
        <w:rPr>
          <w:rStyle w:val="apple-converted-space"/>
          <w:rFonts w:ascii="Verdana" w:hAnsi="Verdana"/>
          <w:color w:val="000000"/>
          <w:sz w:val="17"/>
          <w:szCs w:val="17"/>
          <w:shd w:val="clear" w:color="auto" w:fill="FFFFFF"/>
        </w:rPr>
        <w:t> </w:t>
      </w:r>
      <w:r>
        <w:rPr>
          <w:rFonts w:ascii="Verdana" w:hAnsi="Verdana"/>
          <w:b w:val="0"/>
          <w:bCs w:val="0"/>
          <w:color w:val="000000"/>
          <w:sz w:val="17"/>
          <w:szCs w:val="17"/>
          <w:shd w:val="clear" w:color="auto" w:fill="FFFFFF"/>
        </w:rPr>
        <w:t>Please 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The corresponding author must collect Unified Competing Interest forms from all authors and </w:t>
      </w:r>
      <w:proofErr w:type="spellStart"/>
      <w:r>
        <w:rPr>
          <w:rFonts w:ascii="Verdana" w:hAnsi="Verdana"/>
          <w:color w:val="000000"/>
          <w:sz w:val="17"/>
          <w:szCs w:val="17"/>
          <w:shd w:val="clear" w:color="auto" w:fill="FFFFFF"/>
        </w:rPr>
        <w:t>summarise</w:t>
      </w:r>
      <w:proofErr w:type="spellEnd"/>
      <w:r>
        <w:rPr>
          <w:rFonts w:ascii="Verdana" w:hAnsi="Verdana"/>
          <w:color w:val="000000"/>
          <w:sz w:val="17"/>
          <w:szCs w:val="17"/>
          <w:shd w:val="clear" w:color="auto" w:fill="FFFFFF"/>
        </w:rPr>
        <w:t xml:space="preserve"> their declarations as above within the manuscript. You do NOT need to send copies of the forms to the BMJ. Please click here for</w:t>
      </w:r>
      <w:r>
        <w:rPr>
          <w:rStyle w:val="apple-converted-space"/>
          <w:rFonts w:ascii="Verdana" w:hAnsi="Verdana"/>
          <w:color w:val="000000"/>
          <w:sz w:val="17"/>
          <w:szCs w:val="17"/>
          <w:shd w:val="clear" w:color="auto" w:fill="FFFFFF"/>
        </w:rPr>
        <w:t> </w:t>
      </w:r>
      <w:r w:rsidRPr="00AE22BA">
        <w:rPr>
          <w:rFonts w:ascii="Verdana" w:hAnsi="Verdana"/>
          <w:sz w:val="17"/>
          <w:szCs w:val="17"/>
          <w:shd w:val="clear" w:color="auto" w:fill="FFFFFF"/>
        </w:rPr>
        <w:t>further guidance</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D21515"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lastRenderedPageBreak/>
        <w:t>- Details of contributors, and the name of the guarantor - All full papers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xml:space="preserve"> not fillers or personal views)</w:t>
      </w:r>
      <w:r>
        <w:rPr>
          <w:rStyle w:val="apple-converted-space"/>
          <w:rFonts w:ascii="Verdana" w:hAnsi="Verdana"/>
          <w:color w:val="000000"/>
          <w:sz w:val="17"/>
          <w:szCs w:val="17"/>
          <w:shd w:val="clear" w:color="auto" w:fill="FFFFFF"/>
        </w:rPr>
        <w:t> </w:t>
      </w:r>
    </w:p>
    <w:p w:rsidR="00D21515" w:rsidRDefault="00D21515" w:rsidP="003562A1">
      <w:pPr>
        <w:pStyle w:val="Heading1"/>
        <w:numPr>
          <w:ilvl w:val="0"/>
          <w:numId w:val="0"/>
        </w:numPr>
        <w:rPr>
          <w:rStyle w:val="apple-converted-space"/>
          <w:rFonts w:ascii="Verdana" w:hAnsi="Verdana"/>
          <w:color w:val="000000"/>
          <w:sz w:val="17"/>
          <w:szCs w:val="17"/>
          <w:shd w:val="clear" w:color="auto" w:fill="FFFFFF"/>
        </w:rPr>
      </w:pPr>
    </w:p>
    <w:p w:rsidR="00D21515" w:rsidRDefault="00D21515" w:rsidP="00D21515">
      <w:r>
        <w:t xml:space="preserve">JM: Developed model; wrote first and subsequent drafts of manuscript; </w:t>
      </w:r>
    </w:p>
    <w:p w:rsidR="00D21515" w:rsidRDefault="00D21515" w:rsidP="00D21515">
      <w:r>
        <w:t>MS: Created model; commented on all drafts of manuscript</w:t>
      </w:r>
      <w:r w:rsidR="00C47292">
        <w:t>;</w:t>
      </w:r>
    </w:p>
    <w:p w:rsidR="00C47292" w:rsidRDefault="00C47292" w:rsidP="00D21515">
      <w:r>
        <w:t>ES: Involved in discussion on data sources and commented on manuscript drafts;</w:t>
      </w:r>
    </w:p>
    <w:p w:rsidR="00D21515" w:rsidRPr="00D21515" w:rsidRDefault="00D21515" w:rsidP="00D21515">
      <w:r>
        <w:t xml:space="preserve">GL: </w:t>
      </w:r>
      <w:r w:rsidR="00C97EB8">
        <w:t>Contribute</w:t>
      </w:r>
      <w:r w:rsidR="00C47292">
        <w:t>d to all versions of manuscript and provided clinical input</w:t>
      </w:r>
      <w:r w:rsidR="00C97EB8">
        <w:t>.</w:t>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ethical approval (or a statement that it was not required) - All research studies</w:t>
      </w:r>
      <w:r>
        <w:rPr>
          <w:rStyle w:val="apple-converted-space"/>
          <w:rFonts w:ascii="Verdana" w:hAnsi="Verdana"/>
          <w:color w:val="000000"/>
          <w:sz w:val="17"/>
          <w:szCs w:val="17"/>
          <w:shd w:val="clear" w:color="auto" w:fill="FFFFFF"/>
        </w:rPr>
        <w:t> </w:t>
      </w:r>
    </w:p>
    <w:p w:rsidR="00980413" w:rsidRDefault="0092084E" w:rsidP="00C97EB8">
      <w:pPr>
        <w:jc w:val="left"/>
        <w:rPr>
          <w:rFonts w:ascii="Verdana" w:hAnsi="Verdana"/>
          <w:color w:val="000000"/>
          <w:sz w:val="17"/>
          <w:szCs w:val="17"/>
          <w:shd w:val="clear" w:color="auto" w:fill="FFFFFF"/>
        </w:rPr>
      </w:pPr>
      <w:r w:rsidRPr="00C97EB8">
        <w:t>Not required</w:t>
      </w:r>
      <w:r w:rsidR="00980413">
        <w:rPr>
          <w:rFonts w:ascii="Verdana" w:hAnsi="Verdana"/>
          <w:color w:val="000000"/>
          <w:sz w:val="17"/>
          <w:szCs w:val="17"/>
        </w:rPr>
        <w:br/>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funding - All research studies</w:t>
      </w:r>
      <w:r>
        <w:rPr>
          <w:rStyle w:val="apple-converted-space"/>
          <w:rFonts w:ascii="Verdana" w:hAnsi="Verdana"/>
          <w:color w:val="000000"/>
          <w:sz w:val="17"/>
          <w:szCs w:val="17"/>
          <w:shd w:val="clear" w:color="auto" w:fill="FFFFFF"/>
        </w:rPr>
        <w:t> </w:t>
      </w:r>
    </w:p>
    <w:p w:rsidR="00D71C90" w:rsidRDefault="00D71C90" w:rsidP="00D71C90">
      <w:pPr>
        <w:jc w:val="left"/>
      </w:pPr>
      <w:r>
        <w:t xml:space="preserve">This paper was based on research funded as part of the National Institute for Health Research Health Technology Assessment </w:t>
      </w:r>
      <w:proofErr w:type="spellStart"/>
      <w:r>
        <w:t>Programme</w:t>
      </w:r>
      <w:proofErr w:type="spellEnd"/>
      <w:r>
        <w:t xml:space="preserve"> (Project code 08/45/01)</w:t>
      </w:r>
    </w:p>
    <w:p w:rsidR="00980413" w:rsidRDefault="00980413" w:rsidP="00C97EB8">
      <w:pPr>
        <w:jc w:val="left"/>
        <w:rPr>
          <w:rFonts w:ascii="Verdana" w:hAnsi="Verdana"/>
          <w:color w:val="000000"/>
          <w:sz w:val="17"/>
          <w:szCs w:val="17"/>
          <w:shd w:val="clear" w:color="auto" w:fill="FFFFFF"/>
        </w:rPr>
      </w:pP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the role of the study sponsors - All research studies</w:t>
      </w:r>
      <w:r>
        <w:rPr>
          <w:rStyle w:val="apple-converted-space"/>
          <w:rFonts w:ascii="Verdana" w:hAnsi="Verdana"/>
          <w:color w:val="000000"/>
          <w:sz w:val="17"/>
          <w:szCs w:val="17"/>
          <w:shd w:val="clear" w:color="auto" w:fill="FFFFFF"/>
        </w:rPr>
        <w:t> </w:t>
      </w:r>
    </w:p>
    <w:p w:rsidR="00D71C90" w:rsidRPr="00D71C90" w:rsidRDefault="00D71C90" w:rsidP="00D71C90">
      <w:pPr>
        <w:jc w:val="left"/>
      </w:pPr>
      <w:r>
        <w:t xml:space="preserve">The study sponsor had no role in the content of this manuscript. </w:t>
      </w:r>
    </w:p>
    <w:p w:rsidR="00980413" w:rsidRPr="00D71C90" w:rsidRDefault="00980413" w:rsidP="003562A1">
      <w:pPr>
        <w:pStyle w:val="Heading1"/>
        <w:numPr>
          <w:ilvl w:val="0"/>
          <w:numId w:val="0"/>
        </w:numPr>
        <w:rPr>
          <w:rFonts w:ascii="Verdana" w:hAnsi="Verdana"/>
          <w:b w:val="0"/>
          <w:color w:val="000000"/>
          <w:sz w:val="17"/>
          <w:szCs w:val="17"/>
          <w:shd w:val="clear" w:color="auto" w:fill="FFFFFF"/>
        </w:rPr>
      </w:pPr>
      <w:r>
        <w:rPr>
          <w:rFonts w:ascii="Verdana" w:hAnsi="Verdana"/>
          <w:color w:val="000000"/>
          <w:sz w:val="17"/>
          <w:szCs w:val="17"/>
          <w:shd w:val="clear" w:color="auto" w:fill="FFFFFF"/>
        </w:rPr>
        <w:t>- Statement of independence of researchers from funders - All research studies</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sidR="00D71C90">
        <w:rPr>
          <w:rFonts w:asciiTheme="minorHAnsi" w:eastAsiaTheme="minorEastAsia" w:hAnsiTheme="minorHAnsi" w:cstheme="minorBidi"/>
          <w:b w:val="0"/>
          <w:bCs w:val="0"/>
          <w:sz w:val="22"/>
          <w:szCs w:val="22"/>
        </w:rPr>
        <w:t>The</w:t>
      </w:r>
      <w:proofErr w:type="gramEnd"/>
      <w:r w:rsidR="00D71C90">
        <w:rPr>
          <w:rFonts w:asciiTheme="minorHAnsi" w:eastAsiaTheme="minorEastAsia" w:hAnsiTheme="minorHAnsi" w:cstheme="minorBidi"/>
          <w:b w:val="0"/>
          <w:bCs w:val="0"/>
          <w:sz w:val="22"/>
          <w:szCs w:val="22"/>
        </w:rPr>
        <w:t xml:space="preserve"> authors are all independent of the funders.</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p>
    <w:p w:rsidR="00980413" w:rsidRDefault="00980413" w:rsidP="003562A1">
      <w:pPr>
        <w:pStyle w:val="Heading1"/>
        <w:numPr>
          <w:ilvl w:val="0"/>
          <w:numId w:val="0"/>
        </w:numPr>
        <w:rPr>
          <w:lang w:val="en-GB"/>
        </w:rPr>
      </w:pPr>
      <w:r>
        <w:rPr>
          <w:rFonts w:ascii="Verdana" w:hAnsi="Verdana"/>
          <w:color w:val="000000"/>
          <w:sz w:val="17"/>
          <w:szCs w:val="17"/>
          <w:shd w:val="clear" w:color="auto" w:fill="FFFFFF"/>
        </w:rPr>
        <w:t xml:space="preserve">- Data sharing statement </w:t>
      </w:r>
      <w:proofErr w:type="gramStart"/>
      <w:r>
        <w:rPr>
          <w:rFonts w:ascii="Verdana" w:hAnsi="Verdana"/>
          <w:color w:val="000000"/>
          <w:sz w:val="17"/>
          <w:szCs w:val="17"/>
          <w:shd w:val="clear" w:color="auto" w:fill="FFFFFF"/>
        </w:rPr>
        <w:t>All</w:t>
      </w:r>
      <w:proofErr w:type="gramEnd"/>
      <w:r>
        <w:rPr>
          <w:rFonts w:ascii="Verdana" w:hAnsi="Verdana"/>
          <w:color w:val="000000"/>
          <w:sz w:val="17"/>
          <w:szCs w:val="17"/>
          <w:shd w:val="clear" w:color="auto" w:fill="FFFFFF"/>
        </w:rPr>
        <w:t xml:space="preserve"> research studies</w:t>
      </w:r>
      <w:r>
        <w:rPr>
          <w:rStyle w:val="apple-converted-space"/>
          <w:rFonts w:ascii="Verdana" w:hAnsi="Verdana"/>
          <w:color w:val="000000"/>
          <w:sz w:val="17"/>
          <w:szCs w:val="17"/>
          <w:shd w:val="clear" w:color="auto" w:fill="FFFFFF"/>
        </w:rPr>
        <w:t> </w:t>
      </w:r>
    </w:p>
    <w:p w:rsidR="00980413" w:rsidRDefault="00980413" w:rsidP="00D71C90">
      <w:pPr>
        <w:jc w:val="left"/>
        <w:rPr>
          <w:lang w:val="en-GB"/>
        </w:rPr>
      </w:pPr>
    </w:p>
    <w:p w:rsidR="0092084E" w:rsidRDefault="0092084E" w:rsidP="00D71C90">
      <w:pPr>
        <w:jc w:val="left"/>
        <w:rPr>
          <w:rFonts w:asciiTheme="majorHAnsi" w:eastAsiaTheme="majorEastAsia" w:hAnsiTheme="majorHAnsi" w:cstheme="majorBidi"/>
          <w:b/>
          <w:bCs/>
          <w:sz w:val="32"/>
          <w:szCs w:val="28"/>
          <w:lang w:val="en-GB"/>
        </w:rPr>
      </w:pPr>
      <w:r>
        <w:rPr>
          <w:lang w:val="en-GB"/>
        </w:rPr>
        <w:br w:type="page"/>
      </w:r>
    </w:p>
    <w:p w:rsidR="009B762A" w:rsidRPr="00532F44" w:rsidRDefault="0005390C" w:rsidP="003562A1">
      <w:pPr>
        <w:pStyle w:val="Heading1"/>
        <w:numPr>
          <w:ilvl w:val="0"/>
          <w:numId w:val="0"/>
        </w:numPr>
        <w:rPr>
          <w:lang w:val="en-GB"/>
        </w:rPr>
      </w:pPr>
      <w:r w:rsidRPr="00532F44">
        <w:rPr>
          <w:lang w:val="en-GB"/>
        </w:rPr>
        <w:lastRenderedPageBreak/>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64789">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64789">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9137B7" w:rsidRPr="00064789">
        <w:rPr>
          <w:noProof/>
        </w:rPr>
        <w:t>[3]</w:t>
      </w:r>
      <w:r w:rsidRPr="00064789">
        <w:t xml:space="preserve"> </w:t>
      </w:r>
      <w:r w:rsidR="00895174">
        <w:t xml:space="preserve">The European Society of Cardiology 2010 guidelines for the management of atrial fibrillation, and subsequent 2012 </w:t>
      </w:r>
      <w:commentRangeStart w:id="0"/>
      <w:r w:rsidR="00895174">
        <w:t xml:space="preserve">focused </w:t>
      </w:r>
      <w:commentRangeEnd w:id="0"/>
      <w:r w:rsidR="00C47292">
        <w:rPr>
          <w:rStyle w:val="CommentReference"/>
          <w:rFonts w:ascii="Times New Roman" w:eastAsia="Times New Roman" w:hAnsi="Times New Roman" w:cs="Times New Roman"/>
          <w:lang w:val="en-GB" w:eastAsia="en-GB" w:bidi="ar-SA"/>
        </w:rPr>
        <w:commentReference w:id="0"/>
      </w:r>
      <w:r w:rsidR="00895174">
        <w:t xml:space="preserve">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rsidRPr="00DF52E6">
        <w:rPr>
          <w:noProof/>
        </w:rPr>
        <w:t>[3,4]</w:t>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DF52E6" w:rsidRPr="00DF52E6">
        <w:rPr>
          <w:noProof/>
        </w:rPr>
        <w:t>[5,6]</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w:t>
      </w:r>
      <w:r w:rsidR="00C47292">
        <w:t>Additionally</w:t>
      </w:r>
      <w:r w:rsidR="00704B8F" w:rsidRPr="00064789">
        <w:t xml:space="preserve">, not all patients who are at higher stroke would be identified (false negatives), and so would </w:t>
      </w:r>
      <w:r w:rsidR="00C47292">
        <w:t>remain un</w:t>
      </w:r>
      <w:r w:rsidR="00704B8F" w:rsidRPr="00064789">
        <w:t xml:space="preserve">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 xml:space="preserve">National Institute for Health and </w:t>
      </w:r>
      <w:r w:rsidR="00C47292">
        <w:t xml:space="preserve">Care </w:t>
      </w:r>
      <w:r w:rsidR="001D7B3F" w:rsidRPr="00064789">
        <w:t>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DF52E6" w:rsidRPr="00DF52E6">
        <w:rPr>
          <w:noProof/>
        </w:rPr>
        <w:t>[7]</w:t>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DF52E6" w:rsidRPr="00DF52E6">
        <w:rPr>
          <w:noProof/>
        </w:rPr>
        <w:t>[8]</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Standard NICE discount rates for utilities and costs of 3.5% per annum are used. </w:t>
      </w:r>
      <w:r w:rsidR="00DF52E6" w:rsidRPr="00DF52E6">
        <w:rPr>
          <w:noProof/>
        </w:rPr>
        <w:t>[9]</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n order to incorporate the effect of uncertainty on predicted outcomes</w:t>
      </w:r>
      <w:r w:rsidR="00C47292">
        <w:t>, in order that the full consequences of mortality due to stroke or major blee</w:t>
      </w:r>
      <w:r w:rsidR="00A9463E">
        <w:t>ding</w:t>
      </w:r>
      <w:r w:rsidR="00C47292">
        <w:t xml:space="preserve"> events are compared. A </w:t>
      </w:r>
      <w:r w:rsidR="006D7B3B" w:rsidRPr="00064789">
        <w:t xml:space="preserve">probabilistic 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lastRenderedPageBreak/>
        <w:t>Scenarios included</w:t>
      </w:r>
    </w:p>
    <w:p w:rsidR="00267F89" w:rsidRPr="00064789" w:rsidRDefault="00A9463E" w:rsidP="008D3B31">
      <w:pPr>
        <w:spacing w:line="480" w:lineRule="auto"/>
      </w:pPr>
      <w:r>
        <w:t>The recommended populations for treating with w</w:t>
      </w:r>
      <w:r w:rsidR="00BE73AD" w:rsidRPr="00064789">
        <w:t xml:space="preserve">arfarin, </w:t>
      </w:r>
      <w:proofErr w:type="spellStart"/>
      <w:r w:rsidR="00BE73AD" w:rsidRPr="00064789">
        <w:t>rivarox</w:t>
      </w:r>
      <w:r w:rsidR="00133DC2" w:rsidRPr="00064789">
        <w:t>a</w:t>
      </w:r>
      <w:r w:rsidR="00BE73AD" w:rsidRPr="00064789">
        <w:t>ban</w:t>
      </w:r>
      <w:proofErr w:type="spellEnd"/>
      <w:r w:rsidR="00BE73AD" w:rsidRPr="00064789">
        <w:t xml:space="preserve">, and </w:t>
      </w:r>
      <w:proofErr w:type="spellStart"/>
      <w:r w:rsidR="00BE73AD" w:rsidRPr="00064789">
        <w:t>dabigatran</w:t>
      </w:r>
      <w:proofErr w:type="spellEnd"/>
      <w:r w:rsidR="00BE73AD" w:rsidRPr="00064789">
        <w:t xml:space="preserve"> are </w:t>
      </w:r>
      <w:r>
        <w:t xml:space="preserve">different in their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w:t>
      </w:r>
      <w:r>
        <w:t xml:space="preserve">similarly </w:t>
      </w:r>
      <w:r w:rsidR="00560933" w:rsidRPr="00064789">
        <w:t xml:space="preserve">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B54241" w:rsidRPr="00B54241">
        <w:rPr>
          <w:noProof/>
        </w:rPr>
        <w:t>[11,12]</w:t>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00BE73AD" w:rsidRPr="00064789">
        <w:t xml:space="preserve">are described </w:t>
      </w:r>
      <w:r w:rsidR="007946CB">
        <w:t xml:space="preserve">in </w:t>
      </w:r>
      <w:r w:rsidR="00AE22BA" w:rsidRPr="00532F44">
        <w:t xml:space="preserve">Table </w:t>
      </w:r>
      <w:proofErr w:type="gramStart"/>
      <w:r w:rsidR="00AE22BA">
        <w:rPr>
          <w:noProof/>
        </w:rPr>
        <w:t>1</w:t>
      </w:r>
      <w:r w:rsidR="007946CB">
        <w:t xml:space="preserve"> </w:t>
      </w:r>
      <w:r w:rsidR="00BE73AD" w:rsidRPr="00064789">
        <w:t>.</w:t>
      </w:r>
      <w:proofErr w:type="gramEnd"/>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AE22BA" w:rsidRPr="00532F44">
        <w:t xml:space="preserve">Figure </w:t>
      </w:r>
      <w:r w:rsidR="00AE22BA">
        <w:t>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w:t>
      </w:r>
      <w:r w:rsidR="00A9463E">
        <w:t>, including the presence of an ABN</w:t>
      </w:r>
      <w:r w:rsidR="001D7B3F" w:rsidRPr="00064789">
        <w:t>.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w:t>
      </w:r>
      <w:r w:rsidR="00A9463E">
        <w:t xml:space="preserve">hypothetical </w:t>
      </w:r>
      <w:r w:rsidR="00A07773" w:rsidRPr="00064789">
        <w:t xml:space="preserve">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w:t>
      </w:r>
      <w:r w:rsidR="00A9463E">
        <w:t>calculated</w:t>
      </w:r>
      <w:r w:rsidR="002D44B0" w:rsidRPr="00064789">
        <w:t>. F</w:t>
      </w:r>
      <w:r w:rsidR="00933B76" w:rsidRPr="00064789">
        <w:t xml:space="preserve">rom these </w:t>
      </w:r>
      <w:r w:rsidR="00263B7C" w:rsidRPr="00064789">
        <w:t>the incremental cost effectiveness ratio (ICER) of including TTE in the diagnostic package</w:t>
      </w:r>
      <w:r w:rsidR="00A9463E">
        <w:t xml:space="preserve"> can be calculated</w:t>
      </w:r>
      <w:r w:rsidR="00263B7C" w:rsidRPr="00064789">
        <w:t>.</w:t>
      </w:r>
    </w:p>
    <w:p w:rsidR="007946CB" w:rsidRPr="00064789" w:rsidRDefault="007946CB" w:rsidP="00B54241">
      <w:pPr>
        <w:spacing w:line="480" w:lineRule="auto"/>
        <w:jc w:val="center"/>
      </w:pPr>
      <w:r>
        <w:t>[</w:t>
      </w:r>
      <w:r w:rsidR="00AE22BA" w:rsidRPr="00532F44">
        <w:t xml:space="preserve">Figure </w:t>
      </w:r>
      <w:r w:rsidR="00AE22BA">
        <w:rPr>
          <w:noProof/>
        </w:rPr>
        <w:t>1</w:t>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w:t>
      </w:r>
      <w:r w:rsidRPr="00064789">
        <w:lastRenderedPageBreak/>
        <w:t xml:space="preserve">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w:t>
      </w:r>
      <w:r w:rsidR="00A9463E">
        <w:t>ve</w:t>
      </w:r>
      <w:r w:rsidR="00E97667" w:rsidRPr="00064789">
        <w:t xml:space="preserve"> different </w:t>
      </w:r>
      <w:r w:rsidR="00A9463E" w:rsidRPr="00064789">
        <w:t xml:space="preserve">probabilities </w:t>
      </w:r>
      <w:r w:rsidR="00A9463E">
        <w:t>of occurrence,</w:t>
      </w:r>
      <w:r w:rsidR="00A9463E" w:rsidRPr="00064789">
        <w:t xml:space="preserve"> </w:t>
      </w:r>
      <w:r w:rsidR="00253316" w:rsidRPr="00064789">
        <w:t>health related quality of life (</w:t>
      </w:r>
      <w:proofErr w:type="spellStart"/>
      <w:r w:rsidR="00253316" w:rsidRPr="00064789">
        <w:t>HRQoL</w:t>
      </w:r>
      <w:proofErr w:type="spellEnd"/>
      <w:r w:rsidR="00253316" w:rsidRPr="00064789">
        <w:t>)</w:t>
      </w:r>
      <w:r w:rsidR="00E97667" w:rsidRPr="00064789">
        <w:t>,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B54241" w:rsidRPr="00B54241">
        <w:rPr>
          <w:noProof/>
        </w:rPr>
        <w:t>[13]</w:t>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w:t>
      </w:r>
      <w:r w:rsidR="00A9463E">
        <w:t xml:space="preserve">major </w:t>
      </w:r>
      <w:r w:rsidR="00F91783" w:rsidRPr="00064789">
        <w:t xml:space="preserve">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B54241" w:rsidRPr="00B54241">
        <w:rPr>
          <w:noProof/>
        </w:rPr>
        <w:t>[14]</w:t>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B54241" w:rsidRPr="00B54241">
        <w:rPr>
          <w:noProof/>
        </w:rPr>
        <w:t>[15]</w:t>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AE22BA">
        <w:t xml:space="preserve">Table </w:t>
      </w:r>
      <w:r w:rsidR="00AE22BA">
        <w:rPr>
          <w:noProof/>
        </w:rPr>
        <w:t>5</w:t>
      </w:r>
      <w:r w:rsidR="0053415A">
        <w:t xml:space="preserve"> in the appendix</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53415A" w:rsidP="008D3B31">
      <w:pPr>
        <w:spacing w:line="480" w:lineRule="auto"/>
      </w:pPr>
      <w:bookmarkStart w:id="1" w:name="_Toc316637315"/>
      <w:r>
        <w:t>The adoption decision, defined as</w:t>
      </w:r>
      <w:r w:rsidR="00777CF9" w:rsidRPr="00064789">
        <w:t xml:space="preserve"> the strategy that is deemed most cost effective, is calculated from the mean values of the costs and the QALYs of each strategy. S</w:t>
      </w:r>
      <w:r w:rsidR="00741A7A" w:rsidRPr="00064789">
        <w:t xml:space="preserve">catterplots of estimates produced by the </w:t>
      </w:r>
      <w:r>
        <w:t>probabilistic sensitivity analysis (</w:t>
      </w:r>
      <w:r w:rsidR="00741A7A" w:rsidRPr="00064789">
        <w:t>PSA</w:t>
      </w:r>
      <w:r>
        <w:t>)</w:t>
      </w:r>
      <w:r w:rsidR="00741A7A" w:rsidRPr="00064789">
        <w:t xml:space="preserve"> provide an </w:t>
      </w:r>
      <w:r w:rsidR="00777CF9" w:rsidRPr="00064789">
        <w:t>indication of uncertainty surrounding the adoption decision</w:t>
      </w:r>
      <w:r w:rsidR="00741A7A" w:rsidRPr="00064789">
        <w:t xml:space="preserve">.  </w:t>
      </w:r>
      <w:r w:rsidR="00777CF9" w:rsidRPr="00064789">
        <w:t xml:space="preserve">A point in the north-west quadrant indicates that the </w:t>
      </w:r>
      <w:r w:rsidR="00741A7A" w:rsidRPr="00064789">
        <w:t xml:space="preserve">TTE </w:t>
      </w:r>
      <w:r w:rsidR="00777CF9" w:rsidRPr="00064789">
        <w:t xml:space="preserve">Strategy </w:t>
      </w:r>
      <w:r w:rsidR="00741A7A" w:rsidRPr="00064789">
        <w:t xml:space="preserve">is both more costly and less effective than the </w:t>
      </w:r>
      <w:r w:rsidR="00777CF9" w:rsidRPr="00064789">
        <w:t>N</w:t>
      </w:r>
      <w:r w:rsidR="00741A7A" w:rsidRPr="00064789">
        <w:t xml:space="preserve">o TTE </w:t>
      </w:r>
      <w:r w:rsidR="00777CF9" w:rsidRPr="00064789">
        <w:t>Strategy</w:t>
      </w:r>
      <w:r w:rsidR="00741A7A" w:rsidRPr="00064789">
        <w:t xml:space="preserve">, and </w:t>
      </w:r>
      <w:r w:rsidR="00E92AF8" w:rsidRPr="00064789">
        <w:t xml:space="preserve">so </w:t>
      </w:r>
      <w:r w:rsidR="00741A7A" w:rsidRPr="00064789">
        <w:t xml:space="preserve">ruled out by dominance. </w:t>
      </w:r>
      <w:r w:rsidR="00777CF9" w:rsidRPr="00064789">
        <w:t xml:space="preserve">A point </w:t>
      </w:r>
      <w:r w:rsidR="00741A7A" w:rsidRPr="00064789">
        <w:t>in the no</w:t>
      </w:r>
      <w:r w:rsidR="00777CF9" w:rsidRPr="00064789">
        <w:t>rth-</w:t>
      </w:r>
      <w:r w:rsidR="00741A7A" w:rsidRPr="00064789">
        <w:t xml:space="preserve">east quadrant indicates </w:t>
      </w:r>
      <w:r w:rsidR="00777CF9"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00777CF9" w:rsidRPr="00064789">
        <w:t xml:space="preserve">Scatterplots where </w:t>
      </w:r>
      <w:r w:rsidR="00E92AF8" w:rsidRPr="00064789">
        <w:t xml:space="preserve">the scatter covers more than one quadrant indicate some level of decision uncertainty, as different quadrants suggest different decisions. </w:t>
      </w:r>
      <w:r w:rsidR="00B54241" w:rsidRPr="00B54241">
        <w:rPr>
          <w:noProof/>
        </w:rPr>
        <w:t>[16]</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056C3D" w:rsidRPr="0031099C" w:rsidRDefault="00AE22BA" w:rsidP="00F309FB">
      <w:pPr>
        <w:spacing w:line="480" w:lineRule="auto"/>
      </w:pPr>
      <w:r w:rsidRPr="00F309FB">
        <w:t xml:space="preserve">Table </w:t>
      </w:r>
      <w:r>
        <w:rPr>
          <w:noProof/>
        </w:rPr>
        <w:t>2</w:t>
      </w:r>
      <w:r w:rsidR="00F309FB">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31099C">
        <w:t xml:space="preserve">Figure </w:t>
      </w:r>
      <w:r>
        <w:rPr>
          <w:noProof/>
        </w:rPr>
        <w:t>2</w:t>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w:t>
      </w:r>
      <w:r w:rsidR="00CB6D0B" w:rsidRPr="00CB6D0B">
        <w:t xml:space="preserve"> </w:t>
      </w:r>
      <w:proofErr w:type="gramStart"/>
      <w:r w:rsidRPr="00F309FB">
        <w:t xml:space="preserve">Table </w:t>
      </w:r>
      <w:r>
        <w:rPr>
          <w:noProof/>
        </w:rPr>
        <w:t>2</w:t>
      </w:r>
      <w:r w:rsidR="00F309FB">
        <w:t xml:space="preserve"> </w:t>
      </w:r>
      <w:r w:rsidR="00CB6D0B">
        <w:t xml:space="preserve">also </w:t>
      </w:r>
      <w:r w:rsidR="0083066E" w:rsidRPr="00064789">
        <w:t xml:space="preserve">shows the </w:t>
      </w:r>
      <w:r w:rsidR="006E14F1" w:rsidRPr="00064789">
        <w:t>mean cost</w:t>
      </w:r>
      <w:r w:rsidR="00FE3BA1" w:rsidRPr="00064789">
        <w:t>s</w:t>
      </w:r>
      <w:r w:rsidR="006E14F1" w:rsidRPr="00064789">
        <w:t xml:space="preserve"> and mean</w:t>
      </w:r>
      <w:proofErr w:type="gramEnd"/>
      <w:r w:rsidR="006E14F1" w:rsidRPr="00064789">
        <w:t xml:space="preserve">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rsidR="00AE22BA" w:rsidRPr="00F309FB">
        <w:t xml:space="preserve">Table </w:t>
      </w:r>
      <w:r w:rsidR="00AE22BA">
        <w:rPr>
          <w:noProof/>
        </w:rPr>
        <w:t>2</w:t>
      </w:r>
      <w:r>
        <w:t xml:space="preserve"> </w:t>
      </w:r>
      <w:r w:rsidR="00F309FB">
        <w:t>about here]</w:t>
      </w:r>
    </w:p>
    <w:p w:rsidR="00B54241" w:rsidRDefault="00B54241" w:rsidP="00F309FB">
      <w:pPr>
        <w:spacing w:line="480" w:lineRule="auto"/>
        <w:jc w:val="center"/>
      </w:pPr>
      <w:r>
        <w:t>[</w:t>
      </w:r>
      <w:r w:rsidR="00AE22BA" w:rsidRPr="0031099C">
        <w:t xml:space="preserve">Figure </w:t>
      </w:r>
      <w:r w:rsidR="00AE22BA">
        <w:rPr>
          <w:noProof/>
        </w:rPr>
        <w:t>2</w:t>
      </w:r>
      <w:r>
        <w:t xml:space="preserve"> about here</w:t>
      </w:r>
    </w:p>
    <w:p w:rsidR="00273A34" w:rsidRDefault="00AE22BA" w:rsidP="008D3B31">
      <w:pPr>
        <w:spacing w:line="480" w:lineRule="auto"/>
      </w:pPr>
      <w:r w:rsidRPr="00F309FB">
        <w:t xml:space="preserve">Table </w:t>
      </w:r>
      <w:r>
        <w:rPr>
          <w:noProof/>
        </w:rPr>
        <w:t>2</w:t>
      </w:r>
      <w:r w:rsidR="00605BB7" w:rsidRPr="00064789">
        <w:t xml:space="preserve"> </w:t>
      </w:r>
      <w:r w:rsidR="006E14F1" w:rsidRPr="00064789">
        <w:t xml:space="preserve">indicates that, irrespective of the OAC, using TTE in this way reduces the proportion of deaths caused by stroke, but increases the proportion of deaths caused by </w:t>
      </w:r>
      <w:r w:rsidR="0053415A">
        <w:t xml:space="preserve">major </w:t>
      </w:r>
      <w:r w:rsidR="006E14F1" w:rsidRPr="00064789">
        <w:t>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w:t>
      </w:r>
      <w:r w:rsidR="0053415A">
        <w:t xml:space="preserve">a </w:t>
      </w:r>
      <w:r w:rsidR="006E14F1" w:rsidRPr="00064789">
        <w:t xml:space="preserve">strategy incorporating TTE is used compared </w:t>
      </w:r>
      <w:r w:rsidR="00B54241">
        <w:t>with</w:t>
      </w:r>
      <w:r w:rsidR="006E14F1" w:rsidRPr="00064789">
        <w:t xml:space="preserve"> the strategy without TTE, but these differences are relatively small</w:t>
      </w:r>
      <w:r w:rsidR="00B54241">
        <w:t xml:space="preserve"> (approximately 0.1 life years)</w:t>
      </w:r>
      <w:r w:rsidR="00FE3BA1" w:rsidRPr="00064789">
        <w:t>.</w:t>
      </w:r>
      <w:r w:rsidR="006E14F1" w:rsidRPr="00064789">
        <w:t xml:space="preserve"> </w:t>
      </w:r>
    </w:p>
    <w:p w:rsidR="00920A0B" w:rsidRPr="00064789" w:rsidRDefault="00AE22BA" w:rsidP="00900CA4">
      <w:pPr>
        <w:spacing w:line="480" w:lineRule="auto"/>
      </w:pPr>
      <w:r w:rsidRPr="0031099C">
        <w:t xml:space="preserve">Figure </w:t>
      </w:r>
      <w:r>
        <w:rPr>
          <w:noProof/>
        </w:rPr>
        <w:t>2</w:t>
      </w:r>
      <w:r w:rsidR="0053415A">
        <w:t xml:space="preserve"> </w:t>
      </w:r>
      <w:r w:rsidR="00F309FB">
        <w:t>and</w:t>
      </w:r>
      <w:r w:rsidR="00CB6D0B">
        <w:t xml:space="preserve"> </w:t>
      </w:r>
      <w:r w:rsidRPr="00F309FB">
        <w:t xml:space="preserve">Table </w:t>
      </w:r>
      <w:r>
        <w:rPr>
          <w:noProof/>
        </w:rPr>
        <w:t>2</w:t>
      </w:r>
      <w:r w:rsidR="00B54241">
        <w:t xml:space="preserve"> </w:t>
      </w:r>
      <w:r w:rsidR="005653D1" w:rsidRPr="00064789">
        <w:t>both suggest that the cost-effectiveness of the TTE strategy compared with the no TTE strategy depends on the OAC which would be prescribed.  Where the OAC is warfarin (</w:t>
      </w:r>
      <w:r w:rsidRPr="0031099C">
        <w:t xml:space="preserve">Table </w:t>
      </w:r>
      <w:r>
        <w:rPr>
          <w:noProof/>
        </w:rPr>
        <w:t>3</w:t>
      </w:r>
      <w:r w:rsidR="005653D1" w:rsidRPr="00064789">
        <w:t>a), the ICER comparing the tw</w:t>
      </w:r>
      <w:r w:rsidR="00064789" w:rsidRPr="00064789">
        <w:t>o strategies is almost £40 000 per</w:t>
      </w:r>
      <w:r w:rsidR="005653D1" w:rsidRPr="00064789">
        <w:t xml:space="preserve"> QALY; where the OAC </w:t>
      </w:r>
      <w:r w:rsidR="0053415A">
        <w:t xml:space="preserve">is </w:t>
      </w:r>
      <w:proofErr w:type="spellStart"/>
      <w:r w:rsidR="005653D1" w:rsidRPr="00064789">
        <w:t>rivaroxaban</w:t>
      </w:r>
      <w:proofErr w:type="spellEnd"/>
      <w:r w:rsidR="005653D1" w:rsidRPr="00064789">
        <w:t xml:space="preserve"> (</w:t>
      </w:r>
      <w:r w:rsidRPr="00F309FB">
        <w:t xml:space="preserve">Table </w:t>
      </w:r>
      <w:r>
        <w:rPr>
          <w:noProof/>
        </w:rPr>
        <w:t>2</w:t>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Pr="00F309FB">
        <w:t xml:space="preserve">Table </w:t>
      </w:r>
      <w:r>
        <w:rPr>
          <w:noProof/>
        </w:rPr>
        <w:t>2</w:t>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lastRenderedPageBreak/>
        <w:t>Deterministic sensitivity analyses</w:t>
      </w:r>
    </w:p>
    <w:p w:rsidR="00345E19" w:rsidRPr="00064789" w:rsidRDefault="00AE22BA" w:rsidP="00345E19">
      <w:pPr>
        <w:spacing w:line="480" w:lineRule="auto"/>
      </w:pPr>
      <w:r w:rsidRPr="0031099C">
        <w:t xml:space="preserve">Table </w:t>
      </w:r>
      <w:r>
        <w:rPr>
          <w:noProof/>
        </w:rPr>
        <w:t>3</w:t>
      </w:r>
      <w:r w:rsidR="00B54241">
        <w:t xml:space="preserve"> </w:t>
      </w:r>
      <w:r w:rsidR="00345E19" w:rsidRPr="00064789">
        <w:t xml:space="preserve">shows how the </w:t>
      </w:r>
      <w:r w:rsidR="00B54241">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If TTE had perfect sensitivity and specificity, then the additional cost per QALY is estimated to range from around £1,800/QALY for warfarin (a) to</w:t>
      </w:r>
      <w:r w:rsidR="0053415A">
        <w:t xml:space="preserve"> £1,100/QALY for </w:t>
      </w:r>
      <w:proofErr w:type="spellStart"/>
      <w:r w:rsidR="0053415A">
        <w:t>dabigatran</w:t>
      </w:r>
      <w:proofErr w:type="spellEnd"/>
      <w:r w:rsidR="0053415A">
        <w:t xml:space="preserve"> (c)</w:t>
      </w:r>
      <w:r w:rsidR="00345E19" w:rsidRPr="00064789">
        <w:t xml:space="preserve"> </w:t>
      </w:r>
      <w:r w:rsidR="0053415A" w:rsidRPr="00DF52E6">
        <w:rPr>
          <w:noProof/>
        </w:rPr>
        <w:t>[6]</w:t>
      </w:r>
      <w:r w:rsidR="0053415A">
        <w:t>.</w:t>
      </w:r>
      <w:r w:rsidR="0053415A" w:rsidRPr="00064789">
        <w:t xml:space="preserve"> </w:t>
      </w:r>
      <w:r w:rsidR="00345E19" w:rsidRPr="00064789">
        <w:t xml:space="preserve">However, due to the less than perfect specificity of TTE, estimated to be around 0.35, and the increased number of false positives predicted to be treated as a result of this, the ICERs </w:t>
      </w:r>
      <w:r w:rsidR="00FE3BA1" w:rsidRPr="00064789">
        <w:t xml:space="preserve">increase </w:t>
      </w:r>
      <w:r w:rsidR="00B54241">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AE22BA" w:rsidRPr="0031099C">
        <w:t xml:space="preserve">Table </w:t>
      </w:r>
      <w:r w:rsidR="00AE22BA">
        <w:rPr>
          <w:noProof/>
        </w:rPr>
        <w:t>4</w:t>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8C662C" w:rsidP="008D3B31">
      <w:pPr>
        <w:spacing w:line="480" w:lineRule="auto"/>
      </w:pPr>
      <w:r>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w:t>
      </w:r>
      <w:r>
        <w:lastRenderedPageBreak/>
        <w:t xml:space="preserve">and we </w:t>
      </w:r>
      <w:r w:rsidR="00D20CA0" w:rsidRPr="00064789">
        <w:t>identified no economic evaluations of</w:t>
      </w:r>
      <w:r w:rsidR="007A14AB">
        <w:t xml:space="preserve"> the use of</w:t>
      </w:r>
      <w:r w:rsidR="00D20CA0" w:rsidRPr="00064789">
        <w:t xml:space="preserve"> TTE in AF patients</w:t>
      </w:r>
      <w:r>
        <w:t>. Thus</w:t>
      </w:r>
      <w:r w:rsidR="0053415A">
        <w:t xml:space="preserve"> we believe </w:t>
      </w:r>
      <w:r w:rsidR="00D20CA0" w:rsidRPr="00064789">
        <w:t>this is the first</w:t>
      </w:r>
      <w:r>
        <w:t xml:space="preserve"> such economic evaluation</w:t>
      </w:r>
      <w:r w:rsidR="00D20CA0" w:rsidRPr="00064789">
        <w:t xml:space="preserve">.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B54241" w:rsidRPr="00B54241">
        <w:rPr>
          <w:noProof/>
        </w:rPr>
        <w:t>[3,4,17,18]</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B54241" w:rsidRPr="00B54241">
        <w:rPr>
          <w:noProof/>
        </w:rPr>
        <w:t>[11,12]</w:t>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DF52E6" w:rsidRPr="00DF52E6">
        <w:rPr>
          <w:noProof/>
        </w:rPr>
        <w:t>[6]</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DF52E6" w:rsidRPr="00DF52E6">
        <w:rPr>
          <w:noProof/>
        </w:rPr>
        <w:t>[6</w:t>
      </w:r>
      <w:proofErr w:type="gramStart"/>
      <w:r w:rsidR="00DF52E6" w:rsidRPr="00DF52E6">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w:t>
      </w:r>
      <w:r w:rsidR="00E36870" w:rsidRPr="00064789">
        <w:lastRenderedPageBreak/>
        <w:t xml:space="preserve">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B54241" w:rsidRPr="00B54241">
        <w:rPr>
          <w:noProof/>
        </w:rPr>
        <w:t>[19]</w:t>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B54241" w:rsidRPr="00B54241">
        <w:rPr>
          <w:noProof/>
        </w:rPr>
        <w:t>[20]</w:t>
      </w:r>
      <w:r w:rsidR="00A84F79" w:rsidRPr="00064789">
        <w:t xml:space="preserve"> </w:t>
      </w:r>
      <w:r w:rsidR="00F00EDF" w:rsidRPr="00064789">
        <w:t>As</w:t>
      </w:r>
      <w:r w:rsidR="00120CC0">
        <w:t xml:space="preserve"> </w:t>
      </w:r>
      <w:r w:rsidR="00AE22BA" w:rsidRPr="0031099C">
        <w:t xml:space="preserve">Table </w:t>
      </w:r>
      <w:r w:rsidR="00AE22BA">
        <w:rPr>
          <w:noProof/>
        </w:rPr>
        <w:t>3</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3B36C5" w:rsidP="008D3B31">
      <w:pPr>
        <w:spacing w:line="480" w:lineRule="auto"/>
      </w:pPr>
      <w:r>
        <w:t xml:space="preserve">If </w:t>
      </w:r>
      <w:r w:rsidR="00DB7C63" w:rsidRPr="00064789">
        <w:t xml:space="preserve">TTE </w:t>
      </w:r>
      <w:r>
        <w:t xml:space="preserve">were to </w:t>
      </w:r>
      <w:r w:rsidR="00DB7C63" w:rsidRPr="00064789">
        <w:t>be recommended for those patients with CHADS</w:t>
      </w:r>
      <w:r w:rsidR="00DB7C63" w:rsidRPr="00064789">
        <w:rPr>
          <w:vertAlign w:val="subscript"/>
        </w:rPr>
        <w:t>2</w:t>
      </w:r>
      <w:r w:rsidR="00DB7C63" w:rsidRPr="00064789">
        <w:t xml:space="preserve"> scores of </w:t>
      </w:r>
      <w:r w:rsidR="00B36EBC" w:rsidRPr="00064789">
        <w:t xml:space="preserve">zero </w:t>
      </w:r>
      <w:r w:rsidR="00DB7C63" w:rsidRPr="00064789">
        <w:t>point</w:t>
      </w:r>
      <w:r w:rsidR="00B36EBC" w:rsidRPr="00064789">
        <w:t>s</w:t>
      </w:r>
      <w:r w:rsidR="00DB7C63"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w:t>
      </w:r>
      <w:r w:rsidR="00903CA6" w:rsidRPr="00064789">
        <w:lastRenderedPageBreak/>
        <w:t xml:space="preserve">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B36C5">
        <w:t xml:space="preserve"> in more elderly patients</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10"/>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 </w:t>
      </w:r>
      <w:r w:rsidRPr="00B54241">
        <w:rPr>
          <w:rFonts w:ascii="Calibri" w:hAnsi="Calibri" w:cs="Calibri"/>
          <w:noProof/>
          <w:sz w:val="22"/>
        </w:rPr>
        <w:tab/>
        <w:t xml:space="preserve">Go AS, Hylek EM, Phillips KA, </w:t>
      </w:r>
      <w:r w:rsidRPr="00B54241">
        <w:rPr>
          <w:rFonts w:ascii="Calibri" w:hAnsi="Calibri" w:cs="Calibri"/>
          <w:i/>
          <w:iCs/>
          <w:noProof/>
          <w:sz w:val="22"/>
        </w:rPr>
        <w:t>et al.</w:t>
      </w:r>
      <w:r w:rsidRPr="00B54241">
        <w:rPr>
          <w:rFonts w:ascii="Calibri" w:hAnsi="Calibri" w:cs="Calibri"/>
          <w:noProof/>
          <w:sz w:val="22"/>
        </w:rPr>
        <w:t xml:space="preserve"> Prevalence of diagnosed atrial fibrillation in adults: national implications for rhythm management and stroke prevention: the AnTicoagulation and Risk Factors in Atrial Fibrillation (ATRIA) Study. </w:t>
      </w:r>
      <w:r w:rsidRPr="00B54241">
        <w:rPr>
          <w:rFonts w:ascii="Calibri" w:hAnsi="Calibri" w:cs="Calibri"/>
          <w:i/>
          <w:iCs/>
          <w:noProof/>
          <w:sz w:val="22"/>
        </w:rPr>
        <w:t>JAMA : the journal of the American Medical Association</w:t>
      </w:r>
      <w:r w:rsidRPr="00B54241">
        <w:rPr>
          <w:rFonts w:ascii="Calibri" w:hAnsi="Calibri" w:cs="Calibri"/>
          <w:noProof/>
          <w:sz w:val="22"/>
        </w:rPr>
        <w:t xml:space="preserve"> 2001;</w:t>
      </w:r>
      <w:r w:rsidRPr="00B54241">
        <w:rPr>
          <w:rFonts w:ascii="Calibri" w:hAnsi="Calibri" w:cs="Calibri"/>
          <w:b/>
          <w:bCs/>
          <w:noProof/>
          <w:sz w:val="22"/>
        </w:rPr>
        <w:t>285</w:t>
      </w:r>
      <w:r w:rsidRPr="00B54241">
        <w:rPr>
          <w:rFonts w:ascii="Calibri" w:hAnsi="Calibri" w:cs="Calibri"/>
          <w:noProof/>
          <w:sz w:val="22"/>
        </w:rPr>
        <w:t>:2370–5.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 </w:t>
      </w:r>
      <w:r w:rsidRPr="00B54241">
        <w:rPr>
          <w:rFonts w:ascii="Calibri" w:hAnsi="Calibri" w:cs="Calibri"/>
          <w:noProof/>
          <w:sz w:val="22"/>
        </w:rPr>
        <w:tab/>
        <w:t xml:space="preserve">Rivaroxaban-once daily, oral, direct factor Xa inhibition compared with vitamin K antagonism for prevention of stroke and Embolism Trial in Atrial Fibrillation: rationale and design of the ROCKET AF study. </w:t>
      </w:r>
      <w:r w:rsidRPr="00B54241">
        <w:rPr>
          <w:rFonts w:ascii="Calibri" w:hAnsi="Calibri" w:cs="Calibri"/>
          <w:i/>
          <w:iCs/>
          <w:noProof/>
          <w:sz w:val="22"/>
        </w:rPr>
        <w:t>American heart journal</w:t>
      </w:r>
      <w:r w:rsidRPr="00B54241">
        <w:rPr>
          <w:rFonts w:ascii="Calibri" w:hAnsi="Calibri" w:cs="Calibri"/>
          <w:noProof/>
          <w:sz w:val="22"/>
        </w:rPr>
        <w:t xml:space="preserve"> 2010;</w:t>
      </w:r>
      <w:r w:rsidRPr="00B54241">
        <w:rPr>
          <w:rFonts w:ascii="Calibri" w:hAnsi="Calibri" w:cs="Calibri"/>
          <w:b/>
          <w:bCs/>
          <w:noProof/>
          <w:sz w:val="22"/>
        </w:rPr>
        <w:t>159</w:t>
      </w:r>
      <w:r w:rsidRPr="00B54241">
        <w:rPr>
          <w:rFonts w:ascii="Calibri" w:hAnsi="Calibri" w:cs="Calibri"/>
          <w:noProof/>
          <w:sz w:val="22"/>
        </w:rPr>
        <w:t>:340–347.e1.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 </w:t>
      </w:r>
      <w:r w:rsidRPr="00B54241">
        <w:rPr>
          <w:rFonts w:ascii="Calibri" w:hAnsi="Calibri" w:cs="Calibri"/>
          <w:noProof/>
          <w:sz w:val="22"/>
        </w:rPr>
        <w:tab/>
        <w:t xml:space="preserve">Camm AJ, Kirchhof P, Lip GY, </w:t>
      </w:r>
      <w:r w:rsidRPr="00B54241">
        <w:rPr>
          <w:rFonts w:ascii="Calibri" w:hAnsi="Calibri" w:cs="Calibri"/>
          <w:i/>
          <w:iCs/>
          <w:noProof/>
          <w:sz w:val="22"/>
        </w:rPr>
        <w:t>et al.</w:t>
      </w:r>
      <w:r w:rsidRPr="00B54241">
        <w:rPr>
          <w:rFonts w:ascii="Calibri" w:hAnsi="Calibri" w:cs="Calibri"/>
          <w:noProof/>
          <w:sz w:val="22"/>
        </w:rPr>
        <w:t xml:space="preserve"> Guidelines for the management of atrial fibrillation: the Task Force for the Management of Atrial Fibrillation of the European Society of Cardiology (ESC). </w:t>
      </w:r>
      <w:r w:rsidRPr="00B54241">
        <w:rPr>
          <w:rFonts w:ascii="Calibri" w:hAnsi="Calibri" w:cs="Calibri"/>
          <w:i/>
          <w:iCs/>
          <w:noProof/>
          <w:sz w:val="22"/>
        </w:rPr>
        <w:t>Eur Heart J</w:t>
      </w:r>
      <w:r w:rsidRPr="00B54241">
        <w:rPr>
          <w:rFonts w:ascii="Calibri" w:hAnsi="Calibri" w:cs="Calibri"/>
          <w:noProof/>
          <w:sz w:val="22"/>
        </w:rPr>
        <w:t xml:space="preserve"> 2010;</w:t>
      </w:r>
      <w:r w:rsidRPr="00B54241">
        <w:rPr>
          <w:rFonts w:ascii="Calibri" w:hAnsi="Calibri" w:cs="Calibri"/>
          <w:b/>
          <w:bCs/>
          <w:noProof/>
          <w:sz w:val="22"/>
        </w:rPr>
        <w:t>31</w:t>
      </w:r>
      <w:r w:rsidRPr="00B54241">
        <w:rPr>
          <w:rFonts w:ascii="Calibri" w:hAnsi="Calibri" w:cs="Calibri"/>
          <w:noProof/>
          <w:sz w:val="22"/>
        </w:rPr>
        <w:t>:2369–429.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4 </w:t>
      </w:r>
      <w:r w:rsidRPr="00B54241">
        <w:rPr>
          <w:rFonts w:ascii="Calibri" w:hAnsi="Calibri" w:cs="Calibri"/>
          <w:noProof/>
          <w:sz w:val="22"/>
        </w:rPr>
        <w:tab/>
        <w:t xml:space="preserve">Camm AJ, Lip GYH, De Caterina R, </w:t>
      </w:r>
      <w:r w:rsidRPr="00B54241">
        <w:rPr>
          <w:rFonts w:ascii="Calibri" w:hAnsi="Calibri" w:cs="Calibri"/>
          <w:i/>
          <w:iCs/>
          <w:noProof/>
          <w:sz w:val="22"/>
        </w:rPr>
        <w:t>et al.</w:t>
      </w:r>
      <w:r w:rsidRPr="00B54241">
        <w:rPr>
          <w:rFonts w:ascii="Calibri" w:hAnsi="Calibri" w:cs="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24 August 2012. doi:10.1093/eurheartj/ehs253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5 </w:t>
      </w:r>
      <w:r w:rsidRPr="00B54241">
        <w:rPr>
          <w:rFonts w:ascii="Calibri" w:hAnsi="Calibri" w:cs="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B54241">
        <w:rPr>
          <w:rFonts w:ascii="Calibri" w:hAnsi="Calibri" w:cs="Calibri"/>
          <w:i/>
          <w:iCs/>
          <w:noProof/>
          <w:sz w:val="22"/>
        </w:rPr>
        <w:t>Ann Intern Med</w:t>
      </w:r>
      <w:r w:rsidRPr="00B54241">
        <w:rPr>
          <w:rFonts w:ascii="Calibri" w:hAnsi="Calibri" w:cs="Calibri"/>
          <w:noProof/>
          <w:sz w:val="22"/>
        </w:rPr>
        <w:t xml:space="preserve"> 1998;</w:t>
      </w:r>
      <w:r w:rsidRPr="00B54241">
        <w:rPr>
          <w:rFonts w:ascii="Calibri" w:hAnsi="Calibri" w:cs="Calibri"/>
          <w:b/>
          <w:bCs/>
          <w:noProof/>
          <w:sz w:val="22"/>
        </w:rPr>
        <w:t>128</w:t>
      </w:r>
      <w:r w:rsidRPr="00B54241">
        <w:rPr>
          <w:rFonts w:ascii="Calibri" w:hAnsi="Calibri" w:cs="Calibri"/>
          <w:noProof/>
          <w:sz w:val="22"/>
        </w:rPr>
        <w:t>:639–47.</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6 </w:t>
      </w:r>
      <w:r w:rsidRPr="00B54241">
        <w:rPr>
          <w:rFonts w:ascii="Calibri" w:hAnsi="Calibri" w:cs="Calibri"/>
          <w:noProof/>
          <w:sz w:val="22"/>
        </w:rPr>
        <w:tab/>
        <w:t xml:space="preserve">Providencia R, Botelho A, Trigo J, </w:t>
      </w:r>
      <w:r w:rsidRPr="00B54241">
        <w:rPr>
          <w:rFonts w:ascii="Calibri" w:hAnsi="Calibri" w:cs="Calibri"/>
          <w:i/>
          <w:iCs/>
          <w:noProof/>
          <w:sz w:val="22"/>
        </w:rPr>
        <w:t>et al.</w:t>
      </w:r>
      <w:r w:rsidRPr="00B54241">
        <w:rPr>
          <w:rFonts w:ascii="Calibri" w:hAnsi="Calibri" w:cs="Calibri"/>
          <w:noProof/>
          <w:sz w:val="22"/>
        </w:rPr>
        <w:t xml:space="preserve"> Possible refinement of clinical thromboembolism assessment in patients with atrial fibrillation using echocardiographic parameters. </w:t>
      </w:r>
      <w:r w:rsidRPr="00B54241">
        <w:rPr>
          <w:rFonts w:ascii="Calibri" w:hAnsi="Calibri" w:cs="Calibri"/>
          <w:i/>
          <w:iCs/>
          <w:noProof/>
          <w:sz w:val="22"/>
        </w:rPr>
        <w:t>Europace</w:t>
      </w:r>
      <w:r w:rsidRPr="00B54241">
        <w:rPr>
          <w:rFonts w:ascii="Calibri" w:hAnsi="Calibri" w:cs="Calibri"/>
          <w:noProof/>
          <w:sz w:val="22"/>
        </w:rPr>
        <w:t xml:space="preserve"> 2012;</w:t>
      </w:r>
      <w:r w:rsidRPr="00B54241">
        <w:rPr>
          <w:rFonts w:ascii="Calibri" w:hAnsi="Calibri" w:cs="Calibri"/>
          <w:b/>
          <w:bCs/>
          <w:noProof/>
          <w:sz w:val="22"/>
        </w:rPr>
        <w:t>14</w:t>
      </w:r>
      <w:r w:rsidRPr="00B54241">
        <w:rPr>
          <w:rFonts w:ascii="Calibri" w:hAnsi="Calibri" w:cs="Calibri"/>
          <w:noProof/>
          <w:sz w:val="22"/>
        </w:rPr>
        <w:t>:36–45.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7 </w:t>
      </w:r>
      <w:r w:rsidRPr="00B54241">
        <w:rPr>
          <w:rFonts w:ascii="Calibri" w:hAnsi="Calibri" w:cs="Calibri"/>
          <w:noProof/>
          <w:sz w:val="22"/>
        </w:rPr>
        <w:tab/>
        <w:t>NICE. Guide to the methods of technology appraisal. 2008.http://www.nice.org.uk/media/B52/A7/TAMethodsGuideUpdatedJune2008.pdf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8 </w:t>
      </w:r>
      <w:r w:rsidRPr="00B54241">
        <w:rPr>
          <w:rFonts w:ascii="Calibri" w:hAnsi="Calibri" w:cs="Calibri"/>
          <w:noProof/>
          <w:sz w:val="22"/>
        </w:rPr>
        <w:tab/>
        <w:t xml:space="preserve">Pliskin JS, Shepard DS, Weinstein MC. Utility Functions for Life Years and Health Status. </w:t>
      </w:r>
      <w:r w:rsidRPr="00B54241">
        <w:rPr>
          <w:rFonts w:ascii="Calibri" w:hAnsi="Calibri" w:cs="Calibri"/>
          <w:i/>
          <w:iCs/>
          <w:noProof/>
          <w:sz w:val="22"/>
        </w:rPr>
        <w:t>Operations Research</w:t>
      </w:r>
      <w:r w:rsidRPr="00B54241">
        <w:rPr>
          <w:rFonts w:ascii="Calibri" w:hAnsi="Calibri" w:cs="Calibri"/>
          <w:noProof/>
          <w:sz w:val="22"/>
        </w:rPr>
        <w:t xml:space="preserve"> 1980;</w:t>
      </w:r>
      <w:r w:rsidRPr="00B54241">
        <w:rPr>
          <w:rFonts w:ascii="Calibri" w:hAnsi="Calibri" w:cs="Calibri"/>
          <w:b/>
          <w:bCs/>
          <w:noProof/>
          <w:sz w:val="22"/>
        </w:rPr>
        <w:t>28</w:t>
      </w:r>
      <w:r w:rsidRPr="00B54241">
        <w:rPr>
          <w:rFonts w:ascii="Calibri" w:hAnsi="Calibri" w:cs="Calibri"/>
          <w:noProof/>
          <w:sz w:val="22"/>
        </w:rPr>
        <w:t>:206–24.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9 </w:t>
      </w:r>
      <w:r w:rsidRPr="00B54241">
        <w:rPr>
          <w:rFonts w:ascii="Calibri" w:hAnsi="Calibri" w:cs="Calibri"/>
          <w:noProof/>
          <w:sz w:val="22"/>
        </w:rPr>
        <w:tab/>
        <w:t>NICE. Guide to the methods of technology appraisal. NICE methods guide. 2008;:80.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10 </w:t>
      </w:r>
      <w:r w:rsidRPr="00B54241">
        <w:rPr>
          <w:rFonts w:ascii="Calibri" w:hAnsi="Calibri" w:cs="Calibri"/>
          <w:noProof/>
          <w:sz w:val="22"/>
        </w:rPr>
        <w:tab/>
        <w:t xml:space="preserve">Inglehart D. Simulating stable stochastic systems, V: Comparison of ratio estimators. </w:t>
      </w:r>
      <w:r w:rsidRPr="00B54241">
        <w:rPr>
          <w:rFonts w:ascii="Calibri" w:hAnsi="Calibri" w:cs="Calibri"/>
          <w:i/>
          <w:iCs/>
          <w:noProof/>
          <w:sz w:val="22"/>
        </w:rPr>
        <w:t>Naval Research Logistics</w:t>
      </w:r>
      <w:r w:rsidRPr="00B54241">
        <w:rPr>
          <w:rFonts w:ascii="Calibri" w:hAnsi="Calibri" w:cs="Calibri"/>
          <w:noProof/>
          <w:sz w:val="22"/>
        </w:rPr>
        <w:t xml:space="preserve"> 1975;</w:t>
      </w:r>
      <w:r w:rsidRPr="00B54241">
        <w:rPr>
          <w:rFonts w:ascii="Calibri" w:hAnsi="Calibri" w:cs="Calibri"/>
          <w:b/>
          <w:bCs/>
          <w:noProof/>
          <w:sz w:val="22"/>
        </w:rPr>
        <w:t>22</w:t>
      </w:r>
      <w:r w:rsidRPr="00B54241">
        <w:rPr>
          <w:rFonts w:ascii="Calibri" w:hAnsi="Calibri" w:cs="Calibri"/>
          <w:noProof/>
          <w:sz w:val="22"/>
        </w:rPr>
        <w:t>:553–65.</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11 </w:t>
      </w:r>
      <w:r w:rsidRPr="00B54241">
        <w:rPr>
          <w:rFonts w:ascii="Calibri" w:hAnsi="Calibri" w:cs="Calibri"/>
          <w:noProof/>
          <w:sz w:val="22"/>
        </w:rPr>
        <w:tab/>
        <w:t>NICE. Rivaroxaban for the prevention of stroke and systemic embolism in people with atrial fibrillation. NICE technology appraisal guidance 256. 2012.http://www.nice.org.uk/nicemedia/live/13746/59295/59295.pdf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12 </w:t>
      </w:r>
      <w:r w:rsidRPr="00B54241">
        <w:rPr>
          <w:rFonts w:ascii="Calibri" w:hAnsi="Calibri" w:cs="Calibri"/>
          <w:noProof/>
          <w:sz w:val="22"/>
        </w:rPr>
        <w:tab/>
        <w:t>NICE. Dabigatran etexilate for the prevention of stroke and systemic embolism in atrial fibrillation. NICE technology appraisal guidance 249. 2012.http://www.nice.org.uk/nicemedia/live/13677/58470/58470.pdf (accessed 28 Sep2012).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13 </w:t>
      </w:r>
      <w:r w:rsidRPr="00B54241">
        <w:rPr>
          <w:rFonts w:ascii="Calibri" w:hAnsi="Calibri" w:cs="Calibri"/>
          <w:noProof/>
          <w:sz w:val="22"/>
        </w:rPr>
        <w:tab/>
        <w:t xml:space="preserve">Simpson EL, Stevenson MD, Scope A, </w:t>
      </w:r>
      <w:r w:rsidRPr="00B54241">
        <w:rPr>
          <w:rFonts w:ascii="Calibri" w:hAnsi="Calibri" w:cs="Calibri"/>
          <w:i/>
          <w:iCs/>
          <w:noProof/>
          <w:sz w:val="22"/>
        </w:rPr>
        <w:t>et al.</w:t>
      </w:r>
      <w:r w:rsidRPr="00B54241">
        <w:rPr>
          <w:rFonts w:ascii="Calibri" w:hAnsi="Calibri" w:cs="Calibri"/>
          <w:noProof/>
          <w:sz w:val="22"/>
        </w:rPr>
        <w:t xml:space="preserve"> Echocardiography in newly diagnosed atrial fibrillation patients: a systematic review and economic evaluation. 2012.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14 </w:t>
      </w:r>
      <w:r w:rsidRPr="00B54241">
        <w:rPr>
          <w:rFonts w:ascii="Calibri" w:hAnsi="Calibri" w:cs="Calibri"/>
          <w:noProof/>
          <w:sz w:val="22"/>
        </w:rPr>
        <w:tab/>
        <w:t xml:space="preserve">PVS TM-STF on. Medical aspects of the persistent vegetative state: second of two parts. </w:t>
      </w:r>
      <w:r w:rsidRPr="00B54241">
        <w:rPr>
          <w:rFonts w:ascii="Calibri" w:hAnsi="Calibri" w:cs="Calibri"/>
          <w:i/>
          <w:iCs/>
          <w:noProof/>
          <w:sz w:val="22"/>
        </w:rPr>
        <w:t>The New England Journal of Medicine</w:t>
      </w:r>
      <w:r w:rsidRPr="00B54241">
        <w:rPr>
          <w:rFonts w:ascii="Calibri" w:hAnsi="Calibri" w:cs="Calibri"/>
          <w:noProof/>
          <w:sz w:val="22"/>
        </w:rPr>
        <w:t xml:space="preserve"> 1994;</w:t>
      </w:r>
      <w:r w:rsidRPr="00B54241">
        <w:rPr>
          <w:rFonts w:ascii="Calibri" w:hAnsi="Calibri" w:cs="Calibri"/>
          <w:b/>
          <w:bCs/>
          <w:noProof/>
          <w:sz w:val="22"/>
        </w:rPr>
        <w:t>330</w:t>
      </w:r>
      <w:r w:rsidRPr="00B54241">
        <w:rPr>
          <w:rFonts w:ascii="Calibri" w:hAnsi="Calibri" w:cs="Calibri"/>
          <w:noProof/>
          <w:sz w:val="22"/>
        </w:rPr>
        <w:t>.http://www.nejm.org/doi/full/10.1056/NEJM199406023302206</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15 </w:t>
      </w:r>
      <w:r w:rsidRPr="00B54241">
        <w:rPr>
          <w:rFonts w:ascii="Calibri" w:hAnsi="Calibri" w:cs="Calibri"/>
          <w:noProof/>
          <w:sz w:val="22"/>
        </w:rPr>
        <w:tab/>
        <w:t xml:space="preserve">Eikelboom JW, Wallentin L, Connolly SJ, </w:t>
      </w:r>
      <w:r w:rsidRPr="00B54241">
        <w:rPr>
          <w:rFonts w:ascii="Calibri" w:hAnsi="Calibri" w:cs="Calibri"/>
          <w:i/>
          <w:iCs/>
          <w:noProof/>
          <w:sz w:val="22"/>
        </w:rPr>
        <w:t>et al.</w:t>
      </w:r>
      <w:r w:rsidRPr="00B54241">
        <w:rPr>
          <w:rFonts w:ascii="Calibri" w:hAnsi="Calibri" w:cs="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B54241">
        <w:rPr>
          <w:rFonts w:ascii="Calibri" w:hAnsi="Calibri" w:cs="Calibri"/>
          <w:i/>
          <w:iCs/>
          <w:noProof/>
          <w:sz w:val="22"/>
        </w:rPr>
        <w:t>Circulation</w:t>
      </w:r>
      <w:r w:rsidRPr="00B54241">
        <w:rPr>
          <w:rFonts w:ascii="Calibri" w:hAnsi="Calibri" w:cs="Calibri"/>
          <w:noProof/>
          <w:sz w:val="22"/>
        </w:rPr>
        <w:t xml:space="preserve"> 2011;</w:t>
      </w:r>
      <w:r w:rsidRPr="00B54241">
        <w:rPr>
          <w:rFonts w:ascii="Calibri" w:hAnsi="Calibri" w:cs="Calibri"/>
          <w:b/>
          <w:bCs/>
          <w:noProof/>
          <w:sz w:val="22"/>
        </w:rPr>
        <w:t>123</w:t>
      </w:r>
      <w:r w:rsidRPr="00B54241">
        <w:rPr>
          <w:rFonts w:ascii="Calibri" w:hAnsi="Calibri" w:cs="Calibri"/>
          <w:noProof/>
          <w:sz w:val="22"/>
        </w:rPr>
        <w:t>:2363–72.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16 </w:t>
      </w:r>
      <w:r w:rsidRPr="00B54241">
        <w:rPr>
          <w:rFonts w:ascii="Calibri" w:hAnsi="Calibri" w:cs="Calibri"/>
          <w:noProof/>
          <w:sz w:val="22"/>
        </w:rPr>
        <w:tab/>
        <w:t xml:space="preserve">Drummond MF, Schulpher MJ, Torrance GW, </w:t>
      </w:r>
      <w:r w:rsidRPr="00B54241">
        <w:rPr>
          <w:rFonts w:ascii="Calibri" w:hAnsi="Calibri" w:cs="Calibri"/>
          <w:i/>
          <w:iCs/>
          <w:noProof/>
          <w:sz w:val="22"/>
        </w:rPr>
        <w:t>et al.</w:t>
      </w:r>
      <w:r w:rsidRPr="00B54241">
        <w:rPr>
          <w:rFonts w:ascii="Calibri" w:hAnsi="Calibri" w:cs="Calibri"/>
          <w:noProof/>
          <w:sz w:val="22"/>
        </w:rPr>
        <w:t xml:space="preserve"> </w:t>
      </w:r>
      <w:r w:rsidRPr="00B54241">
        <w:rPr>
          <w:rFonts w:ascii="Calibri" w:hAnsi="Calibri" w:cs="Calibri"/>
          <w:i/>
          <w:iCs/>
          <w:noProof/>
          <w:sz w:val="22"/>
        </w:rPr>
        <w:t>Methods for the Economic Evaluation of Health Care Programmes</w:t>
      </w:r>
      <w:r w:rsidRPr="00B54241">
        <w:rPr>
          <w:rFonts w:ascii="Calibri" w:hAnsi="Calibri" w:cs="Calibri"/>
          <w:noProof/>
          <w:sz w:val="22"/>
        </w:rPr>
        <w:t xml:space="preserve">. Third Edit. Oxford: : OUP 2005. </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17 </w:t>
      </w:r>
      <w:r w:rsidRPr="00B54241">
        <w:rPr>
          <w:rFonts w:ascii="Calibri" w:hAnsi="Calibri" w:cs="Calibri"/>
          <w:noProof/>
          <w:sz w:val="22"/>
        </w:rPr>
        <w:tab/>
        <w:t xml:space="preserve">Lip GY, Nieuwlaat R, Pisters R, </w:t>
      </w:r>
      <w:r w:rsidRPr="00B54241">
        <w:rPr>
          <w:rFonts w:ascii="Calibri" w:hAnsi="Calibri" w:cs="Calibri"/>
          <w:i/>
          <w:iCs/>
          <w:noProof/>
          <w:sz w:val="22"/>
        </w:rPr>
        <w:t>et al.</w:t>
      </w:r>
      <w:r w:rsidRPr="00B54241">
        <w:rPr>
          <w:rFonts w:ascii="Calibri" w:hAnsi="Calibri" w:cs="Calibri"/>
          <w:noProof/>
          <w:sz w:val="22"/>
        </w:rPr>
        <w:t xml:space="preserve"> Refining clinical risk stratification for predicting stroke and thromboembolism in atrial fibrillation using a novel risk factor-based approach: the euro heart survey on atrial fibrillation. </w:t>
      </w:r>
      <w:r w:rsidRPr="00B54241">
        <w:rPr>
          <w:rFonts w:ascii="Calibri" w:hAnsi="Calibri" w:cs="Calibri"/>
          <w:i/>
          <w:iCs/>
          <w:noProof/>
          <w:sz w:val="22"/>
        </w:rPr>
        <w:t>Chest</w:t>
      </w:r>
      <w:r w:rsidRPr="00B54241">
        <w:rPr>
          <w:rFonts w:ascii="Calibri" w:hAnsi="Calibri" w:cs="Calibri"/>
          <w:noProof/>
          <w:sz w:val="22"/>
        </w:rPr>
        <w:t xml:space="preserve"> 2010;</w:t>
      </w:r>
      <w:r w:rsidRPr="00B54241">
        <w:rPr>
          <w:rFonts w:ascii="Calibri" w:hAnsi="Calibri" w:cs="Calibri"/>
          <w:b/>
          <w:bCs/>
          <w:noProof/>
          <w:sz w:val="22"/>
        </w:rPr>
        <w:t>137</w:t>
      </w:r>
      <w:r w:rsidRPr="00B54241">
        <w:rPr>
          <w:rFonts w:ascii="Calibri" w:hAnsi="Calibri" w:cs="Calibri"/>
          <w:noProof/>
          <w:sz w:val="22"/>
        </w:rPr>
        <w:t>:263–72.</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18 </w:t>
      </w:r>
      <w:r w:rsidRPr="00B54241">
        <w:rPr>
          <w:rFonts w:ascii="Calibri" w:hAnsi="Calibri" w:cs="Calibri"/>
          <w:noProof/>
          <w:sz w:val="22"/>
        </w:rPr>
        <w:tab/>
        <w:t xml:space="preserve">Olesen JB, Lip GYH, Hansen ML, </w:t>
      </w:r>
      <w:r w:rsidRPr="00B54241">
        <w:rPr>
          <w:rFonts w:ascii="Calibri" w:hAnsi="Calibri" w:cs="Calibri"/>
          <w:i/>
          <w:iCs/>
          <w:noProof/>
          <w:sz w:val="22"/>
        </w:rPr>
        <w:t>et al.</w:t>
      </w:r>
      <w:r w:rsidRPr="00B54241">
        <w:rPr>
          <w:rFonts w:ascii="Calibri" w:hAnsi="Calibri" w:cs="Calibri"/>
          <w:noProof/>
          <w:sz w:val="22"/>
        </w:rPr>
        <w:t xml:space="preserve"> Validation of risk stratification schemes for predicting stroke and thromboembolism in patients with atrial fibrillation: nationwide cohort study. </w:t>
      </w:r>
      <w:r w:rsidRPr="00B54241">
        <w:rPr>
          <w:rFonts w:ascii="Calibri" w:hAnsi="Calibri" w:cs="Calibri"/>
          <w:i/>
          <w:iCs/>
          <w:noProof/>
          <w:sz w:val="22"/>
        </w:rPr>
        <w:t>BMJ</w:t>
      </w:r>
      <w:r w:rsidRPr="00B54241">
        <w:rPr>
          <w:rFonts w:ascii="Calibri" w:hAnsi="Calibri" w:cs="Calibri"/>
          <w:noProof/>
          <w:sz w:val="22"/>
        </w:rPr>
        <w:t xml:space="preserve"> 2011;</w:t>
      </w:r>
      <w:r w:rsidRPr="00B54241">
        <w:rPr>
          <w:rFonts w:ascii="Calibri" w:hAnsi="Calibri" w:cs="Calibri"/>
          <w:b/>
          <w:bCs/>
          <w:noProof/>
          <w:sz w:val="22"/>
        </w:rPr>
        <w:t>342</w:t>
      </w:r>
      <w:r w:rsidRPr="00B54241">
        <w:rPr>
          <w:rFonts w:ascii="Calibri" w:hAnsi="Calibri" w:cs="Calibri"/>
          <w:noProof/>
          <w:sz w:val="22"/>
        </w:rPr>
        <w:t>:d124–d124.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19 </w:t>
      </w:r>
      <w:r w:rsidRPr="00B54241">
        <w:rPr>
          <w:rFonts w:ascii="Calibri" w:hAnsi="Calibri" w:cs="Calibri"/>
          <w:noProof/>
          <w:sz w:val="22"/>
        </w:rPr>
        <w:tab/>
        <w:t>ONS. Interim Life Tables. 2011;</w:t>
      </w:r>
      <w:r w:rsidRPr="00B54241">
        <w:rPr>
          <w:rFonts w:ascii="Calibri" w:hAnsi="Calibri" w:cs="Calibri"/>
          <w:b/>
          <w:bCs/>
          <w:noProof/>
          <w:sz w:val="22"/>
        </w:rPr>
        <w:t>2012</w:t>
      </w:r>
      <w:r w:rsidRPr="00B54241">
        <w:rPr>
          <w:rFonts w:ascii="Calibri" w:hAnsi="Calibri" w:cs="Calibri"/>
          <w:noProof/>
          <w:sz w:val="22"/>
        </w:rPr>
        <w:t>.http://www.ons.gov.uk/ons/taxonomy/index.html?nscl=Interim+Life+Tables</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20 </w:t>
      </w:r>
      <w:r w:rsidRPr="00B54241">
        <w:rPr>
          <w:rFonts w:ascii="Calibri" w:hAnsi="Calibri" w:cs="Calibri"/>
          <w:noProof/>
          <w:sz w:val="22"/>
        </w:rPr>
        <w:tab/>
        <w:t>DoH. NHS Reference Costs 2009-2010. 2011;</w:t>
      </w:r>
      <w:r w:rsidRPr="00B54241">
        <w:rPr>
          <w:rFonts w:ascii="Calibri" w:hAnsi="Calibri" w:cs="Calibri"/>
          <w:b/>
          <w:bCs/>
          <w:noProof/>
          <w:sz w:val="22"/>
        </w:rPr>
        <w:t>2012</w:t>
      </w:r>
      <w:r w:rsidRPr="00B54241">
        <w:rPr>
          <w:rFonts w:ascii="Calibri" w:hAnsi="Calibri" w:cs="Calibri"/>
          <w:noProof/>
          <w:sz w:val="22"/>
        </w:rPr>
        <w:t>.http://www.dh.gov.uk/en/Publicationsandstatistics/Publications/PublicationsPolicyAndGuidance/DH_123459</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21 </w:t>
      </w:r>
      <w:r w:rsidRPr="00B54241">
        <w:rPr>
          <w:rFonts w:ascii="Calibri" w:hAnsi="Calibri" w:cs="Calibri"/>
          <w:noProof/>
          <w:sz w:val="22"/>
        </w:rPr>
        <w:tab/>
        <w:t xml:space="preserve">Friberg L, Rosenqvist M, Lip GYH. Evaluation of risk stratification schemes for ischaemic stroke and bleeding in 182 678 patients with atrial fibrillation: the Swedish Atrial Fibrillation cohort study. </w:t>
      </w:r>
      <w:r w:rsidRPr="00B54241">
        <w:rPr>
          <w:rFonts w:ascii="Calibri" w:hAnsi="Calibri" w:cs="Calibri"/>
          <w:i/>
          <w:iCs/>
          <w:noProof/>
          <w:sz w:val="22"/>
        </w:rPr>
        <w:t>European heart journal</w:t>
      </w:r>
      <w:r w:rsidRPr="00B54241">
        <w:rPr>
          <w:rFonts w:ascii="Calibri" w:hAnsi="Calibri" w:cs="Calibri"/>
          <w:noProof/>
          <w:sz w:val="22"/>
        </w:rPr>
        <w:t xml:space="preserve"> Published Online First: 13 January 2012. doi:10.1093/eurheartj/ehr488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22 </w:t>
      </w:r>
      <w:r w:rsidRPr="00B54241">
        <w:rPr>
          <w:rFonts w:ascii="Calibri" w:hAnsi="Calibri" w:cs="Calibri"/>
          <w:noProof/>
          <w:sz w:val="22"/>
        </w:rPr>
        <w:tab/>
        <w:t xml:space="preserve">Lip GYH, Edwards SJ. Stroke prevention with aspirin, warfarin and ximelagatran in patients with non-valvular atrial fibrillation: a systematic review and meta-analysis. </w:t>
      </w:r>
      <w:r w:rsidRPr="00B54241">
        <w:rPr>
          <w:rFonts w:ascii="Calibri" w:hAnsi="Calibri" w:cs="Calibri"/>
          <w:i/>
          <w:iCs/>
          <w:noProof/>
          <w:sz w:val="22"/>
        </w:rPr>
        <w:t>Thrombosis research</w:t>
      </w:r>
      <w:r w:rsidRPr="00B54241">
        <w:rPr>
          <w:rFonts w:ascii="Calibri" w:hAnsi="Calibri" w:cs="Calibri"/>
          <w:noProof/>
          <w:sz w:val="22"/>
        </w:rPr>
        <w:t xml:space="preserve"> 2006;</w:t>
      </w:r>
      <w:r w:rsidRPr="00B54241">
        <w:rPr>
          <w:rFonts w:ascii="Calibri" w:hAnsi="Calibri" w:cs="Calibri"/>
          <w:b/>
          <w:bCs/>
          <w:noProof/>
          <w:sz w:val="22"/>
        </w:rPr>
        <w:t>118</w:t>
      </w:r>
      <w:r w:rsidRPr="00B54241">
        <w:rPr>
          <w:rFonts w:ascii="Calibri" w:hAnsi="Calibri" w:cs="Calibri"/>
          <w:noProof/>
          <w:sz w:val="22"/>
        </w:rPr>
        <w:t>:321–33.</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23 </w:t>
      </w:r>
      <w:r w:rsidRPr="00B54241">
        <w:rPr>
          <w:rFonts w:ascii="Calibri" w:hAnsi="Calibri" w:cs="Calibri"/>
          <w:noProof/>
          <w:sz w:val="22"/>
        </w:rPr>
        <w:tab/>
        <w:t xml:space="preserve">Patel MR, Mahaffey KW, Garg J, </w:t>
      </w:r>
      <w:r w:rsidRPr="00B54241">
        <w:rPr>
          <w:rFonts w:ascii="Calibri" w:hAnsi="Calibri" w:cs="Calibri"/>
          <w:i/>
          <w:iCs/>
          <w:noProof/>
          <w:sz w:val="22"/>
        </w:rPr>
        <w:t>et al.</w:t>
      </w:r>
      <w:r w:rsidRPr="00B54241">
        <w:rPr>
          <w:rFonts w:ascii="Calibri" w:hAnsi="Calibri" w:cs="Calibri"/>
          <w:noProof/>
          <w:sz w:val="22"/>
        </w:rPr>
        <w:t xml:space="preserve"> Rivaroxaban versus Warfarin in Nonvalvular Atrial Fibrillation. </w:t>
      </w:r>
      <w:r w:rsidRPr="00B54241">
        <w:rPr>
          <w:rFonts w:ascii="Calibri" w:hAnsi="Calibri" w:cs="Calibri"/>
          <w:i/>
          <w:iCs/>
          <w:noProof/>
          <w:sz w:val="22"/>
        </w:rPr>
        <w:t>New England Journal of Medicine</w:t>
      </w:r>
      <w:r w:rsidRPr="00B54241">
        <w:rPr>
          <w:rFonts w:ascii="Calibri" w:hAnsi="Calibri" w:cs="Calibri"/>
          <w:noProof/>
          <w:sz w:val="22"/>
        </w:rPr>
        <w:t xml:space="preserve"> 2011;</w:t>
      </w:r>
      <w:r w:rsidRPr="00B54241">
        <w:rPr>
          <w:rFonts w:ascii="Calibri" w:hAnsi="Calibri" w:cs="Calibri"/>
          <w:b/>
          <w:bCs/>
          <w:noProof/>
          <w:sz w:val="22"/>
        </w:rPr>
        <w:t>365</w:t>
      </w:r>
      <w:r w:rsidRPr="00B54241">
        <w:rPr>
          <w:rFonts w:ascii="Calibri" w:hAnsi="Calibri" w:cs="Calibri"/>
          <w:noProof/>
          <w:sz w:val="22"/>
        </w:rPr>
        <w:t>:883–91.</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24 </w:t>
      </w:r>
      <w:r w:rsidRPr="00B54241">
        <w:rPr>
          <w:rFonts w:ascii="Calibri" w:hAnsi="Calibri" w:cs="Calibri"/>
          <w:noProof/>
          <w:sz w:val="22"/>
        </w:rPr>
        <w:tab/>
        <w:t xml:space="preserve">Rivero-Arias O, Ouellet M, Gray A, </w:t>
      </w:r>
      <w:r w:rsidRPr="00B54241">
        <w:rPr>
          <w:rFonts w:ascii="Calibri" w:hAnsi="Calibri" w:cs="Calibri"/>
          <w:i/>
          <w:iCs/>
          <w:noProof/>
          <w:sz w:val="22"/>
        </w:rPr>
        <w:t>et al.</w:t>
      </w:r>
      <w:r w:rsidRPr="00B54241">
        <w:rPr>
          <w:rFonts w:ascii="Calibri" w:hAnsi="Calibri" w:cs="Calibri"/>
          <w:noProof/>
          <w:sz w:val="22"/>
        </w:rPr>
        <w:t xml:space="preserve"> Mapping the Modified Rankin Scale (mRS) Measurement into the Generic EuroQol (EQ-5D) Health Outcome. </w:t>
      </w:r>
      <w:r w:rsidRPr="00B54241">
        <w:rPr>
          <w:rFonts w:ascii="Calibri" w:hAnsi="Calibri" w:cs="Calibri"/>
          <w:i/>
          <w:iCs/>
          <w:noProof/>
          <w:sz w:val="22"/>
        </w:rPr>
        <w:t>Medical Decision Making</w:t>
      </w:r>
      <w:r w:rsidRPr="00B54241">
        <w:rPr>
          <w:rFonts w:ascii="Calibri" w:hAnsi="Calibri" w:cs="Calibri"/>
          <w:noProof/>
          <w:sz w:val="22"/>
        </w:rPr>
        <w:t xml:space="preserve"> 2010;</w:t>
      </w:r>
      <w:r w:rsidRPr="00B54241">
        <w:rPr>
          <w:rFonts w:ascii="Calibri" w:hAnsi="Calibri" w:cs="Calibri"/>
          <w:b/>
          <w:bCs/>
          <w:noProof/>
          <w:sz w:val="22"/>
        </w:rPr>
        <w:t>30</w:t>
      </w:r>
      <w:r w:rsidRPr="00B54241">
        <w:rPr>
          <w:rFonts w:ascii="Calibri" w:hAnsi="Calibri" w:cs="Calibri"/>
          <w:noProof/>
          <w:sz w:val="22"/>
        </w:rPr>
        <w:t>:341–54.</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25 </w:t>
      </w:r>
      <w:r w:rsidRPr="00B54241">
        <w:rPr>
          <w:rFonts w:ascii="Calibri" w:hAnsi="Calibri" w:cs="Calibri"/>
          <w:noProof/>
          <w:sz w:val="22"/>
        </w:rPr>
        <w:tab/>
        <w:t xml:space="preserve">Simpson EL, Stevenson MD, Rawdin A, </w:t>
      </w:r>
      <w:r w:rsidRPr="00B54241">
        <w:rPr>
          <w:rFonts w:ascii="Calibri" w:hAnsi="Calibri" w:cs="Calibri"/>
          <w:i/>
          <w:iCs/>
          <w:noProof/>
          <w:sz w:val="22"/>
        </w:rPr>
        <w:t>et al.</w:t>
      </w:r>
      <w:r w:rsidRPr="00B54241">
        <w:rPr>
          <w:rFonts w:ascii="Calibri" w:hAnsi="Calibri" w:cs="Calibri"/>
          <w:noProof/>
          <w:sz w:val="22"/>
        </w:rPr>
        <w:t xml:space="preserve"> Thrombophilia testing in people with venous thromboembolism: systematic review and cost-effectiveness analysis. </w:t>
      </w:r>
      <w:r w:rsidRPr="00B54241">
        <w:rPr>
          <w:rFonts w:ascii="Calibri" w:hAnsi="Calibri" w:cs="Calibri"/>
          <w:i/>
          <w:iCs/>
          <w:noProof/>
          <w:sz w:val="22"/>
        </w:rPr>
        <w:t>Health Technology Assessment</w:t>
      </w:r>
      <w:r w:rsidRPr="00B54241">
        <w:rPr>
          <w:rFonts w:ascii="Calibri" w:hAnsi="Calibri" w:cs="Calibri"/>
          <w:noProof/>
          <w:sz w:val="22"/>
        </w:rPr>
        <w:t xml:space="preserve"> 2009;</w:t>
      </w:r>
      <w:r w:rsidRPr="00B54241">
        <w:rPr>
          <w:rFonts w:ascii="Calibri" w:hAnsi="Calibri" w:cs="Calibri"/>
          <w:b/>
          <w:bCs/>
          <w:noProof/>
          <w:sz w:val="22"/>
        </w:rPr>
        <w:t>13</w:t>
      </w:r>
      <w:r w:rsidRPr="00B54241">
        <w:rPr>
          <w:rFonts w:ascii="Calibri" w:hAnsi="Calibri" w:cs="Calibri"/>
          <w:noProof/>
          <w:sz w:val="22"/>
        </w:rPr>
        <w:t>. doi:10.3310/hta13020</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lastRenderedPageBreak/>
        <w:t xml:space="preserve">26 </w:t>
      </w:r>
      <w:r w:rsidRPr="00B54241">
        <w:rPr>
          <w:rFonts w:ascii="Calibri" w:hAnsi="Calibri" w:cs="Calibri"/>
          <w:noProof/>
          <w:sz w:val="22"/>
        </w:rPr>
        <w:tab/>
        <w:t xml:space="preserve">Ara R, Brazier JE. Populating an economic model with health state utility values: moving toward better practice. </w:t>
      </w:r>
      <w:r w:rsidRPr="00B54241">
        <w:rPr>
          <w:rFonts w:ascii="Calibri" w:hAnsi="Calibri" w:cs="Calibri"/>
          <w:i/>
          <w:iCs/>
          <w:noProof/>
          <w:sz w:val="22"/>
        </w:rPr>
        <w:t>Value in health : the journal of the International Society for Pharmacoeconomics and Outcomes Research</w:t>
      </w:r>
      <w:r w:rsidRPr="00B54241">
        <w:rPr>
          <w:rFonts w:ascii="Calibri" w:hAnsi="Calibri" w:cs="Calibri"/>
          <w:noProof/>
          <w:sz w:val="22"/>
        </w:rPr>
        <w:t xml:space="preserve"> 2010;</w:t>
      </w:r>
      <w:r w:rsidRPr="00B54241">
        <w:rPr>
          <w:rFonts w:ascii="Calibri" w:hAnsi="Calibri" w:cs="Calibri"/>
          <w:b/>
          <w:bCs/>
          <w:noProof/>
          <w:sz w:val="22"/>
        </w:rPr>
        <w:t>13</w:t>
      </w:r>
      <w:r w:rsidRPr="00B54241">
        <w:rPr>
          <w:rFonts w:ascii="Calibri" w:hAnsi="Calibri" w:cs="Calibri"/>
          <w:noProof/>
          <w:sz w:val="22"/>
        </w:rPr>
        <w:t>:509–18.</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27 </w:t>
      </w:r>
      <w:r w:rsidRPr="00B54241">
        <w:rPr>
          <w:rFonts w:ascii="Calibri" w:hAnsi="Calibri" w:cs="Calibri"/>
          <w:noProof/>
          <w:sz w:val="22"/>
        </w:rPr>
        <w:tab/>
        <w:t>NICE. Dabigatran etexilate for the prevention of stroke and systemic embolism in atrial fibrillation: Final appraisal determination. 2011;</w:t>
      </w:r>
      <w:r w:rsidRPr="00B54241">
        <w:rPr>
          <w:rFonts w:ascii="Calibri" w:hAnsi="Calibri" w:cs="Calibri"/>
          <w:b/>
          <w:bCs/>
          <w:noProof/>
          <w:sz w:val="22"/>
        </w:rPr>
        <w:t>2012</w:t>
      </w:r>
      <w:r w:rsidRPr="00B54241">
        <w:rPr>
          <w:rFonts w:ascii="Calibri" w:hAnsi="Calibri" w:cs="Calibri"/>
          <w:noProof/>
          <w:sz w:val="22"/>
        </w:rPr>
        <w:t>.http://www.nice.org.uk/nicemedia/live/12225/56899/56899.pdf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28 </w:t>
      </w:r>
      <w:r w:rsidRPr="00B54241">
        <w:rPr>
          <w:rFonts w:ascii="Calibri" w:hAnsi="Calibri" w:cs="Calibri"/>
          <w:noProof/>
          <w:sz w:val="22"/>
        </w:rPr>
        <w:tab/>
        <w:t>Group LND. A briefing paper on Dabigatran and Rivaroxaban: What we know so far... 2012;</w:t>
      </w:r>
      <w:r w:rsidRPr="00B54241">
        <w:rPr>
          <w:rFonts w:ascii="Calibri" w:hAnsi="Calibri" w:cs="Calibri"/>
          <w:b/>
          <w:bCs/>
          <w:noProof/>
          <w:sz w:val="22"/>
        </w:rPr>
        <w:t>2012</w:t>
      </w:r>
      <w:r w:rsidRPr="00B54241">
        <w:rPr>
          <w:rFonts w:ascii="Calibri" w:hAnsi="Calibri" w:cs="Calibri"/>
          <w:noProof/>
          <w:sz w:val="22"/>
        </w:rPr>
        <w:t>.http://www.nelm.nhs.uk/en/NeLM-Area/Evidence/Drug-Specific-Reviews/A-briefing-paper-on-dabigatran-and-rivaroxaban/</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29 </w:t>
      </w:r>
      <w:r w:rsidRPr="00B54241">
        <w:rPr>
          <w:rFonts w:ascii="Calibri" w:hAnsi="Calibri" w:cs="Calibri"/>
          <w:noProof/>
          <w:sz w:val="22"/>
        </w:rPr>
        <w:tab/>
        <w:t>BNF. Warfarin. 2011;</w:t>
      </w:r>
      <w:r w:rsidRPr="00B54241">
        <w:rPr>
          <w:rFonts w:ascii="Calibri" w:hAnsi="Calibri" w:cs="Calibri"/>
          <w:b/>
          <w:bCs/>
          <w:noProof/>
          <w:sz w:val="22"/>
        </w:rPr>
        <w:t>2012</w:t>
      </w:r>
      <w:r w:rsidRPr="00B54241">
        <w:rPr>
          <w:rFonts w:ascii="Calibri" w:hAnsi="Calibri" w:cs="Calibri"/>
          <w:noProof/>
          <w:sz w:val="22"/>
        </w:rPr>
        <w:t>.https://mail.google.com/mail/u/1/#inbox/134f06255f3f63de</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30 </w:t>
      </w:r>
      <w:r w:rsidRPr="00B54241">
        <w:rPr>
          <w:rFonts w:ascii="Calibri" w:hAnsi="Calibri" w:cs="Calibri"/>
          <w:noProof/>
          <w:sz w:val="22"/>
        </w:rPr>
        <w:tab/>
        <w:t xml:space="preserve">Sandercock P, Berge E, Dennis M, </w:t>
      </w:r>
      <w:r w:rsidRPr="00B54241">
        <w:rPr>
          <w:rFonts w:ascii="Calibri" w:hAnsi="Calibri" w:cs="Calibri"/>
          <w:i/>
          <w:iCs/>
          <w:noProof/>
          <w:sz w:val="22"/>
        </w:rPr>
        <w:t>et al.</w:t>
      </w:r>
      <w:r w:rsidRPr="00B54241">
        <w:rPr>
          <w:rFonts w:ascii="Calibri" w:hAnsi="Calibri" w:cs="Calibri"/>
          <w:noProof/>
          <w:sz w:val="22"/>
        </w:rPr>
        <w:t xml:space="preserve"> A systematic review of the effectiveness, cost-effectiveness and barriers to implementation of thrombolytic and neuroprotective therapy for acute ischaemic stroke in the NHS. </w:t>
      </w:r>
      <w:r w:rsidRPr="00B54241">
        <w:rPr>
          <w:rFonts w:ascii="Calibri" w:hAnsi="Calibri" w:cs="Calibri"/>
          <w:i/>
          <w:iCs/>
          <w:noProof/>
          <w:sz w:val="22"/>
        </w:rPr>
        <w:t>Health Technology Assessment</w:t>
      </w:r>
      <w:r w:rsidRPr="00B54241">
        <w:rPr>
          <w:rFonts w:ascii="Calibri" w:hAnsi="Calibri" w:cs="Calibri"/>
          <w:noProof/>
          <w:sz w:val="22"/>
        </w:rPr>
        <w:t xml:space="preserve"> 2002;</w:t>
      </w:r>
      <w:r w:rsidRPr="00B54241">
        <w:rPr>
          <w:rFonts w:ascii="Calibri" w:hAnsi="Calibri" w:cs="Calibri"/>
          <w:b/>
          <w:bCs/>
          <w:noProof/>
          <w:sz w:val="22"/>
        </w:rPr>
        <w:t>6</w:t>
      </w:r>
      <w:r w:rsidRPr="00B54241">
        <w:rPr>
          <w:rFonts w:ascii="Calibri" w:hAnsi="Calibri" w:cs="Calibri"/>
          <w:noProof/>
          <w:sz w:val="22"/>
        </w:rPr>
        <w:t>.</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31 </w:t>
      </w:r>
      <w:r w:rsidRPr="00B54241">
        <w:rPr>
          <w:rFonts w:ascii="Calibri" w:hAnsi="Calibri" w:cs="Calibri"/>
          <w:noProof/>
          <w:sz w:val="22"/>
        </w:rPr>
        <w:tab/>
        <w:t>NHS. National Stroke Strategy Impact Assessment. 2007;</w:t>
      </w:r>
      <w:r w:rsidRPr="00B54241">
        <w:rPr>
          <w:rFonts w:ascii="Calibri" w:hAnsi="Calibri" w:cs="Calibri"/>
          <w:b/>
          <w:bCs/>
          <w:noProof/>
          <w:sz w:val="22"/>
        </w:rPr>
        <w:t>2012</w:t>
      </w:r>
      <w:r w:rsidRPr="00B54241">
        <w:rPr>
          <w:rFonts w:ascii="Calibri" w:hAnsi="Calibri" w:cs="Calibri"/>
          <w:noProof/>
          <w:sz w:val="22"/>
        </w:rPr>
        <w:t>.http://www.dh.gov.uk/prod_consum_dh/groups/dh_digitalassets/documents/digitalasset/dh_081054.pdf</w:t>
      </w:r>
    </w:p>
    <w:p w:rsidR="00B54241" w:rsidRPr="00B54241" w:rsidRDefault="00B54241">
      <w:pPr>
        <w:pStyle w:val="NormalWeb"/>
        <w:ind w:left="640" w:hanging="640"/>
        <w:divId w:val="1152408798"/>
        <w:rPr>
          <w:rFonts w:ascii="Calibri" w:hAnsi="Calibri" w:cs="Calibri"/>
          <w:noProof/>
          <w:sz w:val="22"/>
        </w:rPr>
      </w:pPr>
      <w:r w:rsidRPr="00B54241">
        <w:rPr>
          <w:rFonts w:ascii="Calibri" w:hAnsi="Calibri" w:cs="Calibri"/>
          <w:noProof/>
          <w:sz w:val="22"/>
        </w:rPr>
        <w:t xml:space="preserve">32 </w:t>
      </w:r>
      <w:r w:rsidRPr="00B54241">
        <w:rPr>
          <w:rFonts w:ascii="Calibri" w:hAnsi="Calibri" w:cs="Calibri"/>
          <w:noProof/>
          <w:sz w:val="22"/>
        </w:rPr>
        <w:tab/>
        <w:t xml:space="preserve">Curtis L. Unit Costs of Health and Social Care 2010. Kent: 2010. </w:t>
      </w:r>
    </w:p>
    <w:p w:rsidR="00834F71" w:rsidRPr="00532F44" w:rsidRDefault="00834F71" w:rsidP="00B54241">
      <w:pPr>
        <w:pStyle w:val="NormalWeb"/>
        <w:ind w:left="640" w:hanging="640"/>
        <w:divId w:val="29769821"/>
      </w:pP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3B36C5" w:rsidP="00834F71">
      <w:pPr>
        <w:divId w:val="1548566716"/>
      </w:pPr>
      <w:r>
        <w:rPr>
          <w:noProof/>
          <w:lang w:val="en-GB" w:eastAsia="en-GB" w:bidi="ar-SA"/>
        </w:rPr>
        <w:lastRenderedPageBreak/>
        <w:drawing>
          <wp:inline distT="0" distB="0" distL="0" distR="0" wp14:anchorId="6FE53170" wp14:editId="46A687A7">
            <wp:extent cx="8858250" cy="3705225"/>
            <wp:effectExtent l="0" t="0" r="0" b="0"/>
            <wp:docPr id="5" name="Picture 5" descr="X:\BMJ Echo AF Manuscript\Conceptual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Conceptual model.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8250" cy="3705225"/>
                    </a:xfrm>
                    <a:prstGeom prst="rect">
                      <a:avLst/>
                    </a:prstGeom>
                    <a:noFill/>
                    <a:ln>
                      <a:noFill/>
                    </a:ln>
                  </pic:spPr>
                </pic:pic>
              </a:graphicData>
            </a:graphic>
          </wp:inline>
        </w:drawing>
      </w:r>
    </w:p>
    <w:p w:rsidR="00834F71" w:rsidRPr="00532F44" w:rsidRDefault="00834F71" w:rsidP="00834F71">
      <w:pPr>
        <w:pStyle w:val="Caption"/>
        <w:divId w:val="1548566716"/>
        <w:rPr>
          <w:color w:val="auto"/>
        </w:rPr>
      </w:pPr>
      <w:bookmarkStart w:id="4" w:name="_Ref321241706"/>
      <w:r w:rsidRPr="00532F44">
        <w:rPr>
          <w:color w:val="auto"/>
        </w:rPr>
        <w:t xml:space="preserve">Figure </w:t>
      </w:r>
      <w:r w:rsidR="00AE22BA">
        <w:rPr>
          <w:noProof/>
          <w:color w:val="auto"/>
        </w:rPr>
        <w:t>1</w:t>
      </w:r>
      <w:bookmarkEnd w:id="4"/>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5" w:name="_Ref321227101"/>
      <w:r w:rsidRPr="00532F44">
        <w:rPr>
          <w:color w:val="auto"/>
        </w:rPr>
        <w:t xml:space="preserve">Table </w:t>
      </w:r>
      <w:r w:rsidR="00AE22BA">
        <w:rPr>
          <w:noProof/>
          <w:color w:val="auto"/>
        </w:rPr>
        <w:t>1</w:t>
      </w:r>
      <w:bookmarkEnd w:id="5"/>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9764E6" w:rsidRDefault="009764E6">
      <w:pPr>
        <w:spacing w:line="276" w:lineRule="auto"/>
        <w:jc w:val="left"/>
        <w:rPr>
          <w:lang w:val="en-GB"/>
        </w:rPr>
        <w:sectPr w:rsidR="009764E6" w:rsidSect="003225C4">
          <w:pgSz w:w="16838" w:h="11906" w:orient="landscape"/>
          <w:pgMar w:top="1440" w:right="1440" w:bottom="1440" w:left="1440" w:header="708" w:footer="708" w:gutter="0"/>
          <w:cols w:space="708"/>
          <w:docGrid w:linePitch="360"/>
        </w:sectPr>
      </w:pPr>
    </w:p>
    <w:p w:rsidR="007946CB" w:rsidRDefault="007946CB" w:rsidP="007946CB">
      <w:pPr>
        <w:spacing w:line="480" w:lineRule="auto"/>
      </w:pPr>
    </w:p>
    <w:tbl>
      <w:tblPr>
        <w:tblStyle w:val="TableGrid"/>
        <w:tblW w:w="0" w:type="auto"/>
        <w:tblLook w:val="04A0" w:firstRow="1" w:lastRow="0" w:firstColumn="1" w:lastColumn="0" w:noHBand="0" w:noVBand="1"/>
      </w:tblPr>
      <w:tblGrid>
        <w:gridCol w:w="11590"/>
      </w:tblGrid>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17.132</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0.9</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90.2</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0.087</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0.007</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0.052</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1 974</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9.94</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39 569</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17.204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1.3</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90.7</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0.078</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0.172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0.010</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keepNext/>
                    <w:jc w:val="right"/>
                    <w:rPr>
                      <w:rFonts w:ascii="Times New Roman" w:eastAsia="Times New Roman" w:hAnsi="Times New Roman"/>
                    </w:rPr>
                  </w:pPr>
                  <w:r w:rsidRPr="0031099C">
                    <w:t>0.079</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3 106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9.97</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keepNext/>
                    <w:jc w:val="right"/>
                  </w:pPr>
                </w:p>
              </w:tc>
            </w:tr>
          </w:tbl>
          <w:p w:rsidR="007946CB" w:rsidRPr="0031099C" w:rsidRDefault="007946CB" w:rsidP="00EF4E89">
            <w:pPr>
              <w:pStyle w:val="Caption"/>
              <w:rPr>
                <w:color w:val="auto"/>
              </w:rPr>
            </w:pPr>
          </w:p>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r w:rsidRPr="0031099C">
              <w:t>W</w:t>
            </w:r>
            <w:r w:rsidR="007946CB" w:rsidRPr="0031099C">
              <w:t>arfarin</w:t>
            </w:r>
          </w:p>
        </w:tc>
      </w:tr>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19.460</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10.5</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88.4</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0.103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0.223</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1 955</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22 751</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19.554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9.4</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89.0</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0.201</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3 039</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9.99</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proofErr w:type="spellStart"/>
            <w:r w:rsidRPr="0031099C">
              <w:t>R</w:t>
            </w:r>
            <w:r w:rsidR="007946CB" w:rsidRPr="0031099C">
              <w:t>ivaroxaban</w:t>
            </w:r>
            <w:proofErr w:type="spellEnd"/>
          </w:p>
        </w:tc>
      </w:tr>
      <w:tr w:rsidR="007946CB" w:rsidRPr="0031099C" w:rsidTr="00CB6D0B">
        <w:tc>
          <w:tcPr>
            <w:tcW w:w="11590" w:type="dxa"/>
          </w:tcPr>
          <w:tbl>
            <w:tblPr>
              <w:tblStyle w:val="TableGrid"/>
              <w:tblW w:w="11335" w:type="dxa"/>
              <w:tblLook w:val="04A0" w:firstRow="1" w:lastRow="0" w:firstColumn="1" w:lastColumn="0" w:noHBand="0" w:noVBand="1"/>
            </w:tblPr>
            <w:tblGrid>
              <w:gridCol w:w="1267"/>
              <w:gridCol w:w="914"/>
              <w:gridCol w:w="848"/>
              <w:gridCol w:w="749"/>
              <w:gridCol w:w="759"/>
              <w:gridCol w:w="1194"/>
              <w:gridCol w:w="1337"/>
              <w:gridCol w:w="690"/>
              <w:gridCol w:w="738"/>
              <w:gridCol w:w="855"/>
              <w:gridCol w:w="850"/>
              <w:gridCol w:w="1134"/>
            </w:tblGrid>
            <w:tr w:rsidR="00CB6D0B" w:rsidRPr="0031099C" w:rsidTr="00CB6D0B">
              <w:tc>
                <w:tcPr>
                  <w:tcW w:w="2181"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59"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19.485</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10.2</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88.7</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0.220</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1 942</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12 314</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19.598</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89.4</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0.195</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0.097</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2 946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10.01</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6" w:name="_Ref349291846"/>
      <w:bookmarkStart w:id="7" w:name="_Ref349294513"/>
      <w:r w:rsidRPr="00F309FB">
        <w:rPr>
          <w:color w:val="auto"/>
        </w:rPr>
        <w:t xml:space="preserve">Table </w:t>
      </w:r>
      <w:r w:rsidR="00AE22BA">
        <w:rPr>
          <w:noProof/>
          <w:color w:val="auto"/>
        </w:rPr>
        <w:t>2</w:t>
      </w:r>
      <w:bookmarkEnd w:id="6"/>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7"/>
      <w:r w:rsidR="00CB6D0B">
        <w:rPr>
          <w:color w:val="auto"/>
        </w:rPr>
        <w:t xml:space="preserve">; </w:t>
      </w:r>
      <w:r w:rsidR="00CB6D0B" w:rsidRPr="00F309FB">
        <w:rPr>
          <w:color w:val="auto"/>
        </w:rPr>
        <w:t>ICER: incremental cost effectiveness</w:t>
      </w:r>
      <w:r w:rsidR="00CB6D0B">
        <w:rPr>
          <w:color w:val="auto"/>
        </w:rPr>
        <w:t xml:space="preserve"> ratio (In £/QALY)</w:t>
      </w:r>
      <w:r w:rsidR="00CB6D0B" w:rsidRPr="00F309FB">
        <w:rPr>
          <w:color w:val="auto"/>
        </w:rPr>
        <w:t>.</w:t>
      </w:r>
      <w:r w:rsidR="00CB6D0B">
        <w:rPr>
          <w:color w:val="auto"/>
        </w:rPr>
        <w:t xml:space="preserve"> QALY: Quality adjusted life year</w:t>
      </w:r>
    </w:p>
    <w:p w:rsidR="007946CB" w:rsidRDefault="007946CB" w:rsidP="007946CB">
      <w:pPr>
        <w:spacing w:line="276" w:lineRule="auto"/>
        <w:jc w:val="left"/>
        <w:rPr>
          <w:lang w:val="en-GB"/>
        </w:rPr>
      </w:pPr>
    </w:p>
    <w:p w:rsidR="007946CB" w:rsidRDefault="007946CB" w:rsidP="007946CB">
      <w:pPr>
        <w:spacing w:line="276" w:lineRule="auto"/>
        <w:jc w:val="left"/>
        <w:rPr>
          <w:lang w:val="en-GB"/>
        </w:rPr>
      </w:pPr>
      <w:r>
        <w:rPr>
          <w:lang w:val="en-GB"/>
        </w:rPr>
        <w:br w:type="page"/>
      </w: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46051B" w:rsidRPr="0031099C" w:rsidRDefault="0046051B" w:rsidP="0046051B">
      <w:pPr>
        <w:pStyle w:val="Caption"/>
        <w:rPr>
          <w:color w:val="auto"/>
        </w:rPr>
      </w:pPr>
      <w:bookmarkStart w:id="8" w:name="_Ref345417087"/>
      <w:bookmarkStart w:id="9" w:name="_Ref335131627"/>
      <w:r w:rsidRPr="0031099C">
        <w:rPr>
          <w:color w:val="auto"/>
        </w:rPr>
        <w:lastRenderedPageBreak/>
        <w:t xml:space="preserve">Figure </w:t>
      </w:r>
      <w:r w:rsidR="00AE22BA">
        <w:rPr>
          <w:noProof/>
          <w:color w:val="auto"/>
        </w:rPr>
        <w:t>2</w:t>
      </w:r>
      <w:bookmarkEnd w:id="8"/>
      <w:r w:rsidRPr="0031099C">
        <w:rPr>
          <w:color w:val="auto"/>
        </w:rPr>
        <w:t xml:space="preserve"> </w:t>
      </w:r>
      <w:bookmarkEnd w:id="9"/>
      <w:r w:rsidRPr="0031099C">
        <w:rPr>
          <w:color w:val="auto"/>
        </w:rPr>
        <w:t xml:space="preserve">Probabilistic sensitivity analysis (PSA) scatterplots of using transthoracic echocardiography to inform the decision whether to prescribe </w:t>
      </w:r>
      <w:proofErr w:type="gramStart"/>
      <w:r w:rsidRPr="0031099C">
        <w:rPr>
          <w:color w:val="auto"/>
        </w:rPr>
        <w:t>either warfarin</w:t>
      </w:r>
      <w:proofErr w:type="gramEnd"/>
      <w:r w:rsidRPr="0031099C">
        <w:rPr>
          <w:color w:val="auto"/>
        </w:rPr>
        <w:t xml:space="preserve">, </w:t>
      </w:r>
      <w:proofErr w:type="spellStart"/>
      <w:r w:rsidRPr="0031099C">
        <w:rPr>
          <w:color w:val="auto"/>
        </w:rPr>
        <w:t>rivaroxaban</w:t>
      </w:r>
      <w:proofErr w:type="spellEnd"/>
      <w:r w:rsidRPr="0031099C">
        <w:rPr>
          <w:color w:val="auto"/>
        </w:rPr>
        <w:t xml:space="preserve">, or </w:t>
      </w:r>
      <w:proofErr w:type="spellStart"/>
      <w:r w:rsidRPr="0031099C">
        <w:rPr>
          <w:color w:val="auto"/>
        </w:rPr>
        <w:t>dabigatran</w:t>
      </w:r>
      <w:proofErr w:type="spellEnd"/>
      <w:r w:rsidRPr="0031099C">
        <w:rPr>
          <w:color w:val="auto"/>
        </w:rPr>
        <w:t xml:space="preserve"> to 65 year old females with atrial fibrillation and an CHADS</w:t>
      </w:r>
      <w:r w:rsidRPr="0031099C">
        <w:rPr>
          <w:color w:val="auto"/>
          <w:vertAlign w:val="subscript"/>
        </w:rPr>
        <w:t>2</w:t>
      </w:r>
      <w:r w:rsidRPr="0031099C">
        <w:rPr>
          <w:color w:val="auto"/>
        </w:rPr>
        <w:t xml:space="preserve"> score of zero.</w:t>
      </w:r>
    </w:p>
    <w:tbl>
      <w:tblPr>
        <w:tblStyle w:val="TableGrid"/>
        <w:tblW w:w="0" w:type="auto"/>
        <w:tblLook w:val="04A0" w:firstRow="1" w:lastRow="0" w:firstColumn="1" w:lastColumn="0" w:noHBand="0" w:noVBand="1"/>
      </w:tblPr>
      <w:tblGrid>
        <w:gridCol w:w="4439"/>
        <w:gridCol w:w="5167"/>
        <w:gridCol w:w="4536"/>
      </w:tblGrid>
      <w:tr w:rsidR="009764E6" w:rsidRPr="0031099C" w:rsidTr="009764E6">
        <w:trPr>
          <w:divId w:val="1548566716"/>
        </w:trPr>
        <w:tc>
          <w:tcPr>
            <w:tcW w:w="4439" w:type="dxa"/>
          </w:tcPr>
          <w:p w:rsidR="009764E6" w:rsidRPr="0031099C" w:rsidRDefault="009764E6" w:rsidP="0046051B">
            <w:r w:rsidRPr="0031099C">
              <w:rPr>
                <w:noProof/>
                <w:lang w:val="en-GB" w:eastAsia="en-GB"/>
              </w:rPr>
              <w:drawing>
                <wp:inline distT="0" distB="0" distL="0" distR="0" wp14:anchorId="7DAEF625" wp14:editId="3C25D989">
                  <wp:extent cx="2679404" cy="2679404"/>
                  <wp:effectExtent l="0" t="0" r="0" b="0"/>
                  <wp:docPr id="1" name="Picture 1"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65_F.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983" cy="2676983"/>
                          </a:xfrm>
                          <a:prstGeom prst="rect">
                            <a:avLst/>
                          </a:prstGeom>
                          <a:noFill/>
                          <a:ln>
                            <a:noFill/>
                          </a:ln>
                        </pic:spPr>
                      </pic:pic>
                    </a:graphicData>
                  </a:graphic>
                </wp:inline>
              </w:drawing>
            </w:r>
          </w:p>
        </w:tc>
        <w:tc>
          <w:tcPr>
            <w:tcW w:w="5167" w:type="dxa"/>
          </w:tcPr>
          <w:p w:rsidR="009764E6" w:rsidRPr="0031099C" w:rsidRDefault="009764E6" w:rsidP="0046051B">
            <w:r w:rsidRPr="0031099C">
              <w:rPr>
                <w:noProof/>
                <w:lang w:val="en-GB" w:eastAsia="en-GB"/>
              </w:rPr>
              <w:drawing>
                <wp:inline distT="0" distB="0" distL="0" distR="0" wp14:anchorId="13172C6C" wp14:editId="7B0FE1EE">
                  <wp:extent cx="2679405" cy="2679405"/>
                  <wp:effectExtent l="0" t="0" r="0" b="0"/>
                  <wp:docPr id="31"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6984" cy="2676984"/>
                          </a:xfrm>
                          <a:prstGeom prst="rect">
                            <a:avLst/>
                          </a:prstGeom>
                          <a:noFill/>
                          <a:ln>
                            <a:noFill/>
                          </a:ln>
                        </pic:spPr>
                      </pic:pic>
                    </a:graphicData>
                  </a:graphic>
                </wp:inline>
              </w:drawing>
            </w:r>
          </w:p>
        </w:tc>
        <w:tc>
          <w:tcPr>
            <w:tcW w:w="4297" w:type="dxa"/>
          </w:tcPr>
          <w:p w:rsidR="009764E6" w:rsidRPr="0031099C" w:rsidRDefault="009764E6" w:rsidP="0046051B">
            <w:r w:rsidRPr="0031099C">
              <w:rPr>
                <w:noProof/>
                <w:lang w:val="en-GB" w:eastAsia="en-GB"/>
              </w:rPr>
              <w:drawing>
                <wp:inline distT="0" distB="0" distL="0" distR="0" wp14:anchorId="2B5B583B" wp14:editId="6A549125">
                  <wp:extent cx="2743200" cy="2743200"/>
                  <wp:effectExtent l="0" t="0" r="0" b="0"/>
                  <wp:docPr id="35"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722" cy="2740722"/>
                          </a:xfrm>
                          <a:prstGeom prst="rect">
                            <a:avLst/>
                          </a:prstGeom>
                          <a:noFill/>
                          <a:ln>
                            <a:noFill/>
                          </a:ln>
                        </pic:spPr>
                      </pic:pic>
                    </a:graphicData>
                  </a:graphic>
                </wp:inline>
              </w:drawing>
            </w:r>
          </w:p>
        </w:tc>
      </w:tr>
      <w:tr w:rsidR="009764E6" w:rsidRPr="0031099C" w:rsidTr="009764E6">
        <w:trPr>
          <w:divId w:val="1548566716"/>
        </w:trPr>
        <w:tc>
          <w:tcPr>
            <w:tcW w:w="4439" w:type="dxa"/>
          </w:tcPr>
          <w:p w:rsidR="009764E6" w:rsidRPr="0031099C" w:rsidRDefault="009764E6" w:rsidP="0046051B">
            <w:pPr>
              <w:pStyle w:val="ListParagraph"/>
              <w:numPr>
                <w:ilvl w:val="0"/>
                <w:numId w:val="20"/>
              </w:numPr>
              <w:spacing w:line="240" w:lineRule="auto"/>
              <w:jc w:val="left"/>
            </w:pPr>
            <w:r>
              <w:t>warfarin</w:t>
            </w:r>
          </w:p>
        </w:tc>
        <w:tc>
          <w:tcPr>
            <w:tcW w:w="5167" w:type="dxa"/>
          </w:tcPr>
          <w:p w:rsidR="009764E6" w:rsidRPr="0031099C" w:rsidRDefault="009764E6" w:rsidP="0046051B">
            <w:pPr>
              <w:pStyle w:val="ListParagraph"/>
              <w:numPr>
                <w:ilvl w:val="0"/>
                <w:numId w:val="20"/>
              </w:numPr>
              <w:spacing w:line="240" w:lineRule="auto"/>
              <w:jc w:val="left"/>
            </w:pPr>
            <w:proofErr w:type="spellStart"/>
            <w:r>
              <w:t>rivaroxaban</w:t>
            </w:r>
            <w:proofErr w:type="spellEnd"/>
          </w:p>
        </w:tc>
        <w:tc>
          <w:tcPr>
            <w:tcW w:w="4297" w:type="dxa"/>
          </w:tcPr>
          <w:p w:rsidR="009764E6" w:rsidRPr="0031099C" w:rsidRDefault="009764E6" w:rsidP="0046051B">
            <w:pPr>
              <w:pStyle w:val="ListParagraph"/>
              <w:numPr>
                <w:ilvl w:val="0"/>
                <w:numId w:val="20"/>
              </w:numPr>
              <w:spacing w:line="240" w:lineRule="auto"/>
              <w:jc w:val="left"/>
            </w:pPr>
            <w:proofErr w:type="spellStart"/>
            <w:r>
              <w:t>dabigatran</w:t>
            </w:r>
            <w:proofErr w:type="spellEnd"/>
          </w:p>
        </w:tc>
      </w:tr>
    </w:tbl>
    <w:p w:rsidR="0046051B" w:rsidRPr="0031099C" w:rsidRDefault="0046051B" w:rsidP="0046051B">
      <w:pPr>
        <w:divId w:val="1548566716"/>
        <w:rPr>
          <w:lang w:val="en-GB"/>
        </w:rPr>
      </w:pP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10" w:name="_Ref335141468"/>
      <w:r w:rsidRPr="0031099C">
        <w:rPr>
          <w:color w:val="auto"/>
        </w:rPr>
        <w:lastRenderedPageBreak/>
        <w:t xml:space="preserve">Table </w:t>
      </w:r>
      <w:r w:rsidR="00AE22BA">
        <w:rPr>
          <w:noProof/>
          <w:color w:val="auto"/>
        </w:rPr>
        <w:t>3</w:t>
      </w:r>
      <w:bookmarkEnd w:id="10"/>
      <w:r w:rsidRPr="0031099C">
        <w:rPr>
          <w:color w:val="auto"/>
        </w:rPr>
        <w:t xml:space="preserve"> Illustration of t</w:t>
      </w:r>
      <w:bookmarkStart w:id="11" w:name="_GoBack"/>
      <w:bookmarkEnd w:id="11"/>
      <w:r w:rsidRPr="0031099C">
        <w:rPr>
          <w:color w:val="auto"/>
        </w:rPr>
        <w:t xml:space="preserve">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12" w:name="_Ref335142114"/>
      <w:proofErr w:type="gramStart"/>
      <w:r w:rsidRPr="0031099C">
        <w:rPr>
          <w:color w:val="auto"/>
        </w:rPr>
        <w:lastRenderedPageBreak/>
        <w:t xml:space="preserve">Table </w:t>
      </w:r>
      <w:r w:rsidR="00AE22BA">
        <w:rPr>
          <w:noProof/>
          <w:color w:val="auto"/>
        </w:rPr>
        <w:t>4</w:t>
      </w:r>
      <w:bookmarkEnd w:id="12"/>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p w:rsidR="006E20FD" w:rsidRPr="0031099C" w:rsidRDefault="006E20FD" w:rsidP="003162AB">
      <w:pPr>
        <w:divId w:val="1548566716"/>
        <w:rPr>
          <w:lang w:val="en-GB"/>
        </w:rPr>
      </w:pPr>
    </w:p>
    <w:p w:rsidR="00EF4E89" w:rsidRDefault="00EF4E89">
      <w:pPr>
        <w:spacing w:line="276" w:lineRule="auto"/>
        <w:jc w:val="left"/>
        <w:rPr>
          <w:lang w:val="en-GB"/>
        </w:rPr>
        <w:sectPr w:rsidR="00EF4E89" w:rsidSect="00EF4E89">
          <w:pgSz w:w="11906" w:h="16838"/>
          <w:pgMar w:top="1440" w:right="1440" w:bottom="1440" w:left="1440" w:header="709" w:footer="709" w:gutter="0"/>
          <w:cols w:space="708"/>
          <w:docGrid w:linePitch="360"/>
        </w:sectPr>
      </w:pPr>
    </w:p>
    <w:p w:rsidR="006E20FD" w:rsidRDefault="006E20FD" w:rsidP="00EF4E89">
      <w:pPr>
        <w:pStyle w:val="Heading1"/>
        <w:numPr>
          <w:ilvl w:val="0"/>
          <w:numId w:val="0"/>
        </w:numPr>
        <w:divId w:val="1548566716"/>
        <w:rPr>
          <w:lang w:val="en-GB"/>
        </w:rPr>
      </w:pPr>
      <w:r w:rsidRPr="0031099C">
        <w:rPr>
          <w:lang w:val="en-GB"/>
        </w:rPr>
        <w:lastRenderedPageBreak/>
        <w:t>Appendix</w:t>
      </w:r>
    </w:p>
    <w:p w:rsidR="00EF4E89" w:rsidRDefault="00C2196C" w:rsidP="00EF4E89">
      <w:pPr>
        <w:pStyle w:val="Heading2"/>
        <w:numPr>
          <w:ilvl w:val="0"/>
          <w:numId w:val="0"/>
        </w:numPr>
        <w:divId w:val="1548566716"/>
        <w:rPr>
          <w:lang w:val="en-GB"/>
        </w:rPr>
      </w:pPr>
      <w:r>
        <w:rPr>
          <w:lang w:val="en-GB"/>
        </w:rPr>
        <w:t xml:space="preserve">Appendix </w:t>
      </w:r>
      <w:r w:rsidR="00EF4E89">
        <w:rPr>
          <w:lang w:val="en-GB"/>
        </w:rPr>
        <w:t>A: Parameters used in model</w:t>
      </w:r>
    </w:p>
    <w:tbl>
      <w:tblPr>
        <w:tblStyle w:val="TableGrid"/>
        <w:tblW w:w="0" w:type="auto"/>
        <w:tblLook w:val="04A0" w:firstRow="1" w:lastRow="0" w:firstColumn="1" w:lastColumn="0" w:noHBand="0" w:noVBand="1"/>
      </w:tblPr>
      <w:tblGrid>
        <w:gridCol w:w="1951"/>
        <w:gridCol w:w="3497"/>
        <w:gridCol w:w="4299"/>
        <w:gridCol w:w="3969"/>
      </w:tblGrid>
      <w:tr w:rsidR="00EF4E89" w:rsidRPr="00532F44" w:rsidTr="00EF4E89">
        <w:trPr>
          <w:divId w:val="1548566716"/>
        </w:trPr>
        <w:tc>
          <w:tcPr>
            <w:tcW w:w="1951" w:type="dxa"/>
            <w:tcBorders>
              <w:top w:val="nil"/>
              <w:left w:val="nil"/>
            </w:tcBorders>
          </w:tcPr>
          <w:p w:rsidR="00EF4E89" w:rsidRPr="00532F44" w:rsidRDefault="00EF4E89" w:rsidP="00EF4E89"/>
        </w:tc>
        <w:tc>
          <w:tcPr>
            <w:tcW w:w="3497" w:type="dxa"/>
          </w:tcPr>
          <w:p w:rsidR="00EF4E89" w:rsidRPr="00532F44" w:rsidRDefault="00EF4E89" w:rsidP="00EF4E89">
            <w:pPr>
              <w:rPr>
                <w:b/>
              </w:rPr>
            </w:pPr>
            <w:r w:rsidRPr="00532F44">
              <w:rPr>
                <w:b/>
              </w:rPr>
              <w:t>Category</w:t>
            </w:r>
          </w:p>
        </w:tc>
        <w:tc>
          <w:tcPr>
            <w:tcW w:w="4299" w:type="dxa"/>
          </w:tcPr>
          <w:p w:rsidR="00EF4E89" w:rsidRPr="00532F44" w:rsidRDefault="00EF4E89" w:rsidP="00EF4E89">
            <w:pPr>
              <w:rPr>
                <w:b/>
              </w:rPr>
            </w:pPr>
            <w:r w:rsidRPr="00532F44">
              <w:rPr>
                <w:b/>
              </w:rPr>
              <w:t>Description</w:t>
            </w:r>
          </w:p>
        </w:tc>
        <w:tc>
          <w:tcPr>
            <w:tcW w:w="3969" w:type="dxa"/>
          </w:tcPr>
          <w:p w:rsidR="00EF4E89" w:rsidRPr="00532F44" w:rsidRDefault="00EF4E89" w:rsidP="00EF4E89">
            <w:pPr>
              <w:rPr>
                <w:b/>
              </w:rPr>
            </w:pPr>
            <w:r w:rsidRPr="00532F44">
              <w:rPr>
                <w:b/>
              </w:rPr>
              <w:t>References</w:t>
            </w:r>
          </w:p>
        </w:tc>
      </w:tr>
      <w:tr w:rsidR="00EF4E89" w:rsidRPr="00532F44" w:rsidTr="00EF4E89">
        <w:trPr>
          <w:divId w:val="1548566716"/>
          <w:trHeight w:val="288"/>
        </w:trPr>
        <w:tc>
          <w:tcPr>
            <w:tcW w:w="1951" w:type="dxa"/>
            <w:vMerge w:val="restart"/>
          </w:tcPr>
          <w:p w:rsidR="00EF4E89" w:rsidRPr="00532F44" w:rsidRDefault="00EF4E89" w:rsidP="00EF4E89">
            <w:pPr>
              <w:rPr>
                <w:b/>
              </w:rPr>
            </w:pPr>
            <w:r w:rsidRPr="00532F44">
              <w:rPr>
                <w:b/>
              </w:rPr>
              <w:t>Risks/Probabilities</w:t>
            </w:r>
          </w:p>
        </w:tc>
        <w:tc>
          <w:tcPr>
            <w:tcW w:w="3497" w:type="dxa"/>
          </w:tcPr>
          <w:p w:rsidR="00EF4E89" w:rsidRPr="00532F44" w:rsidRDefault="00EF4E89" w:rsidP="00EF4E89">
            <w:r w:rsidRPr="00532F44">
              <w:t>Death from other causes</w:t>
            </w:r>
          </w:p>
        </w:tc>
        <w:tc>
          <w:tcPr>
            <w:tcW w:w="4299" w:type="dxa"/>
          </w:tcPr>
          <w:p w:rsidR="00EF4E89" w:rsidRPr="00532F44" w:rsidRDefault="00EF4E89" w:rsidP="00EF4E89">
            <w:r w:rsidRPr="00532F44">
              <w:t>Nonparametric</w:t>
            </w:r>
          </w:p>
        </w:tc>
        <w:tc>
          <w:tcPr>
            <w:tcW w:w="3969" w:type="dxa"/>
          </w:tcPr>
          <w:p w:rsidR="00EF4E89" w:rsidRPr="00532F44" w:rsidRDefault="00EF4E89" w:rsidP="00EF4E89">
            <w:r w:rsidRPr="00532F44">
              <w:t xml:space="preserve">UK </w:t>
            </w:r>
            <w:proofErr w:type="spellStart"/>
            <w:r w:rsidRPr="00532F44">
              <w:t>Lifetables</w:t>
            </w:r>
            <w:proofErr w:type="spellEnd"/>
            <w:r w:rsidRPr="00532F44">
              <w:t xml:space="preserve">.  </w:t>
            </w:r>
            <w:r w:rsidRPr="00B54241">
              <w:rPr>
                <w:noProof/>
              </w:rPr>
              <w:t>[19]</w:t>
            </w:r>
          </w:p>
        </w:tc>
      </w:tr>
      <w:tr w:rsidR="00EF4E89" w:rsidRPr="00532F44" w:rsidTr="00EF4E89">
        <w:trPr>
          <w:divId w:val="1548566716"/>
          <w:trHeight w:val="964"/>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Sensitivity and Specificity of TTE in detecting ABN</w:t>
            </w:r>
          </w:p>
        </w:tc>
        <w:tc>
          <w:tcPr>
            <w:tcW w:w="4299" w:type="dxa"/>
          </w:tcPr>
          <w:p w:rsidR="00EF4E89" w:rsidRPr="00532F44" w:rsidRDefault="00EF4E89" w:rsidP="00EF4E89">
            <w:r w:rsidRPr="00532F44">
              <w:t xml:space="preserve">Jointly estimated from </w:t>
            </w:r>
            <w:proofErr w:type="spellStart"/>
            <w:r w:rsidRPr="00532F44">
              <w:t>Dirichlet</w:t>
            </w:r>
            <w:proofErr w:type="spellEnd"/>
            <w:r w:rsidRPr="00532F44">
              <w:t xml:space="preserve"> distribution </w:t>
            </w:r>
          </w:p>
          <w:p w:rsidR="00EF4E89" w:rsidRPr="00532F44" w:rsidRDefault="00EF4E89" w:rsidP="00EF4E89">
            <w:r w:rsidRPr="00532F44">
              <w:t xml:space="preserve">(FN, TP, TN, FP) = </w:t>
            </w:r>
          </w:p>
          <w:p w:rsidR="00EF4E89" w:rsidRPr="00532F44" w:rsidRDefault="00EF4E89" w:rsidP="00EF4E89">
            <w:r w:rsidRPr="00532F44">
              <w:t>(5, 87, 83, 159)</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DF52E6">
              <w:rPr>
                <w:noProof/>
              </w:rPr>
              <w:t>[6]</w:t>
            </w:r>
          </w:p>
        </w:tc>
      </w:tr>
      <w:tr w:rsidR="00EF4E89" w:rsidRPr="00532F44" w:rsidTr="00EF4E89">
        <w:trPr>
          <w:divId w:val="1548566716"/>
          <w:trHeight w:val="1073"/>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Proportion of patients with ABN</w:t>
            </w:r>
          </w:p>
        </w:tc>
        <w:tc>
          <w:tcPr>
            <w:tcW w:w="4299" w:type="dxa"/>
          </w:tcPr>
          <w:p w:rsidR="00EF4E89" w:rsidRPr="00532F44" w:rsidRDefault="00EF4E89" w:rsidP="00EF4E89">
            <w:r w:rsidRPr="00532F44">
              <w:t>Beta(2.5, 22.5) for CHADS</w:t>
            </w:r>
            <w:r w:rsidRPr="00532F44">
              <w:rPr>
                <w:vertAlign w:val="subscript"/>
              </w:rPr>
              <w:t>2</w:t>
            </w:r>
          </w:p>
          <w:p w:rsidR="00EF4E89" w:rsidRPr="00532F44" w:rsidRDefault="00EF4E89" w:rsidP="00EF4E89">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F4E89" w:rsidRPr="00532F44" w:rsidRDefault="00EF4E89" w:rsidP="00EF4E89">
            <w:pPr>
              <w:jc w:val="left"/>
            </w:pPr>
            <w:r w:rsidRPr="00532F44">
              <w:t>(Both with prior of 0.5 added to both cell counts.)</w:t>
            </w:r>
          </w:p>
        </w:tc>
        <w:tc>
          <w:tcPr>
            <w:tcW w:w="3969" w:type="dxa"/>
          </w:tcPr>
          <w:p w:rsidR="00EF4E89" w:rsidRPr="00532F44" w:rsidRDefault="00EF4E89" w:rsidP="00EF4E89">
            <w:r w:rsidRPr="00532F44">
              <w:t xml:space="preserve">Table 2 of </w:t>
            </w:r>
            <w:proofErr w:type="spellStart"/>
            <w:r w:rsidRPr="00532F44">
              <w:t>Providencia</w:t>
            </w:r>
            <w:proofErr w:type="spellEnd"/>
            <w:r w:rsidRPr="00532F44">
              <w:t xml:space="preserve"> et al 2012 </w:t>
            </w:r>
            <w:r w:rsidRPr="00DF52E6">
              <w:rPr>
                <w:noProof/>
              </w:rPr>
              <w:t>[6]</w:t>
            </w:r>
          </w:p>
        </w:tc>
      </w:tr>
      <w:tr w:rsidR="00EF4E89" w:rsidRPr="00532F44" w:rsidTr="00EF4E89">
        <w:trPr>
          <w:divId w:val="1548566716"/>
          <w:trHeight w:val="253"/>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Annual stroke risk by CHADS</w:t>
            </w:r>
            <w:r w:rsidRPr="00532F44">
              <w:rPr>
                <w:vertAlign w:val="subscript"/>
              </w:rPr>
              <w:t>2</w:t>
            </w:r>
            <w:r w:rsidRPr="00532F44">
              <w:t xml:space="preserve"> score</w:t>
            </w:r>
          </w:p>
        </w:tc>
        <w:tc>
          <w:tcPr>
            <w:tcW w:w="4299" w:type="dxa"/>
          </w:tcPr>
          <w:p w:rsidR="00EF4E89" w:rsidRDefault="00EF4E89" w:rsidP="00EF4E89">
            <w:pPr>
              <w:jc w:val="left"/>
            </w:pPr>
            <w:r>
              <w:t>Annual risks (95% Credible intervals) by CHADS</w:t>
            </w:r>
            <w:r w:rsidRPr="00CD6936">
              <w:rPr>
                <w:vertAlign w:val="subscript"/>
              </w:rPr>
              <w:t>2</w:t>
            </w:r>
            <w:r>
              <w:t xml:space="preserve"> were reported as follows: </w:t>
            </w:r>
          </w:p>
          <w:p w:rsidR="00EF4E89" w:rsidRDefault="00EF4E89" w:rsidP="00EF4E89">
            <w:pPr>
              <w:jc w:val="left"/>
            </w:pPr>
            <w:r>
              <w:t>0.6% (0.5% to 0.7%) for CHADS</w:t>
            </w:r>
            <w:r w:rsidRPr="00CD6936">
              <w:rPr>
                <w:vertAlign w:val="subscript"/>
              </w:rPr>
              <w:t>2</w:t>
            </w:r>
            <w:r>
              <w:t>=0</w:t>
            </w:r>
          </w:p>
          <w:p w:rsidR="00EF4E89" w:rsidRDefault="00EF4E89" w:rsidP="00EF4E89">
            <w:pPr>
              <w:jc w:val="left"/>
            </w:pPr>
            <w:r>
              <w:t>3.0% (2.9% to 3.2%) for CHADS</w:t>
            </w:r>
            <w:r w:rsidRPr="00CD6936">
              <w:rPr>
                <w:vertAlign w:val="subscript"/>
              </w:rPr>
              <w:t>2</w:t>
            </w:r>
            <w:r>
              <w:t>=1</w:t>
            </w:r>
          </w:p>
          <w:p w:rsidR="00EF4E89" w:rsidRDefault="00EF4E89" w:rsidP="00EF4E89">
            <w:pPr>
              <w:jc w:val="left"/>
            </w:pPr>
            <w:r>
              <w:t>4.2% (4.0% to 4.4%) for CHADS</w:t>
            </w:r>
            <w:r w:rsidRPr="00CD6936">
              <w:rPr>
                <w:vertAlign w:val="subscript"/>
              </w:rPr>
              <w:t>2</w:t>
            </w:r>
            <w:r>
              <w:t>=2</w:t>
            </w:r>
          </w:p>
          <w:p w:rsidR="00EF4E89" w:rsidRDefault="00EF4E89" w:rsidP="00EF4E89">
            <w:pPr>
              <w:jc w:val="left"/>
            </w:pPr>
            <w:r>
              <w:t>7.1% (6.7% to 7.5%) for CHADS</w:t>
            </w:r>
            <w:r w:rsidRPr="00CD6936">
              <w:rPr>
                <w:vertAlign w:val="subscript"/>
              </w:rPr>
              <w:t>2</w:t>
            </w:r>
            <w:r>
              <w:t>=3</w:t>
            </w:r>
          </w:p>
          <w:p w:rsidR="00EF4E89" w:rsidRPr="00532F44" w:rsidRDefault="00EF4E89" w:rsidP="00EF4E89">
            <w:pPr>
              <w:jc w:val="left"/>
            </w:pPr>
            <w:r>
              <w:t>11.1% (10.4% to 11.8%) for CHADS</w:t>
            </w:r>
            <w:r w:rsidRPr="00CD6936">
              <w:rPr>
                <w:vertAlign w:val="subscript"/>
              </w:rPr>
              <w:t>2</w:t>
            </w:r>
            <w:r>
              <w:t>=4</w:t>
            </w:r>
          </w:p>
        </w:tc>
        <w:tc>
          <w:tcPr>
            <w:tcW w:w="3969" w:type="dxa"/>
          </w:tcPr>
          <w:p w:rsidR="00EF4E89" w:rsidRPr="00532F44" w:rsidRDefault="00EF4E89" w:rsidP="00EF4E89">
            <w:proofErr w:type="spellStart"/>
            <w:r w:rsidRPr="00532F44">
              <w:t>Friberg</w:t>
            </w:r>
            <w:proofErr w:type="spellEnd"/>
            <w:r w:rsidRPr="00532F44">
              <w:t xml:space="preserve"> 2012</w:t>
            </w:r>
            <w:r w:rsidRPr="00B54241">
              <w:rPr>
                <w:noProof/>
              </w:rPr>
              <w:t>[21]</w:t>
            </w:r>
          </w:p>
        </w:tc>
      </w:tr>
      <w:tr w:rsidR="00EF4E89" w:rsidRPr="00532F44" w:rsidTr="00EF4E89">
        <w:trPr>
          <w:divId w:val="1548566716"/>
          <w:trHeight w:val="287"/>
        </w:trPr>
        <w:tc>
          <w:tcPr>
            <w:tcW w:w="1951" w:type="dxa"/>
            <w:vMerge/>
          </w:tcPr>
          <w:p w:rsidR="00EF4E89" w:rsidRPr="00532F44" w:rsidRDefault="00EF4E89" w:rsidP="00EF4E89">
            <w:pPr>
              <w:rPr>
                <w:b/>
              </w:rPr>
            </w:pPr>
          </w:p>
        </w:tc>
        <w:tc>
          <w:tcPr>
            <w:tcW w:w="3497" w:type="dxa"/>
          </w:tcPr>
          <w:p w:rsidR="00EF4E89" w:rsidRPr="00532F44" w:rsidRDefault="00EF4E89" w:rsidP="008C662C">
            <w:r w:rsidRPr="00532F44">
              <w:t xml:space="preserve">Annual stroke risk in those with ABN </w:t>
            </w:r>
          </w:p>
        </w:tc>
        <w:tc>
          <w:tcPr>
            <w:tcW w:w="4299" w:type="dxa"/>
          </w:tcPr>
          <w:p w:rsidR="00EF4E89" w:rsidRPr="00532F44" w:rsidRDefault="00EF4E89" w:rsidP="008C662C">
            <w:pPr>
              <w:jc w:val="left"/>
            </w:pPr>
            <w:r>
              <w:t xml:space="preserve">In the initial study four out of 50 patients with identified ABN had a stroke. This was used to produce a mean stroke rate of 8.0% and bootstrapped 95% </w:t>
            </w:r>
            <w:proofErr w:type="spellStart"/>
            <w:r>
              <w:t>CrIs</w:t>
            </w:r>
            <w:proofErr w:type="spellEnd"/>
            <w:r>
              <w:t xml:space="preserve"> of 7.2% to 8.2%</w:t>
            </w:r>
          </w:p>
        </w:tc>
        <w:tc>
          <w:tcPr>
            <w:tcW w:w="3969" w:type="dxa"/>
          </w:tcPr>
          <w:p w:rsidR="00EF4E89" w:rsidRPr="00532F44" w:rsidRDefault="00EF4E89" w:rsidP="00EF4E89">
            <w:r>
              <w:t>Stroke Prevention 1988</w:t>
            </w:r>
            <w:r w:rsidRPr="00532F44">
              <w:t xml:space="preserve"> </w:t>
            </w:r>
            <w:r w:rsidRPr="00DF52E6">
              <w:rPr>
                <w:noProof/>
              </w:rPr>
              <w:t>[5]</w:t>
            </w:r>
          </w:p>
        </w:tc>
      </w:tr>
      <w:tr w:rsidR="00EF4E89" w:rsidRPr="00532F44" w:rsidTr="00EF4E89">
        <w:trPr>
          <w:divId w:val="1548566716"/>
          <w:trHeight w:val="1317"/>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Relative risk (RR) of stroke in patients receiving </w:t>
            </w:r>
            <w:proofErr w:type="spellStart"/>
            <w:r w:rsidRPr="00532F44">
              <w:t>dabigatran</w:t>
            </w:r>
            <w:proofErr w:type="spellEnd"/>
            <w:r>
              <w:t>.</w:t>
            </w:r>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dabigatran</w:t>
            </w:r>
            <w:proofErr w:type="spellEnd"/>
            <w:r>
              <w:rPr>
                <w:lang w:val="en-GB"/>
              </w:rPr>
              <w:t xml:space="preserve"> vs. warfarin: 0.66 (0.53 to 0.82)</w:t>
            </w:r>
          </w:p>
          <w:p w:rsidR="00EF4E89" w:rsidRPr="004C3BA6" w:rsidRDefault="00EF4E89" w:rsidP="00EF4E89">
            <w:pPr>
              <w:jc w:val="left"/>
              <w:rPr>
                <w:lang w:val="en-GB"/>
              </w:rPr>
            </w:pPr>
            <w:r>
              <w:rPr>
                <w:lang w:val="en-GB"/>
              </w:rPr>
              <w:t xml:space="preserve">Derived RR </w:t>
            </w:r>
            <w:proofErr w:type="spellStart"/>
            <w:r>
              <w:rPr>
                <w:lang w:val="en-GB"/>
              </w:rPr>
              <w:t>dabigatran</w:t>
            </w:r>
            <w:proofErr w:type="spellEnd"/>
            <w:r>
              <w:rPr>
                <w:lang w:val="en-GB"/>
              </w:rPr>
              <w:t xml:space="preserve"> vs. placebo: 0.22 (0.15 to 0.32)</w:t>
            </w:r>
          </w:p>
        </w:tc>
        <w:tc>
          <w:tcPr>
            <w:tcW w:w="3969" w:type="dxa"/>
          </w:tcPr>
          <w:p w:rsidR="00EF4E89" w:rsidRPr="00532F44" w:rsidRDefault="00EF4E89" w:rsidP="00EF4E89">
            <w:r w:rsidRPr="00532F44">
              <w:t xml:space="preserve">Lip et al 2006 for RR of warfarin compared with placebo </w:t>
            </w:r>
            <w:r w:rsidRPr="00B54241">
              <w:rPr>
                <w:noProof/>
              </w:rPr>
              <w:t>[22]</w:t>
            </w:r>
          </w:p>
          <w:p w:rsidR="00EF4E89" w:rsidRPr="00532F44" w:rsidRDefault="00EF4E89" w:rsidP="00EF4E89">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Pr="00B54241">
              <w:rPr>
                <w:noProof/>
              </w:rPr>
              <w:t>[15]</w:t>
            </w:r>
          </w:p>
        </w:tc>
      </w:tr>
      <w:tr w:rsidR="00EF4E89" w:rsidRPr="00532F44" w:rsidTr="00EF4E89">
        <w:trPr>
          <w:divId w:val="1548566716"/>
          <w:trHeight w:val="710"/>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 xml:space="preserve">Annual major bleeding risk for patients receiving </w:t>
            </w:r>
            <w:proofErr w:type="spellStart"/>
            <w:r w:rsidRPr="00532F44">
              <w:t>dabigatran</w:t>
            </w:r>
            <w:proofErr w:type="spellEnd"/>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w:t>
            </w:r>
            <w:r>
              <w:lastRenderedPageBreak/>
              <w:t xml:space="preserve">(95% </w:t>
            </w:r>
            <w:proofErr w:type="spellStart"/>
            <w:r>
              <w:t>CrIs</w:t>
            </w:r>
            <w:proofErr w:type="spellEnd"/>
            <w:r>
              <w:t>) are as follows:</w:t>
            </w:r>
          </w:p>
          <w:p w:rsidR="00EF4E89" w:rsidRDefault="00EF4E89" w:rsidP="00EF4E89">
            <w:pPr>
              <w:jc w:val="left"/>
            </w:pPr>
            <w:r>
              <w:t>Under 75: 2.1% (1.7 to 2.6%)</w:t>
            </w:r>
          </w:p>
          <w:p w:rsidR="00EF4E89" w:rsidRPr="00532F44" w:rsidRDefault="00EF4E89" w:rsidP="00EF4E89">
            <w:pPr>
              <w:jc w:val="left"/>
            </w:pPr>
            <w:r>
              <w:t>75 and older: 5.1% (4.2% to 6.0%)</w:t>
            </w:r>
          </w:p>
        </w:tc>
        <w:tc>
          <w:tcPr>
            <w:tcW w:w="3969" w:type="dxa"/>
          </w:tcPr>
          <w:p w:rsidR="00EF4E89" w:rsidRPr="00532F44" w:rsidRDefault="00EF4E89" w:rsidP="00EF4E89">
            <w:proofErr w:type="spellStart"/>
            <w:r w:rsidRPr="00532F44">
              <w:lastRenderedPageBreak/>
              <w:t>Eikelboom</w:t>
            </w:r>
            <w:proofErr w:type="spellEnd"/>
            <w:r w:rsidRPr="00532F44">
              <w:t xml:space="preserve"> et al 2011 </w:t>
            </w:r>
            <w:r w:rsidRPr="00B54241">
              <w:rPr>
                <w:noProof/>
              </w:rPr>
              <w:t>[15]</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Relative risk (RR) of stroke in patients receiving warfarin</w:t>
            </w:r>
          </w:p>
        </w:tc>
        <w:tc>
          <w:tcPr>
            <w:tcW w:w="4299" w:type="dxa"/>
          </w:tcPr>
          <w:p w:rsidR="00EF4E89" w:rsidRPr="004C3BA6" w:rsidRDefault="00EF4E89" w:rsidP="00EF4E89">
            <w:pPr>
              <w:jc w:val="left"/>
              <w:rPr>
                <w:lang w:val="en-GB"/>
              </w:rPr>
            </w:pPr>
            <w:r>
              <w:rPr>
                <w:lang w:val="en-GB"/>
              </w:rPr>
              <w:t>Reported RR warfarin vs. placebo: 0.33 (0.24 to 0.45)</w:t>
            </w:r>
          </w:p>
        </w:tc>
        <w:tc>
          <w:tcPr>
            <w:tcW w:w="3969" w:type="dxa"/>
          </w:tcPr>
          <w:p w:rsidR="00EF4E89" w:rsidRPr="00532F44" w:rsidRDefault="00EF4E89" w:rsidP="00EF4E89">
            <w:r w:rsidRPr="00532F44">
              <w:t xml:space="preserve">Lip et al 2006 </w:t>
            </w:r>
            <w:r w:rsidRPr="00B54241">
              <w:rPr>
                <w:noProof/>
              </w:rPr>
              <w:t>[22]</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t>Annual major bleeding risk for patients receiving warfarin</w:t>
            </w:r>
          </w:p>
        </w:tc>
        <w:tc>
          <w:tcPr>
            <w:tcW w:w="4299" w:type="dxa"/>
          </w:tcPr>
          <w:p w:rsidR="00EF4E89" w:rsidRDefault="00EF4E89" w:rsidP="00EF4E89">
            <w:pPr>
              <w:jc w:val="left"/>
            </w:pPr>
            <w:r w:rsidRPr="00532F44">
              <w:t>St</w:t>
            </w:r>
            <w:r>
              <w:t>r</w:t>
            </w:r>
            <w:r w:rsidRPr="00532F44">
              <w:t>atified by age. Credible interval calculated using simulation approach</w:t>
            </w:r>
            <w:r>
              <w:t xml:space="preserve">. Annual risk reported separately for people under 75 years, and people aged 75 years or older. Credible intervals were calculated by assuming sample sizes of 3618 for people aged </w:t>
            </w:r>
            <w:proofErr w:type="gramStart"/>
            <w:r>
              <w:t>under</w:t>
            </w:r>
            <w:proofErr w:type="gramEnd"/>
            <w:r>
              <w:t xml:space="preserve"> 75 years and 2419 for people aged 75 years or older, then sampling repeatedly and taking the values 2.5% and 97.5% of the way along the distributions. The central estimates (95% </w:t>
            </w:r>
            <w:proofErr w:type="spellStart"/>
            <w:r>
              <w:t>CrIs</w:t>
            </w:r>
            <w:proofErr w:type="spellEnd"/>
            <w:r>
              <w:t>) are as follows:</w:t>
            </w:r>
          </w:p>
          <w:p w:rsidR="00EF4E89" w:rsidRDefault="00EF4E89" w:rsidP="00EF4E89">
            <w:pPr>
              <w:jc w:val="left"/>
            </w:pPr>
            <w:r>
              <w:t>Under 75: 3.4% (2.5 to 3.6%)</w:t>
            </w:r>
          </w:p>
          <w:p w:rsidR="00EF4E89" w:rsidRPr="00532F44" w:rsidRDefault="00EF4E89" w:rsidP="00EF4E89">
            <w:pPr>
              <w:jc w:val="left"/>
            </w:pPr>
            <w:r>
              <w:t>75 and older: 4.4% (3.6% to 5.2%)</w:t>
            </w:r>
          </w:p>
        </w:tc>
        <w:tc>
          <w:tcPr>
            <w:tcW w:w="3969" w:type="dxa"/>
          </w:tcPr>
          <w:p w:rsidR="00EF4E89" w:rsidRPr="00532F44" w:rsidRDefault="00EF4E89" w:rsidP="00EF4E89">
            <w:proofErr w:type="spellStart"/>
            <w:r w:rsidRPr="00532F44">
              <w:t>Eikelboom</w:t>
            </w:r>
            <w:proofErr w:type="spellEnd"/>
            <w:r w:rsidRPr="00532F44">
              <w:t xml:space="preserve"> et al 2011 </w:t>
            </w:r>
            <w:r w:rsidRPr="00B54241">
              <w:rPr>
                <w:noProof/>
              </w:rPr>
              <w:t>[15]</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Relative risk (RR) of stroke in patients receiving </w:t>
            </w:r>
            <w:proofErr w:type="spellStart"/>
            <w:r>
              <w:t>rivaroxaban</w:t>
            </w:r>
            <w:proofErr w:type="spellEnd"/>
          </w:p>
        </w:tc>
        <w:tc>
          <w:tcPr>
            <w:tcW w:w="4299" w:type="dxa"/>
          </w:tcPr>
          <w:p w:rsidR="00EF4E89" w:rsidRDefault="00EF4E89" w:rsidP="00EF4E89">
            <w:pPr>
              <w:jc w:val="left"/>
              <w:rPr>
                <w:lang w:val="en-GB"/>
              </w:rPr>
            </w:pPr>
            <w:r w:rsidRPr="00532F44">
              <w:t xml:space="preserve">Indirect comparison simulation </w:t>
            </w:r>
            <w:r w:rsidRPr="003A1166">
              <w:t>approach</w:t>
            </w:r>
            <w:r>
              <w:t>.</w:t>
            </w:r>
            <w:r w:rsidRPr="003A1166">
              <w:rPr>
                <w:rFonts w:ascii="Times New Roman" w:eastAsia="Times New Roman" w:hAnsi="Times New Roman"/>
                <w:sz w:val="22"/>
                <w:szCs w:val="22"/>
                <w:lang w:val="en-GB" w:eastAsia="en-GB"/>
              </w:rPr>
              <w:t xml:space="preserve"> </w:t>
            </w:r>
            <w:r>
              <w:rPr>
                <w:lang w:val="en-GB"/>
              </w:rPr>
              <w:t xml:space="preserve">One thousand </w:t>
            </w:r>
            <w:r w:rsidRPr="003A1166">
              <w:rPr>
                <w:lang w:val="en-GB"/>
              </w:rPr>
              <w:t xml:space="preserve">simulated values </w:t>
            </w:r>
            <w:r>
              <w:rPr>
                <w:lang w:val="en-GB"/>
              </w:rPr>
              <w:t xml:space="preserve">from a lognormal distribution representing the RR of warfarin compared with placebo were multiplied by 1000 simulated values from a lognormal distribution comparing </w:t>
            </w:r>
            <w:proofErr w:type="spellStart"/>
            <w:r>
              <w:rPr>
                <w:lang w:val="en-GB"/>
              </w:rPr>
              <w:t>dabigatran</w:t>
            </w:r>
            <w:proofErr w:type="spellEnd"/>
            <w:r>
              <w:rPr>
                <w:lang w:val="en-GB"/>
              </w:rPr>
              <w:t xml:space="preserve"> with warfarin, to produce 1000 estimates of the RR of </w:t>
            </w:r>
            <w:proofErr w:type="spellStart"/>
            <w:r>
              <w:rPr>
                <w:lang w:val="en-GB"/>
              </w:rPr>
              <w:t>dabigatran</w:t>
            </w:r>
            <w:proofErr w:type="spellEnd"/>
            <w:r>
              <w:rPr>
                <w:lang w:val="en-GB"/>
              </w:rPr>
              <w:t xml:space="preserve"> compared </w:t>
            </w:r>
            <w:r>
              <w:rPr>
                <w:lang w:val="en-GB"/>
              </w:rPr>
              <w:lastRenderedPageBreak/>
              <w:t>with placebo. Mean RRs and 95% CIs/</w:t>
            </w:r>
            <w:proofErr w:type="spellStart"/>
            <w:r>
              <w:rPr>
                <w:lang w:val="en-GB"/>
              </w:rPr>
              <w:t>CrIs</w:t>
            </w:r>
            <w:proofErr w:type="spellEnd"/>
            <w:r>
              <w:rPr>
                <w:lang w:val="en-GB"/>
              </w:rPr>
              <w:t xml:space="preserve"> are shown below: </w:t>
            </w:r>
          </w:p>
          <w:p w:rsidR="00EF4E89" w:rsidRDefault="00EF4E89" w:rsidP="00EF4E89">
            <w:pPr>
              <w:jc w:val="left"/>
              <w:rPr>
                <w:lang w:val="en-GB"/>
              </w:rPr>
            </w:pPr>
            <w:r>
              <w:rPr>
                <w:lang w:val="en-GB"/>
              </w:rPr>
              <w:t>Reported RR warfarin vs. placebo: 0.33 (0.24 to 0.45)</w:t>
            </w:r>
          </w:p>
          <w:p w:rsidR="00EF4E89" w:rsidRDefault="00EF4E89" w:rsidP="00EF4E89">
            <w:pPr>
              <w:jc w:val="left"/>
              <w:rPr>
                <w:lang w:val="en-GB"/>
              </w:rPr>
            </w:pPr>
            <w:r>
              <w:rPr>
                <w:lang w:val="en-GB"/>
              </w:rPr>
              <w:t xml:space="preserve">Reported RR </w:t>
            </w:r>
            <w:proofErr w:type="spellStart"/>
            <w:r>
              <w:rPr>
                <w:lang w:val="en-GB"/>
              </w:rPr>
              <w:t>Rivaroxaban</w:t>
            </w:r>
            <w:proofErr w:type="spellEnd"/>
            <w:r>
              <w:rPr>
                <w:lang w:val="en-GB"/>
              </w:rPr>
              <w:t xml:space="preserve">  vs. warfarin: 0.88 (0.74 to 1.03)</w:t>
            </w:r>
          </w:p>
          <w:p w:rsidR="00EF4E89" w:rsidRPr="00532F44" w:rsidRDefault="00EF4E89" w:rsidP="00EF4E89">
            <w:pPr>
              <w:jc w:val="left"/>
            </w:pPr>
            <w:r>
              <w:rPr>
                <w:lang w:val="en-GB"/>
              </w:rPr>
              <w:t xml:space="preserve">Derived RR </w:t>
            </w:r>
            <w:proofErr w:type="spellStart"/>
            <w:r>
              <w:rPr>
                <w:lang w:val="en-GB"/>
              </w:rPr>
              <w:t>Rivaroxaban</w:t>
            </w:r>
            <w:proofErr w:type="spellEnd"/>
            <w:r>
              <w:rPr>
                <w:lang w:val="en-GB"/>
              </w:rPr>
              <w:t xml:space="preserve"> vs. placebo: 0.30 (0.20 to 0.41)</w:t>
            </w:r>
          </w:p>
        </w:tc>
        <w:tc>
          <w:tcPr>
            <w:tcW w:w="3969" w:type="dxa"/>
          </w:tcPr>
          <w:p w:rsidR="00EF4E89" w:rsidRDefault="00EF4E89" w:rsidP="00EF4E89">
            <w:r w:rsidRPr="00532F44">
              <w:lastRenderedPageBreak/>
              <w:t xml:space="preserve">Lip et al 2006 for RR of warfarin compared with placebo </w:t>
            </w:r>
            <w:r w:rsidRPr="00B54241">
              <w:rPr>
                <w:noProof/>
              </w:rPr>
              <w:t>[22]</w:t>
            </w:r>
          </w:p>
          <w:p w:rsidR="00EF4E89" w:rsidRPr="00532F44" w:rsidRDefault="00EF4E89" w:rsidP="00EF4E89">
            <w:r>
              <w:t xml:space="preserve">Patel et al 2011 for RR of </w:t>
            </w:r>
            <w:proofErr w:type="spellStart"/>
            <w:r>
              <w:t>rivaroxaban</w:t>
            </w:r>
            <w:proofErr w:type="spellEnd"/>
            <w:r>
              <w:t xml:space="preserve"> compared with warfarin </w:t>
            </w:r>
            <w:r w:rsidRPr="00B54241">
              <w:rPr>
                <w:noProof/>
              </w:rPr>
              <w:t>[23]</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Default="00EF4E89" w:rsidP="00EF4E89">
            <w:r>
              <w:t xml:space="preserve">Annual major bleeding risk for patients receiving </w:t>
            </w:r>
            <w:proofErr w:type="spellStart"/>
            <w:r>
              <w:t>rivaroxaban</w:t>
            </w:r>
            <w:proofErr w:type="spellEnd"/>
          </w:p>
        </w:tc>
        <w:tc>
          <w:tcPr>
            <w:tcW w:w="4299" w:type="dxa"/>
          </w:tcPr>
          <w:p w:rsidR="00EF4E89" w:rsidRDefault="00EF4E89" w:rsidP="00EF4E89">
            <w:pPr>
              <w:jc w:val="left"/>
            </w:pPr>
            <w:r w:rsidRPr="00B92B64">
              <w:rPr>
                <w:lang w:val="en-GB"/>
              </w:rPr>
              <w:t xml:space="preserve">The annual risk of bleeding given </w:t>
            </w:r>
            <w:proofErr w:type="spellStart"/>
            <w:r w:rsidRPr="00B92B64">
              <w:rPr>
                <w:lang w:val="en-GB"/>
              </w:rPr>
              <w:t>rivaroxaban</w:t>
            </w:r>
            <w:proofErr w:type="spellEnd"/>
            <w:r w:rsidRPr="00B92B64">
              <w:rPr>
                <w:lang w:val="en-GB"/>
              </w:rPr>
              <w:t xml:space="preserve"> was estimated indirectly by combining estimates of the risk of bleed given warfarin compared with placebo with estimates of the risk of bleed given </w:t>
            </w:r>
            <w:proofErr w:type="spellStart"/>
            <w:r w:rsidRPr="00B92B64">
              <w:rPr>
                <w:lang w:val="en-GB"/>
              </w:rPr>
              <w:t>rivaroxiban</w:t>
            </w:r>
            <w:proofErr w:type="spellEnd"/>
            <w:r w:rsidRPr="00B92B64">
              <w:rPr>
                <w:lang w:val="en-GB"/>
              </w:rPr>
              <w:t xml:space="preserve"> compared with warfarin.</w:t>
            </w:r>
            <w:r w:rsidRPr="00532F44">
              <w:t xml:space="preserve"> </w:t>
            </w:r>
            <w:r>
              <w:t xml:space="preserve">The central estimates (95% </w:t>
            </w:r>
            <w:proofErr w:type="spellStart"/>
            <w:r>
              <w:t>CrIs</w:t>
            </w:r>
            <w:proofErr w:type="spellEnd"/>
            <w:r>
              <w:t>) were estimated to be as follows:</w:t>
            </w:r>
          </w:p>
          <w:p w:rsidR="00EF4E89" w:rsidRDefault="00EF4E89" w:rsidP="00EF4E89">
            <w:pPr>
              <w:jc w:val="left"/>
            </w:pPr>
            <w:r>
              <w:t>Under 75: 3.2% (2.5% to 4.0%)</w:t>
            </w:r>
          </w:p>
          <w:p w:rsidR="00EF4E89" w:rsidRPr="00532F44" w:rsidRDefault="00EF4E89" w:rsidP="00EF4E89">
            <w:pPr>
              <w:jc w:val="left"/>
            </w:pPr>
            <w:r>
              <w:t>75 or older: 4.6% (3.6% to 5.7%)</w:t>
            </w:r>
          </w:p>
        </w:tc>
        <w:tc>
          <w:tcPr>
            <w:tcW w:w="3969" w:type="dxa"/>
          </w:tcPr>
          <w:p w:rsidR="00EF4E89" w:rsidRDefault="00EF4E89" w:rsidP="00EF4E89">
            <w:proofErr w:type="spellStart"/>
            <w:r w:rsidRPr="00532F44">
              <w:t>Eikelboom</w:t>
            </w:r>
            <w:proofErr w:type="spellEnd"/>
            <w:r w:rsidRPr="00532F44">
              <w:t xml:space="preserve"> et al 2011 </w:t>
            </w:r>
            <w:r w:rsidRPr="00B54241">
              <w:rPr>
                <w:noProof/>
              </w:rPr>
              <w:t>[15]</w:t>
            </w:r>
          </w:p>
          <w:p w:rsidR="00EF4E89" w:rsidRPr="00532F44" w:rsidRDefault="00EF4E89" w:rsidP="00EF4E89">
            <w:r>
              <w:t xml:space="preserve">Patel et al 2011 </w:t>
            </w:r>
            <w:r w:rsidRPr="00B54241">
              <w:rPr>
                <w:noProof/>
              </w:rPr>
              <w:t>[23]</w:t>
            </w:r>
          </w:p>
        </w:tc>
      </w:tr>
      <w:tr w:rsidR="00EF4E89" w:rsidRPr="00532F44" w:rsidTr="00EF4E89">
        <w:trPr>
          <w:divId w:val="1548566716"/>
          <w:trHeight w:val="67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stroke</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The proportion dying of a stroke (95% </w:t>
            </w:r>
            <w:proofErr w:type="spellStart"/>
            <w:r>
              <w:t>CrI</w:t>
            </w:r>
            <w:proofErr w:type="spellEnd"/>
            <w:r>
              <w:t xml:space="preserve">) was estimated to be 0.25 (0.23 to 0.27); the proportion in an independent </w:t>
            </w:r>
            <w:proofErr w:type="gramStart"/>
            <w:r>
              <w:t>state  was</w:t>
            </w:r>
            <w:proofErr w:type="gramEnd"/>
            <w:r>
              <w:t xml:space="preserve"> estimated to be 0.56 (0.52 to 0.59); and the proportion in an dependent state following a </w:t>
            </w:r>
            <w:r>
              <w:lastRenderedPageBreak/>
              <w:t>stroke was estimated to be 0.19 (0.16 to 0.23).</w:t>
            </w:r>
          </w:p>
        </w:tc>
        <w:tc>
          <w:tcPr>
            <w:tcW w:w="3969" w:type="dxa"/>
          </w:tcPr>
          <w:p w:rsidR="00EF4E89" w:rsidRPr="00532F44" w:rsidRDefault="00EF4E89" w:rsidP="00EF4E89">
            <w:r w:rsidRPr="00532F44">
              <w:lastRenderedPageBreak/>
              <w:t xml:space="preserve">Method described in report using results published in </w:t>
            </w:r>
            <w:proofErr w:type="spellStart"/>
            <w:r w:rsidRPr="00532F44">
              <w:t>Rivero</w:t>
            </w:r>
            <w:proofErr w:type="spellEnd"/>
            <w:r w:rsidRPr="00532F44">
              <w:t xml:space="preserve">-Arias et al 2010 </w:t>
            </w:r>
            <w:r w:rsidRPr="00B54241">
              <w:rPr>
                <w:noProof/>
              </w:rPr>
              <w:t>[24]</w:t>
            </w:r>
            <w:r w:rsidRPr="00532F44">
              <w:t xml:space="preserve"> </w:t>
            </w:r>
          </w:p>
        </w:tc>
      </w:tr>
      <w:tr w:rsidR="00EF4E89" w:rsidRPr="00532F44" w:rsidTr="00EF4E89">
        <w:trPr>
          <w:divId w:val="1548566716"/>
          <w:trHeight w:val="109"/>
        </w:trPr>
        <w:tc>
          <w:tcPr>
            <w:tcW w:w="1951" w:type="dxa"/>
            <w:vMerge/>
          </w:tcPr>
          <w:p w:rsidR="00EF4E89" w:rsidRPr="00532F44" w:rsidRDefault="00EF4E89" w:rsidP="00EF4E89">
            <w:pPr>
              <w:rPr>
                <w:b/>
              </w:rPr>
            </w:pPr>
          </w:p>
        </w:tc>
        <w:tc>
          <w:tcPr>
            <w:tcW w:w="3497" w:type="dxa"/>
          </w:tcPr>
          <w:p w:rsidR="00EF4E89" w:rsidRPr="00532F44" w:rsidRDefault="00EF4E89" w:rsidP="00EF4E89">
            <w:r w:rsidRPr="00532F44">
              <w:t>Outcome following a major bleeding event</w:t>
            </w:r>
          </w:p>
        </w:tc>
        <w:tc>
          <w:tcPr>
            <w:tcW w:w="4299" w:type="dxa"/>
          </w:tcPr>
          <w:p w:rsidR="00EF4E89" w:rsidRPr="00532F44" w:rsidRDefault="00EF4E89" w:rsidP="00EF4E89">
            <w:pPr>
              <w:jc w:val="left"/>
            </w:pPr>
            <w:r w:rsidRPr="00532F44">
              <w:t>Previous estimates</w:t>
            </w:r>
          </w:p>
        </w:tc>
        <w:tc>
          <w:tcPr>
            <w:tcW w:w="3969" w:type="dxa"/>
          </w:tcPr>
          <w:p w:rsidR="00EF4E89" w:rsidRPr="00532F44" w:rsidRDefault="00EF4E89" w:rsidP="00EF4E89">
            <w:r w:rsidRPr="00532F44">
              <w:t xml:space="preserve"> Simpson et al 2010 </w:t>
            </w:r>
            <w:r w:rsidRPr="00B54241">
              <w:rPr>
                <w:noProof/>
              </w:rPr>
              <w:t>[25]</w:t>
            </w:r>
          </w:p>
        </w:tc>
      </w:tr>
      <w:tr w:rsidR="00EF4E89" w:rsidRPr="00532F44" w:rsidTr="00EF4E89">
        <w:trPr>
          <w:divId w:val="1548566716"/>
          <w:trHeight w:val="612"/>
        </w:trPr>
        <w:tc>
          <w:tcPr>
            <w:tcW w:w="1951" w:type="dxa"/>
            <w:vMerge w:val="restart"/>
          </w:tcPr>
          <w:p w:rsidR="00EF4E89" w:rsidRPr="00532F44" w:rsidRDefault="00EF4E89" w:rsidP="00EF4E89">
            <w:pPr>
              <w:rPr>
                <w:b/>
              </w:rPr>
            </w:pPr>
            <w:r w:rsidRPr="00532F44">
              <w:rPr>
                <w:b/>
              </w:rPr>
              <w:t>Utilities</w:t>
            </w:r>
          </w:p>
        </w:tc>
        <w:tc>
          <w:tcPr>
            <w:tcW w:w="3497" w:type="dxa"/>
          </w:tcPr>
          <w:p w:rsidR="00EF4E89" w:rsidRPr="00532F44" w:rsidRDefault="00EF4E89" w:rsidP="00EF4E89">
            <w:r w:rsidRPr="00532F44">
              <w:t>Baseline utilities by age and gender</w:t>
            </w:r>
          </w:p>
        </w:tc>
        <w:tc>
          <w:tcPr>
            <w:tcW w:w="4299" w:type="dxa"/>
          </w:tcPr>
          <w:p w:rsidR="00EF4E89" w:rsidRPr="00532F44" w:rsidRDefault="00EF4E89" w:rsidP="00EF4E89">
            <w:r w:rsidRPr="00532F44">
              <w:t>Regression based approach</w:t>
            </w:r>
            <w:r>
              <w:t xml:space="preserve">, described in full in the reference. </w:t>
            </w:r>
            <w:proofErr w:type="spellStart"/>
            <w:r>
              <w:t>HRQoL</w:t>
            </w:r>
            <w:proofErr w:type="spellEnd"/>
            <w:r>
              <w:t xml:space="preserve"> is estimated as a function of age and gender, using the equation for the general population.</w:t>
            </w:r>
          </w:p>
        </w:tc>
        <w:tc>
          <w:tcPr>
            <w:tcW w:w="3969" w:type="dxa"/>
          </w:tcPr>
          <w:p w:rsidR="00EF4E89" w:rsidRPr="00532F44" w:rsidRDefault="00EF4E89" w:rsidP="00EF4E89">
            <w:proofErr w:type="spellStart"/>
            <w:r w:rsidRPr="00532F44">
              <w:t>Ara</w:t>
            </w:r>
            <w:proofErr w:type="spellEnd"/>
            <w:r w:rsidRPr="00532F44">
              <w:t xml:space="preserve"> et al 2010 </w:t>
            </w:r>
            <w:r w:rsidRPr="00B54241">
              <w:rPr>
                <w:noProof/>
              </w:rPr>
              <w:t>[26]</w:t>
            </w:r>
          </w:p>
          <w:p w:rsidR="00EF4E89" w:rsidRPr="00532F44" w:rsidRDefault="00EF4E89" w:rsidP="00EF4E89"/>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Utility multiplier following stroke, utility multiplier following major non-fatal intracranial bleed</w:t>
            </w:r>
          </w:p>
        </w:tc>
        <w:tc>
          <w:tcPr>
            <w:tcW w:w="4299" w:type="dxa"/>
          </w:tcPr>
          <w:p w:rsidR="00EF4E89" w:rsidRDefault="00EF4E89" w:rsidP="00EF4E89">
            <w:pPr>
              <w:jc w:val="left"/>
            </w:pPr>
            <w:r w:rsidRPr="00532F44">
              <w:t>Simulation &amp; mapping based approach</w:t>
            </w:r>
            <w:r>
              <w:t xml:space="preserve"> described in an upcoming report. </w:t>
            </w:r>
          </w:p>
          <w:p w:rsidR="00EF4E89" w:rsidRPr="00532F44" w:rsidRDefault="00EF4E89" w:rsidP="00EF4E89">
            <w:pPr>
              <w:jc w:val="left"/>
            </w:pPr>
            <w:r>
              <w:t xml:space="preserve">Utility multipliers (95% </w:t>
            </w:r>
            <w:proofErr w:type="spellStart"/>
            <w:r>
              <w:t>CrIs</w:t>
            </w:r>
            <w:proofErr w:type="spellEnd"/>
            <w:r>
              <w:t>) were estimated to be 0.822 (0.819 to 0.824) for an independent state following a stroke, and 0.482 (0.477 to 0.487) for a dependent state following a stroke.</w:t>
            </w:r>
          </w:p>
        </w:tc>
        <w:tc>
          <w:tcPr>
            <w:tcW w:w="3969" w:type="dxa"/>
          </w:tcPr>
          <w:p w:rsidR="00EF4E89" w:rsidRPr="00532F44" w:rsidRDefault="00EF4E89" w:rsidP="00EF4E89">
            <w:r w:rsidRPr="00532F44">
              <w:t xml:space="preserve">Method described in report results published in </w:t>
            </w:r>
          </w:p>
          <w:p w:rsidR="00EF4E89" w:rsidRPr="00532F44" w:rsidRDefault="00EF4E89" w:rsidP="00EF4E89">
            <w:proofErr w:type="spellStart"/>
            <w:r w:rsidRPr="00532F44">
              <w:t>Rivero</w:t>
            </w:r>
            <w:proofErr w:type="spellEnd"/>
            <w:r w:rsidRPr="00532F44">
              <w:t xml:space="preserve">-Arias et al 2010 </w:t>
            </w:r>
            <w:r w:rsidRPr="00B54241">
              <w:rPr>
                <w:noProof/>
              </w:rPr>
              <w:t>[24]</w:t>
            </w:r>
          </w:p>
        </w:tc>
      </w:tr>
      <w:tr w:rsidR="00EF4E89" w:rsidRPr="00532F44" w:rsidTr="00EF4E89">
        <w:trPr>
          <w:divId w:val="1548566716"/>
          <w:trHeight w:val="304"/>
        </w:trPr>
        <w:tc>
          <w:tcPr>
            <w:tcW w:w="1951" w:type="dxa"/>
            <w:vMerge w:val="restart"/>
          </w:tcPr>
          <w:p w:rsidR="00EF4E89" w:rsidRPr="00532F44" w:rsidRDefault="00EF4E89" w:rsidP="00EF4E89">
            <w:pPr>
              <w:rPr>
                <w:b/>
              </w:rPr>
            </w:pPr>
            <w:r w:rsidRPr="00532F44">
              <w:rPr>
                <w:b/>
              </w:rPr>
              <w:t>Costs</w:t>
            </w:r>
          </w:p>
        </w:tc>
        <w:tc>
          <w:tcPr>
            <w:tcW w:w="3497" w:type="dxa"/>
          </w:tcPr>
          <w:p w:rsidR="00EF4E89" w:rsidRPr="00532F44" w:rsidRDefault="00EF4E89" w:rsidP="00EF4E89">
            <w:r w:rsidRPr="00532F44">
              <w:t xml:space="preserve">Annual cost of </w:t>
            </w:r>
            <w:proofErr w:type="spellStart"/>
            <w:r w:rsidRPr="00532F44">
              <w:t>dabigatran</w:t>
            </w:r>
            <w:proofErr w:type="spellEnd"/>
          </w:p>
        </w:tc>
        <w:tc>
          <w:tcPr>
            <w:tcW w:w="4299" w:type="dxa"/>
          </w:tcPr>
          <w:p w:rsidR="00EF4E89" w:rsidRPr="00532F44" w:rsidRDefault="00EF4E89" w:rsidP="00EF4E89">
            <w:r w:rsidRPr="00532F44">
              <w:t>£</w:t>
            </w:r>
            <w:r>
              <w:t>920. A fixed cost was assumed.</w:t>
            </w:r>
          </w:p>
        </w:tc>
        <w:tc>
          <w:tcPr>
            <w:tcW w:w="3969" w:type="dxa"/>
          </w:tcPr>
          <w:p w:rsidR="00EF4E89" w:rsidRPr="00532F44" w:rsidRDefault="00EF4E89" w:rsidP="00EF4E89">
            <w:r w:rsidRPr="00532F44">
              <w:t xml:space="preserve">NICE FAD, 2011   </w:t>
            </w:r>
            <w:r w:rsidRPr="00B54241">
              <w:rPr>
                <w:noProof/>
              </w:rPr>
              <w:t>[27]</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t xml:space="preserve">Annual cost of </w:t>
            </w:r>
            <w:proofErr w:type="spellStart"/>
            <w:r>
              <w:t>rivaroxaban</w:t>
            </w:r>
            <w:proofErr w:type="spellEnd"/>
          </w:p>
        </w:tc>
        <w:tc>
          <w:tcPr>
            <w:tcW w:w="4299" w:type="dxa"/>
          </w:tcPr>
          <w:p w:rsidR="00EF4E89" w:rsidRPr="00532F44" w:rsidRDefault="00EF4E89" w:rsidP="00EF4E89">
            <w:r>
              <w:t>£767. A fixed cost was assumed.</w:t>
            </w:r>
          </w:p>
        </w:tc>
        <w:tc>
          <w:tcPr>
            <w:tcW w:w="3969" w:type="dxa"/>
          </w:tcPr>
          <w:p w:rsidR="00EF4E89" w:rsidRPr="00532F44" w:rsidRDefault="00EF4E89" w:rsidP="00EF4E89">
            <w:r>
              <w:t xml:space="preserve">London New Drugs Group </w:t>
            </w:r>
            <w:r w:rsidRPr="00B54241">
              <w:rPr>
                <w:noProof/>
              </w:rPr>
              <w:t>[28]</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Default="00EF4E89" w:rsidP="00EF4E89">
            <w:r>
              <w:t>Annual cost of warfarin</w:t>
            </w:r>
          </w:p>
        </w:tc>
        <w:tc>
          <w:tcPr>
            <w:tcW w:w="4299" w:type="dxa"/>
          </w:tcPr>
          <w:p w:rsidR="00EF4E89" w:rsidRDefault="00EF4E89" w:rsidP="00EF4E89">
            <w:r>
              <w:t>£252 to £259 including monitoring costs. A uniform distribution was assumed.</w:t>
            </w:r>
          </w:p>
        </w:tc>
        <w:tc>
          <w:tcPr>
            <w:tcW w:w="3969" w:type="dxa"/>
          </w:tcPr>
          <w:p w:rsidR="00EF4E89" w:rsidRPr="00532F44" w:rsidRDefault="00EF4E89" w:rsidP="00EF4E89">
            <w:r>
              <w:t xml:space="preserve">BNF </w:t>
            </w:r>
            <w:r w:rsidRPr="00B54241">
              <w:rPr>
                <w:noProof/>
              </w:rPr>
              <w:t>[29]</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621BC9" w:rsidRDefault="00EF4E89" w:rsidP="00EF4E89">
            <w:r w:rsidRPr="00621BC9">
              <w:t>Cost of TTE</w:t>
            </w:r>
          </w:p>
        </w:tc>
        <w:tc>
          <w:tcPr>
            <w:tcW w:w="4299" w:type="dxa"/>
          </w:tcPr>
          <w:p w:rsidR="00EF4E89" w:rsidRPr="00532F44" w:rsidRDefault="00EF4E89" w:rsidP="00EF4E89">
            <w:r w:rsidRPr="00532F44">
              <w:t>£66</w:t>
            </w:r>
          </w:p>
        </w:tc>
        <w:tc>
          <w:tcPr>
            <w:tcW w:w="3969" w:type="dxa"/>
          </w:tcPr>
          <w:p w:rsidR="00EF4E89" w:rsidRPr="00532F44" w:rsidRDefault="00EF4E89" w:rsidP="00EF4E89">
            <w:r w:rsidRPr="00532F44">
              <w:t xml:space="preserve">NHS Reference Costs </w:t>
            </w:r>
            <w:r w:rsidRPr="00B54241">
              <w:rPr>
                <w:noProof/>
              </w:rPr>
              <w:t>[20]</w:t>
            </w:r>
          </w:p>
        </w:tc>
      </w:tr>
      <w:tr w:rsidR="00EF4E89" w:rsidRPr="00532F44" w:rsidTr="00EF4E89">
        <w:trPr>
          <w:divId w:val="1548566716"/>
          <w:trHeight w:val="399"/>
        </w:trPr>
        <w:tc>
          <w:tcPr>
            <w:tcW w:w="1951" w:type="dxa"/>
            <w:vMerge/>
          </w:tcPr>
          <w:p w:rsidR="00EF4E89" w:rsidRPr="00532F44" w:rsidRDefault="00EF4E89" w:rsidP="00EF4E89"/>
        </w:tc>
        <w:tc>
          <w:tcPr>
            <w:tcW w:w="3497" w:type="dxa"/>
          </w:tcPr>
          <w:p w:rsidR="00EF4E89" w:rsidRPr="00532F44" w:rsidRDefault="00EF4E89" w:rsidP="00EF4E89">
            <w:r w:rsidRPr="00532F44">
              <w:t>Cost of death due to stroke</w:t>
            </w:r>
          </w:p>
        </w:tc>
        <w:tc>
          <w:tcPr>
            <w:tcW w:w="4299" w:type="dxa"/>
          </w:tcPr>
          <w:p w:rsidR="00EF4E89" w:rsidRPr="00532F44" w:rsidRDefault="00EF4E89" w:rsidP="00EF4E89">
            <w:r w:rsidRPr="00532F44">
              <w:t xml:space="preserve">£7,019 (95% </w:t>
            </w:r>
            <w:proofErr w:type="spellStart"/>
            <w:r w:rsidRPr="00532F44">
              <w:t>CrI</w:t>
            </w:r>
            <w:proofErr w:type="spellEnd"/>
            <w:r w:rsidRPr="00532F44">
              <w:t xml:space="preserve"> £6,975 to £7,064)</w:t>
            </w:r>
          </w:p>
        </w:tc>
        <w:tc>
          <w:tcPr>
            <w:tcW w:w="3969" w:type="dxa"/>
          </w:tcPr>
          <w:p w:rsidR="00EF4E89" w:rsidRPr="00532F44" w:rsidRDefault="00EF4E89" w:rsidP="00EF4E89">
            <w:proofErr w:type="spellStart"/>
            <w:r w:rsidRPr="00532F44">
              <w:t>Sandercock</w:t>
            </w:r>
            <w:proofErr w:type="spellEnd"/>
            <w:r w:rsidRPr="00532F44">
              <w:t xml:space="preserve"> et al 2002 </w:t>
            </w:r>
            <w:r w:rsidRPr="00B54241">
              <w:rPr>
                <w:noProof/>
              </w:rPr>
              <w:t>[30]</w:t>
            </w:r>
          </w:p>
        </w:tc>
      </w:tr>
      <w:tr w:rsidR="00EF4E89" w:rsidRPr="00532F44" w:rsidTr="00EF4E89">
        <w:trPr>
          <w:divId w:val="1548566716"/>
          <w:trHeight w:val="699"/>
        </w:trPr>
        <w:tc>
          <w:tcPr>
            <w:tcW w:w="1951" w:type="dxa"/>
            <w:vMerge/>
          </w:tcPr>
          <w:p w:rsidR="00EF4E89" w:rsidRPr="00532F44" w:rsidRDefault="00EF4E89" w:rsidP="00EF4E89"/>
        </w:tc>
        <w:tc>
          <w:tcPr>
            <w:tcW w:w="3497" w:type="dxa"/>
          </w:tcPr>
          <w:p w:rsidR="00EF4E89" w:rsidRPr="00532F44" w:rsidRDefault="00EF4E89" w:rsidP="00EF4E89">
            <w:r w:rsidRPr="00532F44">
              <w:t>Costs in stroke survivors</w:t>
            </w:r>
          </w:p>
        </w:tc>
        <w:tc>
          <w:tcPr>
            <w:tcW w:w="4299" w:type="dxa"/>
          </w:tcPr>
          <w:p w:rsidR="00EF4E89" w:rsidRDefault="00EF4E89" w:rsidP="00EF4E89">
            <w:r w:rsidRPr="00532F44">
              <w:t xml:space="preserve">Various. Differing according to dependent and independent states. Subdivided into </w:t>
            </w:r>
            <w:r>
              <w:t xml:space="preserve">one-off </w:t>
            </w:r>
            <w:r w:rsidRPr="00532F44">
              <w:t>and continuing costs</w:t>
            </w:r>
            <w:r>
              <w:t xml:space="preserve">. Estimates (95% </w:t>
            </w:r>
            <w:proofErr w:type="spellStart"/>
            <w:r>
              <w:t>CrIs</w:t>
            </w:r>
            <w:proofErr w:type="spellEnd"/>
            <w:r>
              <w:t>) are as follows:</w:t>
            </w:r>
          </w:p>
          <w:p w:rsidR="00EF4E89" w:rsidRDefault="00EF4E89" w:rsidP="00EF4E89">
            <w:r>
              <w:lastRenderedPageBreak/>
              <w:t>Dependent stroke, one-off costs: £2830 (£2708 to £2952)</w:t>
            </w:r>
          </w:p>
          <w:p w:rsidR="00EF4E89" w:rsidRDefault="00EF4E89" w:rsidP="00EF4E89">
            <w:r>
              <w:t>Dependent stroke, continuing annual cost: £6386 (£5749 to £7023)</w:t>
            </w:r>
          </w:p>
          <w:p w:rsidR="00EF4E89" w:rsidRDefault="00EF4E89" w:rsidP="00EF4E89">
            <w:r>
              <w:t>Independent stroke, one-off costs: £542 (£513 to £571)</w:t>
            </w:r>
          </w:p>
          <w:p w:rsidR="00EF4E89" w:rsidRPr="00532F44" w:rsidRDefault="00EF4E89" w:rsidP="00EF4E89">
            <w:r>
              <w:t>Independent stroke, continuing annual cost: £3195 (£2871 to £3518)</w:t>
            </w:r>
          </w:p>
        </w:tc>
        <w:tc>
          <w:tcPr>
            <w:tcW w:w="3969" w:type="dxa"/>
          </w:tcPr>
          <w:p w:rsidR="00EF4E89" w:rsidRPr="00532F44" w:rsidRDefault="00EF4E89" w:rsidP="00EF4E89">
            <w:r w:rsidRPr="00532F44">
              <w:lastRenderedPageBreak/>
              <w:t xml:space="preserve">NHS Reference Costs </w:t>
            </w:r>
            <w:r w:rsidRPr="00B54241">
              <w:rPr>
                <w:noProof/>
              </w:rPr>
              <w:t>[20]</w:t>
            </w:r>
          </w:p>
          <w:p w:rsidR="00EF4E89" w:rsidRPr="00532F44" w:rsidRDefault="00EF4E89" w:rsidP="00EF4E89">
            <w:r w:rsidRPr="00532F44">
              <w:t xml:space="preserve">NHS Stroke Strategy Impact Assessment  </w:t>
            </w:r>
            <w:r w:rsidRPr="00B54241">
              <w:rPr>
                <w:noProof/>
              </w:rPr>
              <w:t>[31]</w:t>
            </w:r>
          </w:p>
          <w:p w:rsidR="00EF4E89" w:rsidRPr="00532F44" w:rsidRDefault="00EF4E89" w:rsidP="00EF4E89">
            <w:r w:rsidRPr="00532F44">
              <w:t xml:space="preserve">Unit Costs of Health and Social Care 2010 </w:t>
            </w:r>
            <w:r w:rsidRPr="00B54241">
              <w:rPr>
                <w:noProof/>
              </w:rPr>
              <w:t>[32]</w:t>
            </w:r>
          </w:p>
        </w:tc>
      </w:tr>
      <w:tr w:rsidR="00EF4E89" w:rsidRPr="00532F44" w:rsidTr="00EF4E89">
        <w:trPr>
          <w:divId w:val="1548566716"/>
          <w:trHeight w:val="231"/>
        </w:trPr>
        <w:tc>
          <w:tcPr>
            <w:tcW w:w="1951" w:type="dxa"/>
            <w:vMerge/>
          </w:tcPr>
          <w:p w:rsidR="00EF4E89" w:rsidRPr="00532F44" w:rsidRDefault="00EF4E89" w:rsidP="00EF4E89"/>
        </w:tc>
        <w:tc>
          <w:tcPr>
            <w:tcW w:w="3497" w:type="dxa"/>
          </w:tcPr>
          <w:p w:rsidR="00EF4E89" w:rsidRPr="00532F44" w:rsidRDefault="00EF4E89" w:rsidP="00EF4E89">
            <w:r w:rsidRPr="00532F44">
              <w:t>Costs of fatal bleed</w:t>
            </w:r>
          </w:p>
        </w:tc>
        <w:tc>
          <w:tcPr>
            <w:tcW w:w="8268" w:type="dxa"/>
            <w:gridSpan w:val="2"/>
          </w:tcPr>
          <w:p w:rsidR="00EF4E89" w:rsidRPr="00532F44" w:rsidRDefault="00EF4E89" w:rsidP="00EF4E89">
            <w:r w:rsidRPr="00532F44">
              <w:t>Assumed identical to costs of death due to stroke</w:t>
            </w:r>
          </w:p>
        </w:tc>
      </w:tr>
      <w:tr w:rsidR="00EF4E89" w:rsidRPr="00532F44" w:rsidTr="00EF4E89">
        <w:trPr>
          <w:divId w:val="1548566716"/>
          <w:trHeight w:val="122"/>
        </w:trPr>
        <w:tc>
          <w:tcPr>
            <w:tcW w:w="1951" w:type="dxa"/>
            <w:vMerge/>
          </w:tcPr>
          <w:p w:rsidR="00EF4E89" w:rsidRPr="00532F44" w:rsidRDefault="00EF4E89" w:rsidP="00EF4E89"/>
        </w:tc>
        <w:tc>
          <w:tcPr>
            <w:tcW w:w="3497" w:type="dxa"/>
          </w:tcPr>
          <w:p w:rsidR="00EF4E89" w:rsidRPr="00532F44" w:rsidRDefault="00EF4E89" w:rsidP="00EF4E89">
            <w:r w:rsidRPr="00532F44">
              <w:t>Costs of nonfatal bleed</w:t>
            </w:r>
          </w:p>
        </w:tc>
        <w:tc>
          <w:tcPr>
            <w:tcW w:w="4299" w:type="dxa"/>
          </w:tcPr>
          <w:p w:rsidR="00EF4E89" w:rsidRDefault="00EF4E89" w:rsidP="00EF4E89">
            <w:pPr>
              <w:jc w:val="left"/>
            </w:pPr>
            <w:r>
              <w:t xml:space="preserve">Major bleeds subdivided into gastrointestinal (GI) and intracranial (IC). GI bleeds were assumed to incur a one-off cost but no continuing costs. The one-off cost (95% </w:t>
            </w:r>
            <w:proofErr w:type="spellStart"/>
            <w:r>
              <w:t>CrI</w:t>
            </w:r>
            <w:proofErr w:type="spellEnd"/>
            <w:r>
              <w:t>) was £1261 (£1212 to £1310).</w:t>
            </w:r>
          </w:p>
          <w:p w:rsidR="00EF4E89" w:rsidRDefault="00EF4E89" w:rsidP="00EF4E89">
            <w:pPr>
              <w:jc w:val="left"/>
            </w:pPr>
            <w:r>
              <w:t xml:space="preserve">For IC bleeds, the costs depended on the Glasgow Outcome Scale (GOS) level of disability that they cause, from GOS 2 (most severe) to GOS 5 (least severe). </w:t>
            </w:r>
          </w:p>
          <w:p w:rsidR="00EF4E89" w:rsidRDefault="00EF4E89" w:rsidP="00EF4E89">
            <w:pPr>
              <w:jc w:val="left"/>
            </w:pPr>
            <w:r>
              <w:t xml:space="preserve">The one-off costs (95% </w:t>
            </w:r>
            <w:proofErr w:type="spellStart"/>
            <w:r>
              <w:t>CrIs</w:t>
            </w:r>
            <w:proofErr w:type="spellEnd"/>
            <w:r>
              <w:t>) used were as follows:</w:t>
            </w:r>
          </w:p>
          <w:p w:rsidR="00EF4E89" w:rsidRDefault="00EF4E89" w:rsidP="00EF4E89">
            <w:pPr>
              <w:jc w:val="left"/>
            </w:pPr>
            <w:r>
              <w:t>GOS 2: £46785 (£40895 to £53250)</w:t>
            </w:r>
          </w:p>
          <w:p w:rsidR="00EF4E89" w:rsidRDefault="00EF4E89" w:rsidP="00EF4E89">
            <w:pPr>
              <w:jc w:val="left"/>
            </w:pPr>
            <w:r>
              <w:t>GOS 3: £10096 (£8849 to £11363)</w:t>
            </w:r>
          </w:p>
          <w:p w:rsidR="00EF4E89" w:rsidRDefault="00EF4E89" w:rsidP="00EF4E89">
            <w:pPr>
              <w:jc w:val="left"/>
            </w:pPr>
            <w:r>
              <w:t>GOS 4: £27419 (£22582 to £32964)</w:t>
            </w:r>
          </w:p>
          <w:p w:rsidR="00EF4E89" w:rsidRDefault="00EF4E89" w:rsidP="00EF4E89">
            <w:pPr>
              <w:jc w:val="left"/>
            </w:pPr>
            <w:r>
              <w:t>GOS 5: £1261 (£1211 to £1309)</w:t>
            </w:r>
          </w:p>
          <w:p w:rsidR="00EF4E89" w:rsidRDefault="00EF4E89" w:rsidP="00EF4E89">
            <w:pPr>
              <w:jc w:val="left"/>
            </w:pPr>
          </w:p>
          <w:p w:rsidR="00EF4E89" w:rsidRDefault="00EF4E89" w:rsidP="00EF4E89">
            <w:pPr>
              <w:jc w:val="left"/>
            </w:pPr>
            <w:r>
              <w:lastRenderedPageBreak/>
              <w:t xml:space="preserve">GOS 4 and GOS 5 states were assumed not to have ongoing costs. The ongoing annual costs (95% </w:t>
            </w:r>
            <w:proofErr w:type="spellStart"/>
            <w:r>
              <w:t>CrIs</w:t>
            </w:r>
            <w:proofErr w:type="spellEnd"/>
            <w:r>
              <w:t>) of the other states were as follows:</w:t>
            </w:r>
          </w:p>
          <w:p w:rsidR="00EF4E89" w:rsidRDefault="00EF4E89" w:rsidP="00EF4E89">
            <w:pPr>
              <w:jc w:val="left"/>
            </w:pPr>
            <w:r>
              <w:t>GOS 2: £50047 (£49645 to £50343)</w:t>
            </w:r>
          </w:p>
          <w:p w:rsidR="00EF4E89" w:rsidRPr="00532F44" w:rsidRDefault="00EF4E89" w:rsidP="00EF4E89">
            <w:pPr>
              <w:jc w:val="left"/>
            </w:pPr>
            <w:r>
              <w:t>GOS 3: £33949 (£33843 to £33969)</w:t>
            </w:r>
          </w:p>
        </w:tc>
        <w:tc>
          <w:tcPr>
            <w:tcW w:w="3969" w:type="dxa"/>
          </w:tcPr>
          <w:p w:rsidR="00EF4E89" w:rsidRPr="00532F44" w:rsidRDefault="00EF4E89" w:rsidP="00EF4E89">
            <w:pPr>
              <w:keepNext/>
            </w:pPr>
            <w:r w:rsidRPr="00532F44">
              <w:lastRenderedPageBreak/>
              <w:t xml:space="preserve">NHS Reference Costs </w:t>
            </w:r>
            <w:r w:rsidRPr="00B54241">
              <w:rPr>
                <w:noProof/>
              </w:rPr>
              <w:t>[20]</w:t>
            </w:r>
          </w:p>
          <w:p w:rsidR="00EF4E89" w:rsidRPr="00532F44" w:rsidRDefault="00EF4E89" w:rsidP="00EF4E89">
            <w:pPr>
              <w:keepNext/>
            </w:pPr>
          </w:p>
        </w:tc>
      </w:tr>
    </w:tbl>
    <w:p w:rsidR="00EF4E89" w:rsidRPr="00EF4E89" w:rsidRDefault="00EF4E89" w:rsidP="00EF4E89">
      <w:pPr>
        <w:pStyle w:val="Caption"/>
        <w:divId w:val="1548566716"/>
      </w:pPr>
      <w:bookmarkStart w:id="13" w:name="_Ref349918428"/>
      <w:r>
        <w:lastRenderedPageBreak/>
        <w:t xml:space="preserve">Table </w:t>
      </w:r>
      <w:r w:rsidR="00AE22BA">
        <w:rPr>
          <w:noProof/>
        </w:rPr>
        <w:t>5</w:t>
      </w:r>
      <w:bookmarkEnd w:id="13"/>
      <w:r>
        <w:t xml:space="preserve"> Parameters used in model</w:t>
      </w:r>
    </w:p>
    <w:p w:rsidR="00EF4E89" w:rsidRDefault="00EF4E89" w:rsidP="00EF4E89">
      <w:pPr>
        <w:pStyle w:val="Heading2"/>
        <w:numPr>
          <w:ilvl w:val="0"/>
          <w:numId w:val="0"/>
        </w:numPr>
        <w:divId w:val="1548566716"/>
        <w:rPr>
          <w:lang w:val="en-GB"/>
        </w:rPr>
      </w:pPr>
    </w:p>
    <w:p w:rsidR="00EF4E89" w:rsidRDefault="00EF4E89" w:rsidP="00EF4E89">
      <w:pPr>
        <w:pStyle w:val="Heading2"/>
        <w:numPr>
          <w:ilvl w:val="0"/>
          <w:numId w:val="0"/>
        </w:numPr>
        <w:divId w:val="1548566716"/>
        <w:rPr>
          <w:lang w:val="en-GB"/>
        </w:rPr>
        <w:sectPr w:rsidR="00EF4E89" w:rsidSect="00EF4E89">
          <w:pgSz w:w="16838" w:h="11906" w:orient="landscape"/>
          <w:pgMar w:top="1440" w:right="1440" w:bottom="1440" w:left="1440" w:header="709" w:footer="709" w:gutter="0"/>
          <w:cols w:space="708"/>
          <w:docGrid w:linePitch="360"/>
        </w:sectPr>
      </w:pPr>
    </w:p>
    <w:p w:rsidR="00EF4E89" w:rsidRPr="0031099C" w:rsidRDefault="00C2196C" w:rsidP="00EF4E89">
      <w:pPr>
        <w:pStyle w:val="Heading2"/>
        <w:numPr>
          <w:ilvl w:val="0"/>
          <w:numId w:val="0"/>
        </w:numPr>
        <w:divId w:val="1548566716"/>
        <w:rPr>
          <w:lang w:val="en-GB"/>
        </w:rPr>
      </w:pPr>
      <w:r>
        <w:rPr>
          <w:lang w:val="en-GB"/>
        </w:rPr>
        <w:lastRenderedPageBreak/>
        <w:t xml:space="preserve">Appendix </w:t>
      </w:r>
      <w:r w:rsidR="00EF4E89">
        <w:rPr>
          <w:lang w:val="en-GB"/>
        </w:rPr>
        <w:t xml:space="preserve">B: </w:t>
      </w:r>
      <w:r w:rsidR="00EF4E89" w:rsidRPr="0031099C">
        <w:rPr>
          <w:lang w:val="en-GB"/>
        </w:rPr>
        <w:t>Sensitivity and Specificity tables</w:t>
      </w:r>
    </w:p>
    <w:tbl>
      <w:tblPr>
        <w:tblStyle w:val="TableGrid"/>
        <w:tblW w:w="0" w:type="auto"/>
        <w:tblLook w:val="04A0" w:firstRow="1" w:lastRow="0" w:firstColumn="1" w:lastColumn="0" w:noHBand="0" w:noVBand="1"/>
      </w:tblPr>
      <w:tblGrid>
        <w:gridCol w:w="7905"/>
        <w:gridCol w:w="141"/>
        <w:gridCol w:w="1196"/>
      </w:tblGrid>
      <w:tr w:rsidR="004B4D95" w:rsidRPr="0031099C" w:rsidTr="006E20FD">
        <w:trPr>
          <w:gridAfter w:val="2"/>
          <w:divId w:val="1548566716"/>
          <w:wAfter w:w="1337" w:type="dxa"/>
        </w:trPr>
        <w:tc>
          <w:tcPr>
            <w:tcW w:w="7905" w:type="dxa"/>
          </w:tcPr>
          <w:tbl>
            <w:tblPr>
              <w:tblW w:w="0" w:type="auto"/>
              <w:tblInd w:w="93" w:type="dxa"/>
              <w:tblLook w:val="04A0" w:firstRow="1" w:lastRow="0" w:firstColumn="1" w:lastColumn="0" w:noHBand="0" w:noVBand="1"/>
            </w:tblPr>
            <w:tblGrid>
              <w:gridCol w:w="556"/>
              <w:gridCol w:w="557"/>
              <w:gridCol w:w="391"/>
              <w:gridCol w:w="554"/>
              <w:gridCol w:w="554"/>
              <w:gridCol w:w="554"/>
              <w:gridCol w:w="554"/>
              <w:gridCol w:w="554"/>
              <w:gridCol w:w="610"/>
              <w:gridCol w:w="702"/>
              <w:gridCol w:w="702"/>
              <w:gridCol w:w="702"/>
              <w:gridCol w:w="552"/>
            </w:tblGrid>
            <w:tr w:rsidR="004B4D95" w:rsidRPr="0031099C" w:rsidTr="006E20FD">
              <w:trPr>
                <w:trHeight w:val="329"/>
              </w:trPr>
              <w:tc>
                <w:tcPr>
                  <w:tcW w:w="1113"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W_50</w:t>
                  </w:r>
                </w:p>
              </w:tc>
              <w:tc>
                <w:tcPr>
                  <w:tcW w:w="642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29"/>
              </w:trPr>
              <w:tc>
                <w:tcPr>
                  <w:tcW w:w="1113"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65.6</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4B4D95" w:rsidRPr="0031099C" w:rsidTr="006E20FD">
              <w:trPr>
                <w:trHeight w:val="329"/>
              </w:trPr>
              <w:tc>
                <w:tcPr>
                  <w:tcW w:w="556"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9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40.2</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16.0</w:t>
                  </w:r>
                </w:p>
              </w:tc>
              <w:tc>
                <w:tcPr>
                  <w:tcW w:w="70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bl>
          <w:p w:rsidR="006E20FD" w:rsidRPr="0031099C" w:rsidRDefault="006E20FD" w:rsidP="006E20FD">
            <w:pPr>
              <w:jc w:val="center"/>
            </w:pPr>
          </w:p>
        </w:tc>
      </w:tr>
      <w:tr w:rsidR="006E20FD" w:rsidRPr="0031099C" w:rsidTr="006E20FD">
        <w:trPr>
          <w:gridAfter w:val="2"/>
          <w:divId w:val="1548566716"/>
          <w:wAfter w:w="1337" w:type="dxa"/>
        </w:trPr>
        <w:tc>
          <w:tcPr>
            <w:tcW w:w="7905" w:type="dxa"/>
          </w:tcPr>
          <w:p w:rsidR="006E20FD" w:rsidRPr="0031099C" w:rsidRDefault="006E20FD" w:rsidP="006E20FD">
            <w:pPr>
              <w:pStyle w:val="ListParagraph"/>
              <w:numPr>
                <w:ilvl w:val="0"/>
                <w:numId w:val="17"/>
              </w:numPr>
              <w:spacing w:line="240" w:lineRule="auto"/>
              <w:jc w:val="center"/>
            </w:pPr>
            <w:r w:rsidRPr="0031099C">
              <w:t>W_50_0_M</w:t>
            </w:r>
          </w:p>
        </w:tc>
      </w:tr>
      <w:tr w:rsidR="006E20FD" w:rsidRPr="0031099C" w:rsidTr="006E20FD">
        <w:trPr>
          <w:gridAfter w:val="2"/>
          <w:divId w:val="1548566716"/>
          <w:wAfter w:w="1337" w:type="dxa"/>
          <w:trHeight w:val="274"/>
        </w:trPr>
        <w:tc>
          <w:tcPr>
            <w:tcW w:w="7905" w:type="dxa"/>
          </w:tcPr>
          <w:tbl>
            <w:tblPr>
              <w:tblW w:w="7414" w:type="dxa"/>
              <w:tblInd w:w="93" w:type="dxa"/>
              <w:tblLook w:val="04A0" w:firstRow="1" w:lastRow="0" w:firstColumn="1" w:lastColumn="0" w:noHBand="0" w:noVBand="1"/>
            </w:tblPr>
            <w:tblGrid>
              <w:gridCol w:w="519"/>
              <w:gridCol w:w="519"/>
              <w:gridCol w:w="365"/>
              <w:gridCol w:w="517"/>
              <w:gridCol w:w="570"/>
              <w:gridCol w:w="630"/>
              <w:gridCol w:w="630"/>
              <w:gridCol w:w="630"/>
              <w:gridCol w:w="630"/>
              <w:gridCol w:w="630"/>
              <w:gridCol w:w="630"/>
              <w:gridCol w:w="630"/>
              <w:gridCol w:w="514"/>
            </w:tblGrid>
            <w:tr w:rsidR="004B4D95" w:rsidRPr="0031099C" w:rsidTr="006E20FD">
              <w:trPr>
                <w:trHeight w:val="305"/>
              </w:trPr>
              <w:tc>
                <w:tcPr>
                  <w:tcW w:w="1038"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3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4B4D95" w:rsidRPr="0031099C" w:rsidTr="006E20FD">
              <w:trPr>
                <w:trHeight w:val="305"/>
              </w:trPr>
              <w:tc>
                <w:tcPr>
                  <w:tcW w:w="1038"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4B4D95" w:rsidRPr="0031099C" w:rsidTr="006E20FD">
              <w:trPr>
                <w:trHeight w:val="305"/>
              </w:trPr>
              <w:tc>
                <w:tcPr>
                  <w:tcW w:w="519"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13.9</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11.8</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22.6</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r w:rsidR="004B4D95" w:rsidRPr="0031099C" w:rsidTr="006E20FD">
              <w:trPr>
                <w:trHeight w:val="305"/>
              </w:trPr>
              <w:tc>
                <w:tcPr>
                  <w:tcW w:w="519"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6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7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69.3</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3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4"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bl>
          <w:p w:rsidR="006E20FD" w:rsidRPr="0031099C" w:rsidRDefault="006E20FD" w:rsidP="006E20FD">
            <w:pPr>
              <w:pStyle w:val="ListParagraph"/>
              <w:numPr>
                <w:ilvl w:val="0"/>
                <w:numId w:val="17"/>
              </w:numPr>
              <w:spacing w:line="240" w:lineRule="auto"/>
              <w:jc w:val="center"/>
            </w:pPr>
            <w:r w:rsidRPr="0031099C">
              <w:t>W_65_0_M</w:t>
            </w:r>
          </w:p>
        </w:tc>
      </w:tr>
      <w:tr w:rsidR="006E20FD" w:rsidRPr="0031099C" w:rsidTr="006E20FD">
        <w:trPr>
          <w:gridAfter w:val="1"/>
          <w:divId w:val="1548566716"/>
          <w:wAfter w:w="1196" w:type="dxa"/>
        </w:trPr>
        <w:tc>
          <w:tcPr>
            <w:tcW w:w="8046" w:type="dxa"/>
            <w:gridSpan w:val="2"/>
          </w:tcPr>
          <w:tbl>
            <w:tblPr>
              <w:tblW w:w="7449" w:type="dxa"/>
              <w:tblInd w:w="93" w:type="dxa"/>
              <w:tblLook w:val="04A0" w:firstRow="1" w:lastRow="0" w:firstColumn="1" w:lastColumn="0" w:noHBand="0" w:noVBand="1"/>
            </w:tblPr>
            <w:tblGrid>
              <w:gridCol w:w="500"/>
              <w:gridCol w:w="500"/>
              <w:gridCol w:w="549"/>
              <w:gridCol w:w="549"/>
              <w:gridCol w:w="607"/>
              <w:gridCol w:w="607"/>
              <w:gridCol w:w="607"/>
              <w:gridCol w:w="607"/>
              <w:gridCol w:w="607"/>
              <w:gridCol w:w="607"/>
              <w:gridCol w:w="607"/>
              <w:gridCol w:w="607"/>
              <w:gridCol w:w="495"/>
            </w:tblGrid>
            <w:tr w:rsidR="00DE6F42"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W_65</w:t>
                  </w:r>
                </w:p>
              </w:tc>
              <w:tc>
                <w:tcPr>
                  <w:tcW w:w="644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Specificity</w:t>
                  </w:r>
                </w:p>
              </w:tc>
            </w:tr>
            <w:tr w:rsidR="00DE6F42"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E6F42"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4B4D95"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DE6F42"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4B4D95"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E6F42"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4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6E20FD" w:rsidRPr="0031099C" w:rsidRDefault="006E20FD" w:rsidP="006E20FD">
            <w:pPr>
              <w:jc w:val="center"/>
            </w:pPr>
          </w:p>
        </w:tc>
      </w:tr>
      <w:tr w:rsidR="006E20FD" w:rsidRPr="0031099C" w:rsidTr="006E20FD">
        <w:trPr>
          <w:gridAfter w:val="1"/>
          <w:divId w:val="1548566716"/>
          <w:wAfter w:w="1196" w:type="dxa"/>
          <w:trHeight w:val="151"/>
        </w:trPr>
        <w:tc>
          <w:tcPr>
            <w:tcW w:w="8046" w:type="dxa"/>
            <w:gridSpan w:val="2"/>
          </w:tcPr>
          <w:p w:rsidR="006E20FD" w:rsidRPr="0031099C" w:rsidRDefault="006E20FD" w:rsidP="006E20FD">
            <w:pPr>
              <w:pStyle w:val="ListParagraph"/>
              <w:numPr>
                <w:ilvl w:val="0"/>
                <w:numId w:val="17"/>
              </w:numPr>
              <w:spacing w:line="240" w:lineRule="auto"/>
              <w:jc w:val="center"/>
            </w:pPr>
            <w:r w:rsidRPr="0031099C">
              <w:t>W_65_0_F</w:t>
            </w:r>
          </w:p>
        </w:tc>
      </w:tr>
      <w:tr w:rsidR="006E20FD" w:rsidRPr="0031099C" w:rsidTr="006E20FD">
        <w:trPr>
          <w:gridAfter w:val="1"/>
          <w:divId w:val="1548566716"/>
          <w:wAfter w:w="1196" w:type="dxa"/>
          <w:trHeight w:val="117"/>
        </w:trPr>
        <w:tc>
          <w:tcPr>
            <w:tcW w:w="8046" w:type="dxa"/>
            <w:gridSpan w:val="2"/>
          </w:tcPr>
          <w:tbl>
            <w:tblPr>
              <w:tblW w:w="7520" w:type="dxa"/>
              <w:tblInd w:w="93" w:type="dxa"/>
              <w:tblLook w:val="04A0" w:firstRow="1" w:lastRow="0" w:firstColumn="1" w:lastColumn="0" w:noHBand="0" w:noVBand="1"/>
            </w:tblPr>
            <w:tblGrid>
              <w:gridCol w:w="551"/>
              <w:gridCol w:w="551"/>
              <w:gridCol w:w="388"/>
              <w:gridCol w:w="548"/>
              <w:gridCol w:w="548"/>
              <w:gridCol w:w="548"/>
              <w:gridCol w:w="548"/>
              <w:gridCol w:w="548"/>
              <w:gridCol w:w="686"/>
              <w:gridCol w:w="686"/>
              <w:gridCol w:w="686"/>
              <w:gridCol w:w="686"/>
              <w:gridCol w:w="547"/>
            </w:tblGrid>
            <w:tr w:rsidR="006E20FD" w:rsidRPr="0031099C" w:rsidTr="006E20FD">
              <w:trPr>
                <w:trHeight w:val="306"/>
              </w:trPr>
              <w:tc>
                <w:tcPr>
                  <w:tcW w:w="1101"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lastRenderedPageBreak/>
                    <w:br w:type="page"/>
                  </w:r>
                  <w:r w:rsidRPr="0031099C">
                    <w:rPr>
                      <w:rFonts w:ascii="Calibri" w:eastAsia="Times New Roman" w:hAnsi="Calibri" w:cs="Calibri"/>
                      <w:b/>
                      <w:bCs/>
                      <w:i/>
                      <w:iCs/>
                      <w:lang w:eastAsia="en-GB"/>
                    </w:rPr>
                    <w:t>R_50</w:t>
                  </w:r>
                </w:p>
              </w:tc>
              <w:tc>
                <w:tcPr>
                  <w:tcW w:w="6419"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6"/>
              </w:trPr>
              <w:tc>
                <w:tcPr>
                  <w:tcW w:w="1101"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6"/>
              </w:trPr>
              <w:tc>
                <w:tcPr>
                  <w:tcW w:w="55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38.2</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82.0</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54.8</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17.7</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w:t>
                  </w:r>
                </w:p>
              </w:tc>
            </w:tr>
            <w:tr w:rsidR="006E20FD" w:rsidRPr="0031099C" w:rsidTr="006E20FD">
              <w:trPr>
                <w:trHeight w:val="306"/>
              </w:trPr>
              <w:tc>
                <w:tcPr>
                  <w:tcW w:w="551"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4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25.5</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8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w:t>
                  </w:r>
                </w:p>
              </w:tc>
              <w:tc>
                <w:tcPr>
                  <w:tcW w:w="54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bl>
          <w:p w:rsidR="006E20FD" w:rsidRPr="0031099C" w:rsidRDefault="006E20FD" w:rsidP="006E20FD">
            <w:pPr>
              <w:jc w:val="center"/>
            </w:pPr>
          </w:p>
        </w:tc>
      </w:tr>
      <w:tr w:rsidR="006E20FD" w:rsidRPr="0031099C" w:rsidTr="006E20FD">
        <w:trPr>
          <w:gridAfter w:val="1"/>
          <w:divId w:val="1548566716"/>
          <w:wAfter w:w="1196" w:type="dxa"/>
          <w:trHeight w:val="118"/>
        </w:trPr>
        <w:tc>
          <w:tcPr>
            <w:tcW w:w="8046" w:type="dxa"/>
            <w:gridSpan w:val="2"/>
          </w:tcPr>
          <w:p w:rsidR="006E20FD" w:rsidRPr="0031099C" w:rsidRDefault="006E20FD" w:rsidP="006E20FD">
            <w:pPr>
              <w:pStyle w:val="ListParagraph"/>
              <w:numPr>
                <w:ilvl w:val="0"/>
                <w:numId w:val="17"/>
              </w:numPr>
              <w:spacing w:line="240" w:lineRule="auto"/>
              <w:jc w:val="center"/>
            </w:pPr>
            <w:r w:rsidRPr="0031099C">
              <w:t>R_50_0_M</w:t>
            </w:r>
          </w:p>
        </w:tc>
      </w:tr>
      <w:tr w:rsidR="006E20FD" w:rsidRPr="0031099C" w:rsidTr="006E20FD">
        <w:trPr>
          <w:divId w:val="1548566716"/>
          <w:trHeight w:val="117"/>
        </w:trPr>
        <w:tc>
          <w:tcPr>
            <w:tcW w:w="9242" w:type="dxa"/>
            <w:gridSpan w:val="3"/>
          </w:tcPr>
          <w:tbl>
            <w:tblPr>
              <w:tblW w:w="7541" w:type="dxa"/>
              <w:tblInd w:w="93" w:type="dxa"/>
              <w:tblLook w:val="04A0" w:firstRow="1" w:lastRow="0" w:firstColumn="1" w:lastColumn="0" w:noHBand="0" w:noVBand="1"/>
            </w:tblPr>
            <w:tblGrid>
              <w:gridCol w:w="552"/>
              <w:gridCol w:w="552"/>
              <w:gridCol w:w="389"/>
              <w:gridCol w:w="550"/>
              <w:gridCol w:w="550"/>
              <w:gridCol w:w="550"/>
              <w:gridCol w:w="550"/>
              <w:gridCol w:w="550"/>
              <w:gridCol w:w="688"/>
              <w:gridCol w:w="688"/>
              <w:gridCol w:w="688"/>
              <w:gridCol w:w="688"/>
              <w:gridCol w:w="546"/>
            </w:tblGrid>
            <w:tr w:rsidR="006E20FD" w:rsidRPr="0031099C" w:rsidTr="006E20FD">
              <w:trPr>
                <w:trHeight w:val="316"/>
              </w:trPr>
              <w:tc>
                <w:tcPr>
                  <w:tcW w:w="110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R_50</w:t>
                  </w:r>
                </w:p>
              </w:tc>
              <w:tc>
                <w:tcPr>
                  <w:tcW w:w="6437"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16"/>
              </w:trPr>
              <w:tc>
                <w:tcPr>
                  <w:tcW w:w="1104"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16"/>
              </w:trPr>
              <w:tc>
                <w:tcPr>
                  <w:tcW w:w="55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35.2</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19.1</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63.0</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8.3</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32.2</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6E20FD" w:rsidRPr="0031099C" w:rsidTr="006E20FD">
              <w:trPr>
                <w:trHeight w:val="316"/>
              </w:trPr>
              <w:tc>
                <w:tcPr>
                  <w:tcW w:w="552"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5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389"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D</w:t>
                  </w:r>
                </w:p>
              </w:tc>
              <w:tc>
                <w:tcPr>
                  <w:tcW w:w="55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60.7</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24.8</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12.9</w:t>
                  </w:r>
                </w:p>
              </w:tc>
              <w:tc>
                <w:tcPr>
                  <w:tcW w:w="68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54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bl>
          <w:p w:rsidR="006E20FD" w:rsidRPr="0031099C" w:rsidRDefault="006E20FD" w:rsidP="006E20FD">
            <w:pPr>
              <w:jc w:val="center"/>
            </w:pPr>
          </w:p>
        </w:tc>
      </w:tr>
      <w:tr w:rsidR="006E20FD" w:rsidRPr="0031099C" w:rsidTr="006E20FD">
        <w:trPr>
          <w:divId w:val="1548566716"/>
          <w:trHeight w:val="118"/>
        </w:trPr>
        <w:tc>
          <w:tcPr>
            <w:tcW w:w="9242" w:type="dxa"/>
            <w:gridSpan w:val="3"/>
          </w:tcPr>
          <w:p w:rsidR="006E20FD" w:rsidRPr="0031099C" w:rsidRDefault="006E20FD" w:rsidP="006E20FD">
            <w:pPr>
              <w:pStyle w:val="ListParagraph"/>
              <w:numPr>
                <w:ilvl w:val="0"/>
                <w:numId w:val="17"/>
              </w:numPr>
              <w:spacing w:line="240" w:lineRule="auto"/>
              <w:jc w:val="center"/>
            </w:pPr>
            <w:r w:rsidRPr="0031099C">
              <w:t>R_50_0_F</w:t>
            </w:r>
          </w:p>
        </w:tc>
      </w:tr>
      <w:tr w:rsidR="006E20FD" w:rsidRPr="0031099C" w:rsidTr="006E20FD">
        <w:trPr>
          <w:divId w:val="1548566716"/>
          <w:trHeight w:val="134"/>
        </w:trPr>
        <w:tc>
          <w:tcPr>
            <w:tcW w:w="9242" w:type="dxa"/>
            <w:gridSpan w:val="3"/>
          </w:tcPr>
          <w:tbl>
            <w:tblPr>
              <w:tblW w:w="7558" w:type="dxa"/>
              <w:tblInd w:w="93" w:type="dxa"/>
              <w:tblLook w:val="04A0" w:firstRow="1" w:lastRow="0" w:firstColumn="1" w:lastColumn="0" w:noHBand="0" w:noVBand="1"/>
            </w:tblPr>
            <w:tblGrid>
              <w:gridCol w:w="503"/>
              <w:gridCol w:w="504"/>
              <w:gridCol w:w="553"/>
              <w:gridCol w:w="611"/>
              <w:gridCol w:w="611"/>
              <w:gridCol w:w="611"/>
              <w:gridCol w:w="611"/>
              <w:gridCol w:w="611"/>
              <w:gridCol w:w="611"/>
              <w:gridCol w:w="611"/>
              <w:gridCol w:w="611"/>
              <w:gridCol w:w="611"/>
              <w:gridCol w:w="499"/>
            </w:tblGrid>
            <w:tr w:rsidR="006E20FD" w:rsidRPr="0031099C" w:rsidTr="006E20FD">
              <w:trPr>
                <w:trHeight w:val="305"/>
              </w:trPr>
              <w:tc>
                <w:tcPr>
                  <w:tcW w:w="100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R_65</w:t>
                  </w:r>
                </w:p>
              </w:tc>
              <w:tc>
                <w:tcPr>
                  <w:tcW w:w="6551"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5"/>
              </w:trPr>
              <w:tc>
                <w:tcPr>
                  <w:tcW w:w="100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5"/>
              </w:trPr>
              <w:tc>
                <w:tcPr>
                  <w:tcW w:w="50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43.2</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18.1</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5"/>
              </w:trPr>
              <w:tc>
                <w:tcPr>
                  <w:tcW w:w="50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5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47.7</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30.6</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21.0</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w:t>
                  </w:r>
                </w:p>
              </w:tc>
              <w:tc>
                <w:tcPr>
                  <w:tcW w:w="611"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c>
                <w:tcPr>
                  <w:tcW w:w="49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bl>
          <w:p w:rsidR="006E20FD" w:rsidRPr="0031099C" w:rsidRDefault="006E20FD" w:rsidP="006E20FD">
            <w:pPr>
              <w:jc w:val="center"/>
            </w:pPr>
          </w:p>
        </w:tc>
      </w:tr>
      <w:tr w:rsidR="006E20FD" w:rsidRPr="0031099C" w:rsidTr="006E20FD">
        <w:trPr>
          <w:divId w:val="1548566716"/>
          <w:trHeight w:val="134"/>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R_65_0_M</w:t>
            </w:r>
          </w:p>
        </w:tc>
      </w:tr>
      <w:tr w:rsidR="00C2196C" w:rsidRPr="0031099C" w:rsidTr="006E20FD">
        <w:trPr>
          <w:divId w:val="1548566716"/>
          <w:trHeight w:val="134"/>
        </w:trPr>
        <w:tc>
          <w:tcPr>
            <w:tcW w:w="9242" w:type="dxa"/>
            <w:gridSpan w:val="3"/>
          </w:tcPr>
          <w:p w:rsidR="00C2196C" w:rsidRDefault="00C2196C" w:rsidP="00C2196C">
            <w:pPr>
              <w:pStyle w:val="ListParagraph"/>
              <w:spacing w:line="240" w:lineRule="auto"/>
            </w:pPr>
          </w:p>
          <w:p w:rsidR="00C2196C" w:rsidRPr="0031099C" w:rsidRDefault="00C2196C" w:rsidP="00C2196C">
            <w:pPr>
              <w:pStyle w:val="ListParagraph"/>
              <w:spacing w:line="240" w:lineRule="auto"/>
            </w:pPr>
          </w:p>
        </w:tc>
      </w:tr>
      <w:tr w:rsidR="006E20FD" w:rsidRPr="0031099C" w:rsidTr="006E20FD">
        <w:trPr>
          <w:divId w:val="1548566716"/>
          <w:trHeight w:val="118"/>
        </w:trPr>
        <w:tc>
          <w:tcPr>
            <w:tcW w:w="9242" w:type="dxa"/>
            <w:gridSpan w:val="3"/>
          </w:tcPr>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6E20FD" w:rsidRPr="0031099C" w:rsidTr="006E20FD">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lastRenderedPageBreak/>
                    <w:t>R_65</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6E20FD" w:rsidRPr="0031099C" w:rsidTr="006E20FD">
              <w:trPr>
                <w:trHeight w:val="307"/>
              </w:trPr>
              <w:tc>
                <w:tcPr>
                  <w:tcW w:w="513"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R_65_0_F</w:t>
            </w:r>
          </w:p>
        </w:tc>
      </w:tr>
      <w:tr w:rsidR="006E20FD" w:rsidRPr="0031099C" w:rsidTr="006E20FD">
        <w:trPr>
          <w:divId w:val="1548566716"/>
          <w:trHeight w:val="118"/>
        </w:trPr>
        <w:tc>
          <w:tcPr>
            <w:tcW w:w="9242" w:type="dxa"/>
            <w:gridSpan w:val="3"/>
          </w:tcPr>
          <w:p w:rsidR="006E20FD" w:rsidRPr="0031099C" w:rsidRDefault="006E20FD" w:rsidP="006E20FD">
            <w:r w:rsidRPr="0031099C">
              <w:br w:type="page"/>
            </w:r>
          </w:p>
          <w:tbl>
            <w:tblPr>
              <w:tblW w:w="7565"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6565"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0_M</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12.8</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32.0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5.5</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66.5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2.7</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22.9</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13.8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23.4</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14.8</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11.7</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607"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w:t>
                  </w:r>
                </w:p>
              </w:tc>
              <w:tc>
                <w:tcPr>
                  <w:tcW w:w="495"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D_65_0_M</w:t>
            </w:r>
          </w:p>
        </w:tc>
      </w:tr>
      <w:tr w:rsidR="006E20FD" w:rsidRPr="0031099C" w:rsidTr="006E20FD">
        <w:trPr>
          <w:divId w:val="1548566716"/>
          <w:trHeight w:val="118"/>
        </w:trPr>
        <w:tc>
          <w:tcPr>
            <w:tcW w:w="9242" w:type="dxa"/>
            <w:gridSpan w:val="3"/>
          </w:tcPr>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6E20FD" w:rsidRPr="0031099C" w:rsidTr="006E20FD">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D_65</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r>
            <w:tr w:rsidR="006E20FD" w:rsidRPr="0031099C" w:rsidTr="006E20FD">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6E20FD" w:rsidRPr="0031099C" w:rsidRDefault="006E20FD" w:rsidP="006E20FD">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0_F</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6E20FD" w:rsidRPr="0031099C" w:rsidTr="006E20FD">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6E20FD" w:rsidRPr="0031099C" w:rsidTr="006E20FD">
              <w:trPr>
                <w:trHeight w:val="300"/>
              </w:trPr>
              <w:tc>
                <w:tcPr>
                  <w:tcW w:w="500" w:type="dxa"/>
                  <w:vMerge/>
                  <w:tcBorders>
                    <w:top w:val="nil"/>
                    <w:left w:val="single" w:sz="4" w:space="0" w:color="auto"/>
                    <w:bottom w:val="single" w:sz="4" w:space="0" w:color="auto"/>
                    <w:right w:val="single" w:sz="4" w:space="0" w:color="auto"/>
                  </w:tcBorders>
                  <w:vAlign w:val="center"/>
                  <w:hideMark/>
                </w:tcPr>
                <w:p w:rsidR="006E20FD" w:rsidRPr="0031099C" w:rsidRDefault="006E20FD" w:rsidP="006E20FD">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6E20FD" w:rsidRPr="0031099C" w:rsidRDefault="006E20FD" w:rsidP="006E20FD">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6E20FD" w:rsidRPr="0031099C" w:rsidRDefault="006E20FD" w:rsidP="006E20FD">
            <w:pPr>
              <w:jc w:val="center"/>
            </w:pPr>
          </w:p>
        </w:tc>
      </w:tr>
      <w:tr w:rsidR="006E20FD" w:rsidRPr="0031099C" w:rsidTr="006E20FD">
        <w:trPr>
          <w:divId w:val="1548566716"/>
          <w:trHeight w:val="117"/>
        </w:trPr>
        <w:tc>
          <w:tcPr>
            <w:tcW w:w="9242" w:type="dxa"/>
            <w:gridSpan w:val="3"/>
          </w:tcPr>
          <w:p w:rsidR="006E20FD" w:rsidRPr="0031099C" w:rsidRDefault="006E20FD" w:rsidP="006E20FD">
            <w:pPr>
              <w:pStyle w:val="ListParagraph"/>
              <w:numPr>
                <w:ilvl w:val="0"/>
                <w:numId w:val="17"/>
              </w:numPr>
              <w:spacing w:line="240" w:lineRule="auto"/>
              <w:jc w:val="center"/>
            </w:pPr>
            <w:r w:rsidRPr="0031099C">
              <w:t>D_65_0_F</w:t>
            </w:r>
          </w:p>
        </w:tc>
      </w:tr>
    </w:tbl>
    <w:p w:rsidR="00EF4E89" w:rsidRDefault="00C2196C" w:rsidP="00C2196C">
      <w:pPr>
        <w:pStyle w:val="Caption"/>
      </w:pPr>
      <w:proofErr w:type="gramStart"/>
      <w:r>
        <w:t xml:space="preserve">Table </w:t>
      </w:r>
      <w:r w:rsidR="00AE22BA">
        <w:rPr>
          <w:noProof/>
        </w:rPr>
        <w:t>6</w:t>
      </w:r>
      <w:r>
        <w:t xml:space="preserve"> Effect of assumed sensitivity and specificity of device on estimated cost effectiveness.</w:t>
      </w:r>
      <w:proofErr w:type="gramEnd"/>
      <w:r>
        <w:t xml:space="preserve"> D: </w:t>
      </w:r>
      <w:proofErr w:type="spellStart"/>
      <w:r>
        <w:t>dabigatran</w:t>
      </w:r>
      <w:proofErr w:type="spellEnd"/>
      <w:r>
        <w:t xml:space="preserve">; W: Warfarin; R: </w:t>
      </w:r>
      <w:proofErr w:type="spellStart"/>
      <w:r>
        <w:t>rivaroxaban</w:t>
      </w:r>
      <w:proofErr w:type="spellEnd"/>
      <w:r>
        <w:t>; M: Male; F: Female; 65: 65 years old; 50: 50 years old</w:t>
      </w:r>
    </w:p>
    <w:p w:rsidR="00C2196C" w:rsidRPr="0031099C" w:rsidRDefault="00C2196C">
      <w:pPr>
        <w:spacing w:line="276" w:lineRule="auto"/>
        <w:jc w:val="left"/>
        <w:rPr>
          <w:lang w:val="en-GB"/>
        </w:rPr>
        <w:sectPr w:rsidR="00C2196C" w:rsidRPr="0031099C" w:rsidSect="00EF4E89">
          <w:pgSz w:w="11906" w:h="16838"/>
          <w:pgMar w:top="1440" w:right="1440" w:bottom="1440" w:left="1440" w:header="709" w:footer="709" w:gutter="0"/>
          <w:cols w:space="708"/>
          <w:docGrid w:linePitch="360"/>
        </w:sectPr>
      </w:pPr>
    </w:p>
    <w:tbl>
      <w:tblPr>
        <w:tblStyle w:val="TableGrid"/>
        <w:tblpPr w:leftFromText="180" w:rightFromText="180" w:horzAnchor="margin" w:tblpY="780"/>
        <w:tblW w:w="13396" w:type="dxa"/>
        <w:tblLook w:val="04A0" w:firstRow="1" w:lastRow="0" w:firstColumn="1" w:lastColumn="0" w:noHBand="0" w:noVBand="1"/>
      </w:tblPr>
      <w:tblGrid>
        <w:gridCol w:w="1254"/>
        <w:gridCol w:w="2812"/>
        <w:gridCol w:w="1418"/>
        <w:gridCol w:w="992"/>
        <w:gridCol w:w="851"/>
        <w:gridCol w:w="850"/>
        <w:gridCol w:w="832"/>
        <w:gridCol w:w="1143"/>
        <w:gridCol w:w="1285"/>
        <w:gridCol w:w="851"/>
        <w:gridCol w:w="1108"/>
      </w:tblGrid>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C2196C" w:rsidRPr="0031099C" w:rsidRDefault="00C2196C" w:rsidP="00C2196C">
            <w:pPr>
              <w:rPr>
                <w:rFonts w:ascii="Times New Roman" w:eastAsia="Times New Roman" w:hAnsi="Times New Roman"/>
              </w:rPr>
            </w:pPr>
          </w:p>
        </w:tc>
        <w:tc>
          <w:tcPr>
            <w:tcW w:w="281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rPr>
            </w:pPr>
          </w:p>
        </w:tc>
        <w:tc>
          <w:tcPr>
            <w:tcW w:w="2533" w:type="dxa"/>
            <w:gridSpan w:val="3"/>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Cause of Death (%)</w:t>
            </w:r>
          </w:p>
        </w:tc>
        <w:tc>
          <w:tcPr>
            <w:tcW w:w="4387" w:type="dxa"/>
            <w:gridSpan w:val="4"/>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jc w:val="center"/>
              <w:rPr>
                <w:rFonts w:ascii="Times New Roman" w:eastAsia="Times New Roman" w:hAnsi="Times New Roman"/>
                <w:b/>
                <w:i/>
              </w:rPr>
            </w:pPr>
            <w:r w:rsidRPr="0031099C">
              <w:rPr>
                <w:b/>
                <w:i/>
              </w:rPr>
              <w:t>Average Number of Events</w:t>
            </w:r>
          </w:p>
        </w:tc>
      </w:tr>
      <w:tr w:rsidR="00770134" w:rsidRPr="0031099C" w:rsidTr="00C2196C">
        <w:trPr>
          <w:divId w:val="1548566716"/>
        </w:trPr>
        <w:tc>
          <w:tcPr>
            <w:tcW w:w="1254"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rFonts w:ascii="Times New Roman" w:eastAsia="Times New Roman" w:hAnsi="Times New Roman"/>
                <w:b/>
                <w:i/>
              </w:rPr>
            </w:pPr>
            <w:r>
              <w:rPr>
                <w:rFonts w:ascii="Times New Roman" w:eastAsia="Times New Roman" w:hAnsi="Times New Roman"/>
                <w:b/>
                <w:i/>
              </w:rPr>
              <w:t>OAC</w:t>
            </w:r>
          </w:p>
        </w:tc>
        <w:tc>
          <w:tcPr>
            <w:tcW w:w="2812" w:type="dxa"/>
            <w:tcBorders>
              <w:top w:val="single" w:sz="4" w:space="0" w:color="auto"/>
              <w:left w:val="single" w:sz="4" w:space="0" w:color="auto"/>
              <w:bottom w:val="single" w:sz="4" w:space="0" w:color="auto"/>
              <w:right w:val="single" w:sz="4" w:space="0" w:color="auto"/>
            </w:tcBorders>
          </w:tcPr>
          <w:p w:rsidR="00770134" w:rsidRPr="00770134" w:rsidRDefault="00770134" w:rsidP="00C2196C">
            <w:pPr>
              <w:rPr>
                <w:b/>
                <w:i/>
              </w:rPr>
            </w:pPr>
            <w:r w:rsidRPr="00770134">
              <w:rPr>
                <w:rFonts w:ascii="Times New Roman" w:eastAsia="Times New Roman" w:hAnsi="Times New Roman"/>
                <w:b/>
                <w:i/>
              </w:rPr>
              <w:t>Patient population</w:t>
            </w:r>
            <w:r>
              <w:rPr>
                <w:rStyle w:val="FootnoteReference"/>
                <w:rFonts w:ascii="Times New Roman" w:eastAsia="Times New Roman" w:hAnsi="Times New Roman"/>
                <w:b/>
                <w:i/>
              </w:rPr>
              <w:footnoteReference w:id="2"/>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i/>
              </w:rPr>
            </w:pPr>
            <w:r w:rsidRPr="0031099C">
              <w:rPr>
                <w:b/>
                <w:i/>
              </w:rPr>
              <w:t>Strategy</w:t>
            </w:r>
          </w:p>
        </w:tc>
        <w:tc>
          <w:tcPr>
            <w:tcW w:w="99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Life Years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Stroke</w:t>
            </w:r>
          </w:p>
        </w:tc>
        <w:tc>
          <w:tcPr>
            <w:tcW w:w="850"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Bleed</w:t>
            </w:r>
          </w:p>
        </w:tc>
        <w:tc>
          <w:tcPr>
            <w:tcW w:w="832"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Other</w:t>
            </w:r>
          </w:p>
        </w:tc>
        <w:tc>
          <w:tcPr>
            <w:tcW w:w="1143"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Dependent Strokes</w:t>
            </w:r>
          </w:p>
        </w:tc>
        <w:tc>
          <w:tcPr>
            <w:tcW w:w="1285"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Independent Strokes</w:t>
            </w:r>
          </w:p>
        </w:tc>
        <w:tc>
          <w:tcPr>
            <w:tcW w:w="851"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ICH</w:t>
            </w:r>
          </w:p>
        </w:tc>
        <w:tc>
          <w:tcPr>
            <w:tcW w:w="110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NICH</w:t>
            </w:r>
          </w:p>
        </w:tc>
      </w:tr>
      <w:tr w:rsidR="00770134" w:rsidRPr="0031099C" w:rsidTr="00C2196C">
        <w:trPr>
          <w:divId w:val="1548566716"/>
        </w:trPr>
        <w:tc>
          <w:tcPr>
            <w:tcW w:w="1254" w:type="dxa"/>
            <w:vMerge w:val="restart"/>
            <w:tcBorders>
              <w:top w:val="single" w:sz="4" w:space="0" w:color="auto"/>
              <w:left w:val="single" w:sz="4" w:space="0" w:color="auto"/>
              <w:right w:val="single" w:sz="4" w:space="0" w:color="auto"/>
            </w:tcBorders>
            <w:vAlign w:val="center"/>
          </w:tcPr>
          <w:p w:rsidR="00770134" w:rsidRDefault="00770134" w:rsidP="00C2196C">
            <w:pPr>
              <w:jc w:val="center"/>
              <w:rPr>
                <w:b/>
              </w:rPr>
            </w:pPr>
            <w:r>
              <w:rPr>
                <w:b/>
              </w:rPr>
              <w:t>Warfarin</w:t>
            </w:r>
          </w:p>
        </w:tc>
        <w:tc>
          <w:tcPr>
            <w:tcW w:w="2812" w:type="dxa"/>
            <w:vMerge w:val="restart"/>
            <w:tcBorders>
              <w:top w:val="single" w:sz="4" w:space="0" w:color="auto"/>
              <w:left w:val="single" w:sz="4" w:space="0" w:color="auto"/>
              <w:right w:val="single" w:sz="4" w:space="0" w:color="auto"/>
            </w:tcBorders>
            <w:vAlign w:val="center"/>
          </w:tcPr>
          <w:p w:rsidR="00770134" w:rsidRPr="0031099C"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28.840</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87.1</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0.120</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0.242</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hideMark/>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28.928</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87.4</w:t>
            </w:r>
          </w:p>
        </w:tc>
        <w:tc>
          <w:tcPr>
            <w:tcW w:w="1143"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0.111</w:t>
            </w:r>
          </w:p>
        </w:tc>
        <w:tc>
          <w:tcPr>
            <w:tcW w:w="1285"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hideMark/>
          </w:tcPr>
          <w:p w:rsidR="00770134" w:rsidRPr="0031099C" w:rsidRDefault="00770134" w:rsidP="00C2196C">
            <w:pPr>
              <w:jc w:val="right"/>
              <w:rPr>
                <w:rFonts w:ascii="Times New Roman" w:eastAsia="Times New Roman" w:hAnsi="Times New Roman"/>
              </w:rPr>
            </w:pPr>
            <w:r w:rsidRPr="0031099C">
              <w:t>0.112</w:t>
            </w:r>
          </w:p>
        </w:tc>
      </w:tr>
      <w:tr w:rsidR="00770134" w:rsidRPr="0031099C" w:rsidTr="00C2196C">
        <w:trPr>
          <w:divId w:val="1548566716"/>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31.633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84.9</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0.139</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0.278</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Pr>
        <w:tc>
          <w:tcPr>
            <w:tcW w:w="1254" w:type="dxa"/>
            <w:vMerge/>
            <w:tcBorders>
              <w:left w:val="single" w:sz="4" w:space="0" w:color="auto"/>
              <w:right w:val="single" w:sz="4" w:space="0" w:color="auto"/>
            </w:tcBorders>
          </w:tcPr>
          <w:p w:rsidR="00770134" w:rsidRPr="0031099C"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Pr="0031099C"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31.734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770134" w:rsidRPr="0031099C" w:rsidTr="00C2196C">
        <w:trPr>
          <w:divId w:val="1548566716"/>
          <w:trHeight w:val="329"/>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Pr="0031099C" w:rsidRDefault="00770134"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17.131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0.087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0.192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0.052</w:t>
            </w:r>
          </w:p>
        </w:tc>
      </w:tr>
      <w:tr w:rsidR="00770134" w:rsidRPr="0031099C" w:rsidTr="00C2196C">
        <w:trPr>
          <w:divId w:val="1548566716"/>
          <w:trHeight w:val="235"/>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17.204</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8.0</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90.7</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0.079</w:t>
            </w:r>
          </w:p>
        </w:tc>
      </w:tr>
      <w:tr w:rsidR="00770134" w:rsidRPr="0031099C" w:rsidTr="00C2196C">
        <w:trPr>
          <w:divId w:val="1548566716"/>
          <w:trHeight w:val="20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19.447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88.3</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0.105</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0.225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0.065</w:t>
            </w:r>
          </w:p>
        </w:tc>
      </w:tr>
      <w:tr w:rsidR="00770134" w:rsidRPr="0031099C" w:rsidTr="00C2196C">
        <w:trPr>
          <w:divId w:val="1548566716"/>
          <w:trHeight w:val="167"/>
        </w:trPr>
        <w:tc>
          <w:tcPr>
            <w:tcW w:w="1254" w:type="dxa"/>
            <w:vMerge/>
            <w:tcBorders>
              <w:left w:val="single" w:sz="4" w:space="0" w:color="auto"/>
              <w:bottom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19.531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9.6</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88.8</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0.205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0.095</w:t>
            </w:r>
          </w:p>
        </w:tc>
      </w:tr>
      <w:tr w:rsidR="00770134" w:rsidRPr="0031099C" w:rsidTr="00C2196C">
        <w:trPr>
          <w:divId w:val="1548566716"/>
          <w:trHeight w:val="351"/>
        </w:trPr>
        <w:tc>
          <w:tcPr>
            <w:tcW w:w="1254" w:type="dxa"/>
            <w:vMerge w:val="restart"/>
            <w:tcBorders>
              <w:left w:val="single" w:sz="4" w:space="0" w:color="auto"/>
              <w:right w:val="single" w:sz="4" w:space="0" w:color="auto"/>
            </w:tcBorders>
            <w:vAlign w:val="center"/>
          </w:tcPr>
          <w:p w:rsidR="00770134" w:rsidRDefault="00770134" w:rsidP="00C2196C">
            <w:pPr>
              <w:jc w:val="center"/>
              <w:rPr>
                <w:b/>
              </w:rPr>
            </w:pPr>
            <w:proofErr w:type="spellStart"/>
            <w:r>
              <w:rPr>
                <w:b/>
              </w:rPr>
              <w:t>Rivaroxaban</w:t>
            </w:r>
            <w:proofErr w:type="spellEnd"/>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28.861</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11.5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87.2</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0.239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0.075</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28.963</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1.8</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87.6</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0.108</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0.219</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0.014</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0.113</w:t>
            </w:r>
          </w:p>
        </w:tc>
      </w:tr>
      <w:tr w:rsidR="00770134" w:rsidRPr="0031099C" w:rsidTr="00C2196C">
        <w:trPr>
          <w:divId w:val="1548566716"/>
          <w:trHeight w:val="351"/>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val="restart"/>
            <w:tcBorders>
              <w:left w:val="single" w:sz="4" w:space="0" w:color="auto"/>
              <w:right w:val="single" w:sz="4" w:space="0" w:color="auto"/>
            </w:tcBorders>
            <w:vAlign w:val="center"/>
          </w:tcPr>
          <w:p w:rsidR="00770134" w:rsidRDefault="00770134" w:rsidP="00C2196C">
            <w:pPr>
              <w:jc w:val="center"/>
              <w:rPr>
                <w:b/>
              </w:rPr>
            </w:pPr>
            <w:r>
              <w:rPr>
                <w:b/>
              </w:rPr>
              <w:t>Female, 50 years old</w:t>
            </w: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31.657</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13.3</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85.1</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0.136</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0.275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0.091</w:t>
            </w:r>
          </w:p>
        </w:tc>
      </w:tr>
      <w:tr w:rsidR="00770134" w:rsidRPr="0031099C" w:rsidTr="00C2196C">
        <w:trPr>
          <w:divId w:val="1548566716"/>
          <w:trHeight w:val="364"/>
        </w:trPr>
        <w:tc>
          <w:tcPr>
            <w:tcW w:w="1254" w:type="dxa"/>
            <w:vMerge/>
            <w:tcBorders>
              <w:left w:val="single" w:sz="4" w:space="0" w:color="auto"/>
              <w:right w:val="single" w:sz="4" w:space="0" w:color="auto"/>
            </w:tcBorders>
          </w:tcPr>
          <w:p w:rsidR="00770134" w:rsidRDefault="00770134" w:rsidP="00C2196C">
            <w:pPr>
              <w:rPr>
                <w:b/>
              </w:rPr>
            </w:pPr>
          </w:p>
        </w:tc>
        <w:tc>
          <w:tcPr>
            <w:tcW w:w="2812" w:type="dxa"/>
            <w:vMerge/>
            <w:tcBorders>
              <w:left w:val="single" w:sz="4" w:space="0" w:color="auto"/>
              <w:bottom w:val="single" w:sz="4" w:space="0" w:color="auto"/>
              <w:right w:val="single" w:sz="4" w:space="0" w:color="auto"/>
            </w:tcBorders>
          </w:tcPr>
          <w:p w:rsidR="00770134" w:rsidRDefault="00770134"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770134" w:rsidRPr="0031099C" w:rsidRDefault="00770134"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31.772</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12.4</w:t>
            </w:r>
          </w:p>
        </w:tc>
        <w:tc>
          <w:tcPr>
            <w:tcW w:w="850"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2.1</w:t>
            </w:r>
          </w:p>
        </w:tc>
        <w:tc>
          <w:tcPr>
            <w:tcW w:w="832"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85.5</w:t>
            </w:r>
          </w:p>
        </w:tc>
        <w:tc>
          <w:tcPr>
            <w:tcW w:w="1143"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0.127</w:t>
            </w:r>
          </w:p>
        </w:tc>
        <w:tc>
          <w:tcPr>
            <w:tcW w:w="1285"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0.255</w:t>
            </w:r>
          </w:p>
        </w:tc>
        <w:tc>
          <w:tcPr>
            <w:tcW w:w="851"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0.017</w:t>
            </w:r>
          </w:p>
        </w:tc>
        <w:tc>
          <w:tcPr>
            <w:tcW w:w="1108" w:type="dxa"/>
            <w:tcBorders>
              <w:top w:val="single" w:sz="4" w:space="0" w:color="auto"/>
              <w:left w:val="single" w:sz="4" w:space="0" w:color="auto"/>
              <w:bottom w:val="single" w:sz="4" w:space="0" w:color="auto"/>
              <w:right w:val="single" w:sz="4" w:space="0" w:color="auto"/>
            </w:tcBorders>
            <w:vAlign w:val="bottom"/>
          </w:tcPr>
          <w:p w:rsidR="00770134" w:rsidRPr="0031099C" w:rsidRDefault="00770134" w:rsidP="00C2196C">
            <w:pPr>
              <w:jc w:val="right"/>
              <w:rPr>
                <w:rFonts w:ascii="Times New Roman" w:eastAsia="Times New Roman" w:hAnsi="Times New Roman"/>
              </w:rPr>
            </w:pPr>
            <w:r w:rsidRPr="0031099C">
              <w:t>0.130</w:t>
            </w:r>
          </w:p>
        </w:tc>
      </w:tr>
      <w:tr w:rsidR="00421B11" w:rsidRPr="0031099C" w:rsidTr="00C2196C">
        <w:trPr>
          <w:divId w:val="1548566716"/>
          <w:trHeight w:val="330"/>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17.141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90.3</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0.085</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0.190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0.052</w:t>
            </w:r>
          </w:p>
        </w:tc>
      </w:tr>
      <w:tr w:rsidR="00421B11" w:rsidRPr="0031099C" w:rsidTr="00C2196C">
        <w:trPr>
          <w:divId w:val="1548566716"/>
          <w:trHeight w:val="385"/>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17.221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7.8</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90.9</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0.076</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0.169</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0.080</w:t>
            </w:r>
          </w:p>
        </w:tc>
      </w:tr>
      <w:tr w:rsidR="00421B11" w:rsidRPr="0031099C" w:rsidTr="00C2196C">
        <w:trPr>
          <w:divId w:val="1548566716"/>
          <w:trHeight w:val="201"/>
        </w:trPr>
        <w:tc>
          <w:tcPr>
            <w:tcW w:w="1254" w:type="dxa"/>
            <w:vMerge/>
            <w:tcBorders>
              <w:left w:val="single" w:sz="4" w:space="0" w:color="auto"/>
              <w:right w:val="single" w:sz="4" w:space="0" w:color="auto"/>
            </w:tcBorders>
          </w:tcPr>
          <w:p w:rsidR="00421B11" w:rsidRDefault="00421B11" w:rsidP="00C2196C">
            <w:pPr>
              <w:rPr>
                <w:b/>
              </w:rPr>
            </w:pPr>
          </w:p>
        </w:tc>
        <w:tc>
          <w:tcPr>
            <w:tcW w:w="2812" w:type="dxa"/>
            <w:vMerge w:val="restart"/>
            <w:tcBorders>
              <w:left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19.460</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10.5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1.1</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88.4</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0.103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0.223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0.009</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0.066</w:t>
            </w:r>
          </w:p>
        </w:tc>
      </w:tr>
      <w:tr w:rsidR="00421B11" w:rsidRPr="0031099C" w:rsidTr="00C2196C">
        <w:trPr>
          <w:divId w:val="1548566716"/>
          <w:trHeight w:val="299"/>
        </w:trPr>
        <w:tc>
          <w:tcPr>
            <w:tcW w:w="1254" w:type="dxa"/>
            <w:vMerge/>
            <w:tcBorders>
              <w:left w:val="single" w:sz="4" w:space="0" w:color="auto"/>
              <w:bottom w:val="single" w:sz="4" w:space="0" w:color="auto"/>
              <w:right w:val="single" w:sz="4" w:space="0" w:color="auto"/>
            </w:tcBorders>
          </w:tcPr>
          <w:p w:rsidR="00421B11" w:rsidRDefault="00421B11" w:rsidP="00C2196C">
            <w:pPr>
              <w:rPr>
                <w:b/>
              </w:rPr>
            </w:pPr>
          </w:p>
        </w:tc>
        <w:tc>
          <w:tcPr>
            <w:tcW w:w="2812" w:type="dxa"/>
            <w:vMerge/>
            <w:tcBorders>
              <w:left w:val="single" w:sz="4" w:space="0" w:color="auto"/>
              <w:bottom w:val="single" w:sz="4" w:space="0" w:color="auto"/>
              <w:right w:val="single" w:sz="4" w:space="0" w:color="auto"/>
            </w:tcBorders>
          </w:tcPr>
          <w:p w:rsidR="00421B11" w:rsidRDefault="00421B11" w:rsidP="00C2196C">
            <w:pPr>
              <w:rPr>
                <w:b/>
              </w:rPr>
            </w:pP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19.554</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9.4</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1.6</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89.0</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0.093</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0.201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0.012</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0.096</w:t>
            </w:r>
          </w:p>
        </w:tc>
      </w:tr>
      <w:tr w:rsidR="00421B11" w:rsidRPr="0031099C" w:rsidTr="00C2196C">
        <w:trPr>
          <w:divId w:val="1548566716"/>
          <w:trHeight w:val="201"/>
        </w:trPr>
        <w:tc>
          <w:tcPr>
            <w:tcW w:w="1254" w:type="dxa"/>
            <w:vMerge w:val="restart"/>
            <w:tcBorders>
              <w:top w:val="nil"/>
              <w:left w:val="single" w:sz="4" w:space="0" w:color="auto"/>
              <w:right w:val="single" w:sz="4" w:space="0" w:color="auto"/>
            </w:tcBorders>
          </w:tcPr>
          <w:p w:rsidR="00421B11" w:rsidRDefault="00421B11" w:rsidP="00C2196C">
            <w:pPr>
              <w:rPr>
                <w:b/>
              </w:rPr>
            </w:pPr>
            <w:proofErr w:type="spellStart"/>
            <w:r>
              <w:rPr>
                <w:b/>
              </w:rPr>
              <w:t>Dabigatran</w:t>
            </w:r>
            <w:proofErr w:type="spellEnd"/>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Without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17.158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8.6</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0.9</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90.5</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0.188</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0.007</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0.053</w:t>
            </w:r>
          </w:p>
        </w:tc>
      </w:tr>
      <w:tr w:rsidR="00421B11" w:rsidRPr="0031099C" w:rsidTr="00C2196C">
        <w:trPr>
          <w:divId w:val="1548566716"/>
          <w:trHeight w:val="184"/>
        </w:trPr>
        <w:tc>
          <w:tcPr>
            <w:tcW w:w="1254" w:type="dxa"/>
            <w:vMerge/>
            <w:tcBorders>
              <w:top w:val="nil"/>
              <w:left w:val="single" w:sz="4" w:space="0" w:color="auto"/>
              <w:bottom w:val="single" w:sz="4" w:space="0" w:color="auto"/>
              <w:right w:val="single" w:sz="4" w:space="0" w:color="auto"/>
            </w:tcBorders>
          </w:tcPr>
          <w:p w:rsidR="00421B11" w:rsidRDefault="00421B11" w:rsidP="00C2196C">
            <w:pPr>
              <w:rPr>
                <w:b/>
              </w:rPr>
            </w:pPr>
          </w:p>
        </w:tc>
        <w:tc>
          <w:tcPr>
            <w:tcW w:w="2812" w:type="dxa"/>
            <w:tcBorders>
              <w:left w:val="single" w:sz="4" w:space="0" w:color="auto"/>
              <w:bottom w:val="single" w:sz="4" w:space="0" w:color="auto"/>
              <w:right w:val="single" w:sz="4" w:space="0" w:color="auto"/>
            </w:tcBorders>
            <w:vAlign w:val="center"/>
          </w:tcPr>
          <w:p w:rsidR="00421B11" w:rsidRDefault="00421B11" w:rsidP="00C2196C">
            <w:pPr>
              <w:jc w:val="center"/>
              <w:rPr>
                <w:b/>
              </w:rPr>
            </w:pPr>
            <w:r>
              <w:rPr>
                <w:b/>
              </w:rPr>
              <w:t>Female, 65 years old</w:t>
            </w:r>
          </w:p>
        </w:tc>
        <w:tc>
          <w:tcPr>
            <w:tcW w:w="1418" w:type="dxa"/>
            <w:tcBorders>
              <w:top w:val="single" w:sz="4" w:space="0" w:color="auto"/>
              <w:left w:val="single" w:sz="4" w:space="0" w:color="auto"/>
              <w:bottom w:val="single" w:sz="4" w:space="0" w:color="auto"/>
              <w:right w:val="single" w:sz="4" w:space="0" w:color="auto"/>
            </w:tcBorders>
          </w:tcPr>
          <w:p w:rsidR="00421B11" w:rsidRPr="0031099C" w:rsidRDefault="00421B11" w:rsidP="00C2196C">
            <w:pPr>
              <w:rPr>
                <w:rFonts w:ascii="Times New Roman" w:eastAsia="Times New Roman" w:hAnsi="Times New Roman"/>
                <w:b/>
              </w:rPr>
            </w:pPr>
            <w:r w:rsidRPr="0031099C">
              <w:rPr>
                <w:b/>
              </w:rPr>
              <w:t>With TTE</w:t>
            </w:r>
          </w:p>
        </w:tc>
        <w:tc>
          <w:tcPr>
            <w:tcW w:w="99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17.251</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7.5</w:t>
            </w:r>
          </w:p>
        </w:tc>
        <w:tc>
          <w:tcPr>
            <w:tcW w:w="850"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1.3</w:t>
            </w:r>
          </w:p>
        </w:tc>
        <w:tc>
          <w:tcPr>
            <w:tcW w:w="832"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91.2</w:t>
            </w:r>
          </w:p>
        </w:tc>
        <w:tc>
          <w:tcPr>
            <w:tcW w:w="1143"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0.072</w:t>
            </w:r>
          </w:p>
        </w:tc>
        <w:tc>
          <w:tcPr>
            <w:tcW w:w="1285"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0.163</w:t>
            </w:r>
          </w:p>
        </w:tc>
        <w:tc>
          <w:tcPr>
            <w:tcW w:w="851"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0.010</w:t>
            </w:r>
          </w:p>
        </w:tc>
        <w:tc>
          <w:tcPr>
            <w:tcW w:w="1108" w:type="dxa"/>
            <w:tcBorders>
              <w:top w:val="single" w:sz="4" w:space="0" w:color="auto"/>
              <w:left w:val="single" w:sz="4" w:space="0" w:color="auto"/>
              <w:bottom w:val="single" w:sz="4" w:space="0" w:color="auto"/>
              <w:right w:val="single" w:sz="4" w:space="0" w:color="auto"/>
            </w:tcBorders>
            <w:vAlign w:val="bottom"/>
          </w:tcPr>
          <w:p w:rsidR="00421B11" w:rsidRPr="0031099C" w:rsidRDefault="00421B11" w:rsidP="00C2196C">
            <w:pPr>
              <w:jc w:val="right"/>
              <w:rPr>
                <w:rFonts w:ascii="Times New Roman" w:eastAsia="Times New Roman" w:hAnsi="Times New Roman"/>
              </w:rPr>
            </w:pPr>
            <w:r w:rsidRPr="0031099C">
              <w:t>0.081</w:t>
            </w:r>
          </w:p>
        </w:tc>
      </w:tr>
    </w:tbl>
    <w:p w:rsidR="00421B11" w:rsidRDefault="00C2196C" w:rsidP="00C2196C">
      <w:pPr>
        <w:pStyle w:val="Heading2"/>
        <w:numPr>
          <w:ilvl w:val="0"/>
          <w:numId w:val="0"/>
        </w:numPr>
        <w:divId w:val="1548566716"/>
      </w:pPr>
      <w:r>
        <w:t>Appendix C: Simulated clinical outcomes</w:t>
      </w: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p>
    <w:p w:rsidR="00C2196C" w:rsidRDefault="00C2196C">
      <w:pPr>
        <w:spacing w:line="276" w:lineRule="auto"/>
        <w:jc w:val="left"/>
      </w:pPr>
      <w:r>
        <w:lastRenderedPageBreak/>
        <w:br w:type="page"/>
      </w:r>
    </w:p>
    <w:p w:rsidR="006E20FD" w:rsidRPr="0031099C" w:rsidRDefault="00C2196C" w:rsidP="00C2196C">
      <w:pPr>
        <w:pStyle w:val="Heading2"/>
        <w:numPr>
          <w:ilvl w:val="0"/>
          <w:numId w:val="0"/>
        </w:numPr>
        <w:divId w:val="1548566716"/>
      </w:pPr>
      <w:r>
        <w:lastRenderedPageBreak/>
        <w:t xml:space="preserve">Appendix D: Scatterplots of estimated difference in costs and health outcomes </w:t>
      </w:r>
      <w:r w:rsidR="004628AD">
        <w:t>from probabilistic sensitivity analysis</w:t>
      </w:r>
    </w:p>
    <w:tbl>
      <w:tblPr>
        <w:tblStyle w:val="TableGrid"/>
        <w:tblW w:w="0" w:type="auto"/>
        <w:tblLook w:val="04A0" w:firstRow="1" w:lastRow="0" w:firstColumn="1" w:lastColumn="0" w:noHBand="0" w:noVBand="1"/>
      </w:tblPr>
      <w:tblGrid>
        <w:gridCol w:w="7087"/>
        <w:gridCol w:w="7087"/>
      </w:tblGrid>
      <w:tr w:rsidR="0046051B" w:rsidRPr="0031099C" w:rsidTr="006E20FD">
        <w:trPr>
          <w:divId w:val="1548566716"/>
          <w:trHeight w:val="5519"/>
        </w:trPr>
        <w:tc>
          <w:tcPr>
            <w:tcW w:w="7087" w:type="dxa"/>
          </w:tcPr>
          <w:p w:rsidR="006E20FD" w:rsidRPr="0031099C" w:rsidRDefault="009F5199" w:rsidP="006E20FD">
            <w:r>
              <w:rPr>
                <w:noProof/>
                <w:lang w:val="en-GB" w:eastAsia="en-GB"/>
              </w:rPr>
              <w:drawing>
                <wp:inline distT="0" distB="0" distL="0" distR="0" wp14:anchorId="49511DBF" wp14:editId="47EEF20B">
                  <wp:extent cx="4146698" cy="4146698"/>
                  <wp:effectExtent l="0" t="0" r="0" b="0"/>
                  <wp:docPr id="4" name="Picture 4" descr="X:\BMJ Echo AF Manuscript\S8\scatter_W_50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MJ Echo AF Manuscript\S8\scatter_W_50_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645" cy="4146645"/>
                          </a:xfrm>
                          <a:prstGeom prst="rect">
                            <a:avLst/>
                          </a:prstGeom>
                          <a:noFill/>
                          <a:ln>
                            <a:noFill/>
                          </a:ln>
                        </pic:spPr>
                      </pic:pic>
                    </a:graphicData>
                  </a:graphic>
                </wp:inline>
              </w:drawing>
            </w:r>
          </w:p>
        </w:tc>
        <w:tc>
          <w:tcPr>
            <w:tcW w:w="7087" w:type="dxa"/>
          </w:tcPr>
          <w:p w:rsidR="006E20FD" w:rsidRPr="0031099C" w:rsidRDefault="009F5199" w:rsidP="006E20FD">
            <w:r>
              <w:rPr>
                <w:noProof/>
                <w:lang w:val="en-GB" w:eastAsia="en-GB"/>
              </w:rPr>
              <w:drawing>
                <wp:inline distT="0" distB="0" distL="0" distR="0" wp14:anchorId="34C858AD" wp14:editId="04FEC609">
                  <wp:extent cx="4125433" cy="4125433"/>
                  <wp:effectExtent l="0" t="0" r="0" b="0"/>
                  <wp:docPr id="3" name="Picture 3" descr="X:\BMJ Echo AF Manuscript\S8\scatter_W_50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MJ Echo AF Manuscript\S8\scatter_W_50_F.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380" cy="4125380"/>
                          </a:xfrm>
                          <a:prstGeom prst="rect">
                            <a:avLst/>
                          </a:prstGeom>
                          <a:noFill/>
                          <a:ln>
                            <a:noFill/>
                          </a:ln>
                        </pic:spPr>
                      </pic:pic>
                    </a:graphicData>
                  </a:graphic>
                </wp:inline>
              </w:drawing>
            </w:r>
          </w:p>
        </w:tc>
      </w:tr>
      <w:tr w:rsidR="0031099C" w:rsidRPr="0031099C" w:rsidTr="006E20FD">
        <w:trPr>
          <w:divId w:val="1548566716"/>
        </w:trPr>
        <w:tc>
          <w:tcPr>
            <w:tcW w:w="7087" w:type="dxa"/>
          </w:tcPr>
          <w:p w:rsidR="006E20FD" w:rsidRPr="0031099C" w:rsidRDefault="006E20FD" w:rsidP="009F5199">
            <w:r w:rsidRPr="0031099C">
              <w:t xml:space="preserve">a ) </w:t>
            </w:r>
            <w:r w:rsidR="008A3090">
              <w:t>Warfarin, 50 years old, male</w:t>
            </w:r>
            <w:r w:rsidR="009F5199">
              <w:t>s</w:t>
            </w:r>
          </w:p>
        </w:tc>
        <w:tc>
          <w:tcPr>
            <w:tcW w:w="7087" w:type="dxa"/>
          </w:tcPr>
          <w:p w:rsidR="006E20FD" w:rsidRPr="0031099C" w:rsidRDefault="006E20FD" w:rsidP="009F5199">
            <w:r w:rsidRPr="0031099C">
              <w:t xml:space="preserve">b) </w:t>
            </w:r>
            <w:r w:rsidR="009F5199">
              <w:t>Warfarin, 50 years old, females</w:t>
            </w:r>
          </w:p>
        </w:tc>
      </w:tr>
    </w:tbl>
    <w:p w:rsidR="006E20FD" w:rsidRDefault="006E20FD"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Pr>
                <w:noProof/>
                <w:lang w:val="en-GB" w:eastAsia="en-GB"/>
              </w:rPr>
              <w:lastRenderedPageBreak/>
              <w:drawing>
                <wp:inline distT="0" distB="0" distL="0" distR="0" wp14:anchorId="3CFFEAF0" wp14:editId="40E4BE59">
                  <wp:extent cx="3359888" cy="3359888"/>
                  <wp:effectExtent l="0" t="0" r="0" b="0"/>
                  <wp:docPr id="8" name="Picture 8" descr="X:\BMJ Echo AF Manuscript\S8\scatter_W_65_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MJ Echo AF Manuscript\S8\scatter_W_65_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845" cy="3359845"/>
                          </a:xfrm>
                          <a:prstGeom prst="rect">
                            <a:avLst/>
                          </a:prstGeom>
                          <a:noFill/>
                          <a:ln>
                            <a:noFill/>
                          </a:ln>
                        </pic:spPr>
                      </pic:pic>
                    </a:graphicData>
                  </a:graphic>
                </wp:inline>
              </w:drawing>
            </w:r>
          </w:p>
        </w:tc>
        <w:tc>
          <w:tcPr>
            <w:tcW w:w="7087" w:type="dxa"/>
          </w:tcPr>
          <w:p w:rsidR="009F5199" w:rsidRPr="0031099C" w:rsidRDefault="009F5199" w:rsidP="00FA261E">
            <w:r>
              <w:rPr>
                <w:noProof/>
                <w:lang w:val="en-GB" w:eastAsia="en-GB"/>
              </w:rPr>
              <w:drawing>
                <wp:inline distT="0" distB="0" distL="0" distR="0" wp14:anchorId="226728E9" wp14:editId="6A993E8B">
                  <wp:extent cx="3615070" cy="3615070"/>
                  <wp:effectExtent l="0" t="0" r="0" b="0"/>
                  <wp:docPr id="15" name="Picture 15" descr="X:\BMJ Echo AF Manuscript\S8\scatter_W_65_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MJ Echo AF Manuscript\S8\scatter_W_65_F.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5196" cy="3615196"/>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c</w:t>
            </w:r>
            <w:r w:rsidRPr="0031099C">
              <w:t xml:space="preserve"> ) </w:t>
            </w:r>
            <w:r>
              <w:t>Warfarin, 65 years old, males</w:t>
            </w:r>
          </w:p>
        </w:tc>
        <w:tc>
          <w:tcPr>
            <w:tcW w:w="7087" w:type="dxa"/>
          </w:tcPr>
          <w:p w:rsidR="009F5199" w:rsidRPr="0031099C" w:rsidRDefault="009F5199" w:rsidP="009F5199">
            <w:r>
              <w:t>d</w:t>
            </w:r>
            <w:r w:rsidRPr="0031099C">
              <w:t xml:space="preserve">) </w:t>
            </w:r>
            <w:r>
              <w:t>Warfarin, 65 years old, females</w:t>
            </w:r>
          </w:p>
        </w:tc>
      </w:tr>
    </w:tbl>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14015AC7" wp14:editId="13043693">
                  <wp:extent cx="3780000" cy="3780000"/>
                  <wp:effectExtent l="0" t="0" r="0" b="0"/>
                  <wp:docPr id="38" name="Picture 21" descr="X:\EchoAF\R\Figures\R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EchoAF\R\Figures\R_50_0_M__PS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23AE544F" wp14:editId="71E5294C">
                  <wp:extent cx="3780000" cy="3780000"/>
                  <wp:effectExtent l="0" t="0" r="0" b="0"/>
                  <wp:docPr id="40" name="Picture 23" descr="X:\EchoAF\R\Figures\R_50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EchoAF\R\Figures\R_50_0_F__PSA.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e ) </w:t>
            </w:r>
            <w:proofErr w:type="spellStart"/>
            <w:r>
              <w:t>Rivaroxaban</w:t>
            </w:r>
            <w:proofErr w:type="spellEnd"/>
            <w:r>
              <w:t>, 50 years old, males</w:t>
            </w:r>
          </w:p>
        </w:tc>
        <w:tc>
          <w:tcPr>
            <w:tcW w:w="7087" w:type="dxa"/>
          </w:tcPr>
          <w:p w:rsidR="009F5199" w:rsidRPr="0031099C" w:rsidRDefault="009F5199" w:rsidP="009F5199">
            <w:r>
              <w:t>f</w:t>
            </w:r>
            <w:r w:rsidRPr="0031099C">
              <w:t xml:space="preserve">) </w:t>
            </w:r>
            <w:proofErr w:type="spellStart"/>
            <w:r>
              <w:t>Rivaroxaban</w:t>
            </w:r>
            <w:proofErr w:type="spellEnd"/>
            <w:r>
              <w:t>, 50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7F6E3733" wp14:editId="4248A3A0">
                  <wp:extent cx="3780000" cy="3780000"/>
                  <wp:effectExtent l="0" t="0" r="0" b="0"/>
                  <wp:docPr id="42" name="Picture 29" descr="X:\EchoAF\R\Figures\R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EchoAF\R\Figures\R_65_0_M__PSA.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77BA13F4" wp14:editId="389C67E2">
                  <wp:extent cx="3780000" cy="3780000"/>
                  <wp:effectExtent l="0" t="0" r="0" b="0"/>
                  <wp:docPr id="44" name="Picture 31" descr="X:\EchoAF\R\Figures\R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choAF\R\Figures\R_65_0_F__PSA.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r>
              <w:t xml:space="preserve">g ) </w:t>
            </w:r>
            <w:proofErr w:type="spellStart"/>
            <w:r>
              <w:t>Rivaroxaban</w:t>
            </w:r>
            <w:proofErr w:type="spellEnd"/>
            <w:r>
              <w:t>, 65 years old, males</w:t>
            </w:r>
          </w:p>
        </w:tc>
        <w:tc>
          <w:tcPr>
            <w:tcW w:w="7087" w:type="dxa"/>
          </w:tcPr>
          <w:p w:rsidR="009F5199" w:rsidRPr="0031099C" w:rsidRDefault="009F5199" w:rsidP="009F5199">
            <w:r>
              <w:t>h</w:t>
            </w:r>
            <w:r w:rsidRPr="0031099C">
              <w:t xml:space="preserve">) </w:t>
            </w:r>
            <w:proofErr w:type="spellStart"/>
            <w:r>
              <w:t>Rivaroxaban</w:t>
            </w:r>
            <w:proofErr w:type="spellEnd"/>
            <w:r>
              <w:t>, 65 years old, females</w:t>
            </w:r>
          </w:p>
        </w:tc>
      </w:tr>
    </w:tbl>
    <w:p w:rsidR="009F5199" w:rsidRDefault="009F5199" w:rsidP="006E20FD">
      <w:pPr>
        <w:divId w:val="1548566716"/>
      </w:pPr>
    </w:p>
    <w:p w:rsidR="009F5199" w:rsidRDefault="009F5199" w:rsidP="006E20FD">
      <w:pPr>
        <w:divId w:val="1548566716"/>
      </w:pPr>
    </w:p>
    <w:tbl>
      <w:tblPr>
        <w:tblStyle w:val="TableGrid"/>
        <w:tblW w:w="0" w:type="auto"/>
        <w:tblLook w:val="04A0" w:firstRow="1" w:lastRow="0" w:firstColumn="1" w:lastColumn="0" w:noHBand="0" w:noVBand="1"/>
      </w:tblPr>
      <w:tblGrid>
        <w:gridCol w:w="7087"/>
        <w:gridCol w:w="7087"/>
      </w:tblGrid>
      <w:tr w:rsidR="009F5199" w:rsidRPr="0031099C" w:rsidTr="009F5199">
        <w:trPr>
          <w:divId w:val="1548566716"/>
          <w:trHeight w:val="5519"/>
        </w:trPr>
        <w:tc>
          <w:tcPr>
            <w:tcW w:w="7087" w:type="dxa"/>
          </w:tcPr>
          <w:p w:rsidR="009F5199" w:rsidRPr="0031099C" w:rsidRDefault="009F5199" w:rsidP="00FA261E">
            <w:r w:rsidRPr="0031099C">
              <w:rPr>
                <w:noProof/>
                <w:lang w:val="en-GB" w:eastAsia="en-GB"/>
              </w:rPr>
              <w:lastRenderedPageBreak/>
              <w:drawing>
                <wp:inline distT="0" distB="0" distL="0" distR="0" wp14:anchorId="634A26AF" wp14:editId="2EBB02C2">
                  <wp:extent cx="3780000" cy="3780000"/>
                  <wp:effectExtent l="0" t="0" r="0" b="0"/>
                  <wp:docPr id="46" name="Picture 33" descr="X:\EchoAF\R\Figures\D_65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EchoAF\R\Figures\D_65_0_M__PSA.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9F5199" w:rsidRPr="0031099C" w:rsidRDefault="009F5199" w:rsidP="00FA261E">
            <w:r w:rsidRPr="0031099C">
              <w:rPr>
                <w:noProof/>
                <w:lang w:val="en-GB" w:eastAsia="en-GB"/>
              </w:rPr>
              <w:drawing>
                <wp:inline distT="0" distB="0" distL="0" distR="0" wp14:anchorId="576597A1" wp14:editId="6F76DC71">
                  <wp:extent cx="3780000" cy="3780000"/>
                  <wp:effectExtent l="0" t="0" r="0" b="0"/>
                  <wp:docPr id="48" name="Picture 35" descr="X:\EchoAF\R\Figures\D_65_0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EchoAF\R\Figures\D_65_0_F__PSA.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9F5199" w:rsidRPr="0031099C" w:rsidTr="009F5199">
        <w:trPr>
          <w:divId w:val="1548566716"/>
        </w:trPr>
        <w:tc>
          <w:tcPr>
            <w:tcW w:w="7087" w:type="dxa"/>
          </w:tcPr>
          <w:p w:rsidR="009F5199" w:rsidRPr="0031099C" w:rsidRDefault="009F5199" w:rsidP="009F5199">
            <w:proofErr w:type="spellStart"/>
            <w:r>
              <w:t>i</w:t>
            </w:r>
            <w:proofErr w:type="spellEnd"/>
            <w:r>
              <w:t xml:space="preserve"> ) </w:t>
            </w:r>
            <w:proofErr w:type="spellStart"/>
            <w:r>
              <w:t>Dabigatran</w:t>
            </w:r>
            <w:proofErr w:type="spellEnd"/>
            <w:r>
              <w:t xml:space="preserve"> 65 years old, males</w:t>
            </w:r>
          </w:p>
        </w:tc>
        <w:tc>
          <w:tcPr>
            <w:tcW w:w="7087" w:type="dxa"/>
          </w:tcPr>
          <w:p w:rsidR="009F5199" w:rsidRPr="0031099C" w:rsidRDefault="009F5199" w:rsidP="009F5199">
            <w:r>
              <w:t>j</w:t>
            </w:r>
            <w:r w:rsidRPr="0031099C">
              <w:t xml:space="preserve">) </w:t>
            </w:r>
            <w:proofErr w:type="spellStart"/>
            <w:r>
              <w:t>Dabigatran</w:t>
            </w:r>
            <w:proofErr w:type="spellEnd"/>
            <w:r>
              <w:t>, 65 years old, females</w:t>
            </w:r>
          </w:p>
        </w:tc>
      </w:tr>
    </w:tbl>
    <w:p w:rsidR="009F5199" w:rsidRDefault="004628AD" w:rsidP="004628AD">
      <w:pPr>
        <w:pStyle w:val="Caption"/>
        <w:divId w:val="1548566716"/>
      </w:pPr>
      <w:r>
        <w:t xml:space="preserve">Table </w:t>
      </w:r>
      <w:r w:rsidR="00AE22BA">
        <w:rPr>
          <w:noProof/>
        </w:rPr>
        <w:t>7</w:t>
      </w:r>
      <w:r>
        <w:t xml:space="preserve"> Scatterplots of estimated differences in health outcomes (in QALYs) and cost between the TTE and no TTE strategy for the ten populations simulated. QALY: Quality-adjusted life years. TTE: transthoracic echocardiography</w:t>
      </w:r>
    </w:p>
    <w:p w:rsidR="009F5199" w:rsidRDefault="009F5199" w:rsidP="006E20FD">
      <w:pPr>
        <w:divId w:val="1548566716"/>
      </w:pPr>
    </w:p>
    <w:p w:rsidR="009F5199" w:rsidRPr="0031099C" w:rsidRDefault="009F5199" w:rsidP="006E20FD">
      <w:pPr>
        <w:divId w:val="1548566716"/>
        <w:sectPr w:rsidR="009F5199" w:rsidRPr="0031099C" w:rsidSect="006E20FD">
          <w:pgSz w:w="16838" w:h="11906" w:orient="landscape"/>
          <w:pgMar w:top="1440" w:right="1440" w:bottom="1440" w:left="1440" w:header="708" w:footer="708" w:gutter="0"/>
          <w:cols w:space="708"/>
          <w:docGrid w:linePitch="360"/>
        </w:sectPr>
      </w:pPr>
    </w:p>
    <w:p w:rsidR="004628AD" w:rsidRPr="0031099C" w:rsidRDefault="004628AD" w:rsidP="004628AD">
      <w:pPr>
        <w:pStyle w:val="Heading2"/>
        <w:numPr>
          <w:ilvl w:val="0"/>
          <w:numId w:val="0"/>
        </w:numPr>
        <w:divId w:val="1548566716"/>
      </w:pPr>
      <w:r>
        <w:lastRenderedPageBreak/>
        <w:t>Appendix E: Summary of cost-effectiveness results of TTE compared with no TTE strategies for the 10 patient populations under consideration</w:t>
      </w:r>
    </w:p>
    <w:p w:rsidR="006E20FD" w:rsidRDefault="006E20FD" w:rsidP="006E20FD">
      <w:pPr>
        <w:divId w:val="1548566716"/>
      </w:pPr>
    </w:p>
    <w:tbl>
      <w:tblPr>
        <w:tblStyle w:val="TableGrid"/>
        <w:tblW w:w="0" w:type="auto"/>
        <w:tblLook w:val="04A0" w:firstRow="1" w:lastRow="0" w:firstColumn="1" w:lastColumn="0" w:noHBand="0" w:noVBand="1"/>
      </w:tblPr>
      <w:tblGrid>
        <w:gridCol w:w="1243"/>
        <w:gridCol w:w="1134"/>
        <w:gridCol w:w="993"/>
        <w:gridCol w:w="1274"/>
        <w:gridCol w:w="1133"/>
        <w:gridCol w:w="2267"/>
        <w:gridCol w:w="1198"/>
      </w:tblGrid>
      <w:tr w:rsidR="003D01CF" w:rsidTr="00BE7146">
        <w:trPr>
          <w:divId w:val="1548566716"/>
        </w:trPr>
        <w:tc>
          <w:tcPr>
            <w:tcW w:w="1243" w:type="dxa"/>
          </w:tcPr>
          <w:p w:rsidR="003D01CF" w:rsidRDefault="003D01CF" w:rsidP="006E20FD">
            <w:r>
              <w:t>OAC</w:t>
            </w:r>
          </w:p>
        </w:tc>
        <w:tc>
          <w:tcPr>
            <w:tcW w:w="1134" w:type="dxa"/>
          </w:tcPr>
          <w:p w:rsidR="003D01CF" w:rsidRDefault="003D01CF" w:rsidP="006E20FD">
            <w:r>
              <w:t>Patient Population</w:t>
            </w:r>
          </w:p>
        </w:tc>
        <w:tc>
          <w:tcPr>
            <w:tcW w:w="993" w:type="dxa"/>
          </w:tcPr>
          <w:p w:rsidR="003D01CF" w:rsidRDefault="003D01CF" w:rsidP="006E20FD">
            <w:r>
              <w:t>Strategy</w:t>
            </w:r>
          </w:p>
        </w:tc>
        <w:tc>
          <w:tcPr>
            <w:tcW w:w="1274" w:type="dxa"/>
          </w:tcPr>
          <w:p w:rsidR="003D01CF" w:rsidRDefault="003D01CF" w:rsidP="006E20FD">
            <w:r>
              <w:t>Mean Cost</w:t>
            </w:r>
            <w:r w:rsidR="00BE7146">
              <w:t xml:space="preserve"> (£)</w:t>
            </w:r>
          </w:p>
        </w:tc>
        <w:tc>
          <w:tcPr>
            <w:tcW w:w="1133" w:type="dxa"/>
          </w:tcPr>
          <w:p w:rsidR="003D01CF" w:rsidRDefault="003D01CF" w:rsidP="006E20FD">
            <w:r>
              <w:t>Mean QALY</w:t>
            </w:r>
          </w:p>
        </w:tc>
        <w:tc>
          <w:tcPr>
            <w:tcW w:w="2267" w:type="dxa"/>
          </w:tcPr>
          <w:p w:rsidR="003D01CF" w:rsidRDefault="003D01CF" w:rsidP="006E20FD">
            <w:r>
              <w:t xml:space="preserve">ICER (95% </w:t>
            </w:r>
            <w:proofErr w:type="spellStart"/>
            <w:r>
              <w:t>CrI</w:t>
            </w:r>
            <w:proofErr w:type="spellEnd"/>
            <w:r>
              <w:t>)</w:t>
            </w:r>
            <w:r w:rsidR="00BE7146">
              <w:t>, £/QALY</w:t>
            </w:r>
          </w:p>
        </w:tc>
        <w:tc>
          <w:tcPr>
            <w:tcW w:w="1198" w:type="dxa"/>
          </w:tcPr>
          <w:p w:rsidR="003D01CF" w:rsidRDefault="003D01CF" w:rsidP="00BE7146">
            <w:r>
              <w:t>TTE dominated?</w:t>
            </w:r>
          </w:p>
        </w:tc>
      </w:tr>
      <w:tr w:rsidR="00BE7146" w:rsidTr="00BE7146">
        <w:trPr>
          <w:divId w:val="1548566716"/>
          <w:trHeight w:val="385"/>
        </w:trPr>
        <w:tc>
          <w:tcPr>
            <w:tcW w:w="1243" w:type="dxa"/>
            <w:vMerge w:val="restart"/>
          </w:tcPr>
          <w:p w:rsidR="00BE7146" w:rsidRDefault="00BE7146" w:rsidP="006E20FD">
            <w:r>
              <w:t>Warfarin</w:t>
            </w:r>
          </w:p>
        </w:tc>
        <w:tc>
          <w:tcPr>
            <w:tcW w:w="1134" w:type="dxa"/>
            <w:vMerge w:val="restart"/>
          </w:tcPr>
          <w:p w:rsidR="00BE7146" w:rsidRDefault="00BE7146" w:rsidP="006E20FD">
            <w:r>
              <w:t>Male, Aged 50</w:t>
            </w:r>
          </w:p>
        </w:tc>
        <w:tc>
          <w:tcPr>
            <w:tcW w:w="993" w:type="dxa"/>
          </w:tcPr>
          <w:p w:rsidR="00BE7146" w:rsidRDefault="00BE7146" w:rsidP="00FA261E">
            <w:r>
              <w:t>No TTE</w:t>
            </w:r>
          </w:p>
        </w:tc>
        <w:tc>
          <w:tcPr>
            <w:tcW w:w="1274" w:type="dxa"/>
          </w:tcPr>
          <w:p w:rsidR="00BE7146" w:rsidRDefault="00227261" w:rsidP="006E20FD">
            <w:r>
              <w:t>2459</w:t>
            </w:r>
          </w:p>
        </w:tc>
        <w:tc>
          <w:tcPr>
            <w:tcW w:w="1133" w:type="dxa"/>
          </w:tcPr>
          <w:p w:rsidR="00BE7146" w:rsidRDefault="00227261" w:rsidP="00227261">
            <w:r>
              <w:t>13</w:t>
            </w:r>
            <w:r w:rsidR="00BE7146">
              <w:t>.</w:t>
            </w:r>
            <w:r>
              <w:t>60</w:t>
            </w:r>
          </w:p>
        </w:tc>
        <w:tc>
          <w:tcPr>
            <w:tcW w:w="2267" w:type="dxa"/>
            <w:vMerge w:val="restart"/>
          </w:tcPr>
          <w:p w:rsidR="00BE7146" w:rsidRDefault="00BE7146" w:rsidP="006E20FD">
            <w:r>
              <w:t>-</w:t>
            </w:r>
            <w:r w:rsidR="00227261">
              <w:t>26</w:t>
            </w:r>
            <w:r w:rsidR="007A14AB">
              <w:t xml:space="preserve"> </w:t>
            </w:r>
            <w:r w:rsidR="00227261">
              <w:t>489</w:t>
            </w:r>
            <w:r>
              <w:t xml:space="preserve"> </w:t>
            </w:r>
          </w:p>
          <w:p w:rsidR="00BE7146" w:rsidRDefault="00BE7146" w:rsidP="00227261">
            <w:r>
              <w:t>(-</w:t>
            </w:r>
            <w:r w:rsidR="00227261">
              <w:t>26</w:t>
            </w:r>
            <w:r w:rsidR="007A14AB">
              <w:t xml:space="preserve"> </w:t>
            </w:r>
            <w:r w:rsidR="00227261">
              <w:t>552</w:t>
            </w:r>
            <w:r>
              <w:t xml:space="preserve"> to -</w:t>
            </w:r>
            <w:r w:rsidR="00227261">
              <w:t>26</w:t>
            </w:r>
            <w:r w:rsidR="007A14AB">
              <w:t xml:space="preserve"> </w:t>
            </w:r>
            <w:r w:rsidR="00227261">
              <w:t>408</w:t>
            </w:r>
            <w:r>
              <w:t>)</w:t>
            </w:r>
          </w:p>
        </w:tc>
        <w:tc>
          <w:tcPr>
            <w:tcW w:w="1198" w:type="dxa"/>
            <w:vMerge w:val="restart"/>
          </w:tcPr>
          <w:p w:rsidR="00BE7146" w:rsidRDefault="00BE7146" w:rsidP="006E20FD">
            <w:r>
              <w:t>Yes</w:t>
            </w:r>
          </w:p>
        </w:tc>
      </w:tr>
      <w:tr w:rsidR="00BE7146" w:rsidTr="00BE7146">
        <w:trPr>
          <w:divId w:val="1548566716"/>
          <w:trHeight w:val="352"/>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227261" w:rsidP="006E20FD">
            <w:r>
              <w:t>4712</w:t>
            </w:r>
          </w:p>
        </w:tc>
        <w:tc>
          <w:tcPr>
            <w:tcW w:w="1133" w:type="dxa"/>
          </w:tcPr>
          <w:p w:rsidR="00BE7146" w:rsidRDefault="00227261" w:rsidP="00227261">
            <w:r>
              <w:t>13.51</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18"/>
        </w:trPr>
        <w:tc>
          <w:tcPr>
            <w:tcW w:w="1243" w:type="dxa"/>
            <w:vMerge/>
          </w:tcPr>
          <w:p w:rsidR="00BE7146" w:rsidRDefault="00BE7146" w:rsidP="006E20FD"/>
        </w:tc>
        <w:tc>
          <w:tcPr>
            <w:tcW w:w="1134" w:type="dxa"/>
            <w:vMerge w:val="restart"/>
          </w:tcPr>
          <w:p w:rsidR="00BE7146" w:rsidRDefault="00BE7146" w:rsidP="003D01CF">
            <w:r>
              <w:t>Female, Aged 50</w:t>
            </w:r>
          </w:p>
        </w:tc>
        <w:tc>
          <w:tcPr>
            <w:tcW w:w="993" w:type="dxa"/>
          </w:tcPr>
          <w:p w:rsidR="00BE7146" w:rsidRDefault="00BE7146" w:rsidP="00FA261E">
            <w:r>
              <w:t>No TTE</w:t>
            </w:r>
          </w:p>
        </w:tc>
        <w:tc>
          <w:tcPr>
            <w:tcW w:w="1274" w:type="dxa"/>
          </w:tcPr>
          <w:p w:rsidR="00BE7146" w:rsidRDefault="00227261" w:rsidP="006E20FD">
            <w:r>
              <w:t>2815</w:t>
            </w:r>
          </w:p>
        </w:tc>
        <w:tc>
          <w:tcPr>
            <w:tcW w:w="1133" w:type="dxa"/>
          </w:tcPr>
          <w:p w:rsidR="00BE7146" w:rsidRDefault="00227261" w:rsidP="006E20FD">
            <w:r>
              <w:t>14.27</w:t>
            </w:r>
          </w:p>
        </w:tc>
        <w:tc>
          <w:tcPr>
            <w:tcW w:w="2267" w:type="dxa"/>
            <w:vMerge w:val="restart"/>
          </w:tcPr>
          <w:p w:rsidR="00BE7146" w:rsidRDefault="00227261" w:rsidP="006E20FD">
            <w:r>
              <w:t>-34</w:t>
            </w:r>
            <w:r w:rsidR="007A14AB">
              <w:t xml:space="preserve"> </w:t>
            </w:r>
            <w:r>
              <w:t>078</w:t>
            </w:r>
          </w:p>
          <w:p w:rsidR="00227261" w:rsidRDefault="00227261" w:rsidP="006E20FD">
            <w:r>
              <w:t>(-34</w:t>
            </w:r>
            <w:r w:rsidR="007A14AB">
              <w:t xml:space="preserve"> </w:t>
            </w:r>
            <w:r>
              <w:t>175 to -33</w:t>
            </w:r>
            <w:r w:rsidR="007A14AB">
              <w:t xml:space="preserve"> </w:t>
            </w:r>
            <w:r>
              <w:t>952)</w:t>
            </w:r>
          </w:p>
        </w:tc>
        <w:tc>
          <w:tcPr>
            <w:tcW w:w="1198" w:type="dxa"/>
            <w:vMerge w:val="restart"/>
          </w:tcPr>
          <w:p w:rsidR="00BE7146" w:rsidRDefault="00227261" w:rsidP="006E20FD">
            <w:r>
              <w:t>Yes</w:t>
            </w:r>
          </w:p>
        </w:tc>
      </w:tr>
      <w:tr w:rsidR="00BE7146" w:rsidTr="00BE7146">
        <w:trPr>
          <w:divId w:val="1548566716"/>
          <w:trHeight w:val="419"/>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227261" w:rsidP="006E20FD">
            <w:r>
              <w:t>5405</w:t>
            </w:r>
          </w:p>
        </w:tc>
        <w:tc>
          <w:tcPr>
            <w:tcW w:w="1133" w:type="dxa"/>
          </w:tcPr>
          <w:p w:rsidR="00BE7146" w:rsidRDefault="00227261" w:rsidP="006E20FD">
            <w:r>
              <w:t>14.19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352"/>
        </w:trPr>
        <w:tc>
          <w:tcPr>
            <w:tcW w:w="1243" w:type="dxa"/>
            <w:vMerge/>
          </w:tcPr>
          <w:p w:rsidR="00BE7146" w:rsidRDefault="00BE7146" w:rsidP="006E20FD"/>
        </w:tc>
        <w:tc>
          <w:tcPr>
            <w:tcW w:w="1134" w:type="dxa"/>
            <w:vMerge w:val="restart"/>
          </w:tcPr>
          <w:p w:rsidR="00BE7146" w:rsidRDefault="00BE7146" w:rsidP="003D01CF">
            <w:r>
              <w:t>Male, Aged 65</w:t>
            </w:r>
          </w:p>
        </w:tc>
        <w:tc>
          <w:tcPr>
            <w:tcW w:w="993" w:type="dxa"/>
          </w:tcPr>
          <w:p w:rsidR="00BE7146" w:rsidRDefault="00BE7146" w:rsidP="00FA261E">
            <w:r>
              <w:t>No TTE</w:t>
            </w:r>
          </w:p>
        </w:tc>
        <w:tc>
          <w:tcPr>
            <w:tcW w:w="1274" w:type="dxa"/>
          </w:tcPr>
          <w:p w:rsidR="00BE7146" w:rsidRDefault="00BE7146" w:rsidP="006E20FD">
            <w:r>
              <w:t>1527</w:t>
            </w:r>
          </w:p>
        </w:tc>
        <w:tc>
          <w:tcPr>
            <w:tcW w:w="1133" w:type="dxa"/>
          </w:tcPr>
          <w:p w:rsidR="00BE7146" w:rsidRDefault="00BE7146" w:rsidP="006E20FD">
            <w:r>
              <w:t>9.12</w:t>
            </w:r>
          </w:p>
        </w:tc>
        <w:tc>
          <w:tcPr>
            <w:tcW w:w="2267" w:type="dxa"/>
            <w:vMerge w:val="restart"/>
          </w:tcPr>
          <w:p w:rsidR="00BE7146" w:rsidRDefault="00BE7146" w:rsidP="006E20FD">
            <w:r>
              <w:t>66</w:t>
            </w:r>
            <w:r w:rsidR="007A14AB">
              <w:t xml:space="preserve"> </w:t>
            </w:r>
            <w:r>
              <w:t xml:space="preserve">793 </w:t>
            </w:r>
          </w:p>
          <w:p w:rsidR="00BE7146" w:rsidRDefault="00BE7146" w:rsidP="006E20FD">
            <w:r>
              <w:t>(66</w:t>
            </w:r>
            <w:r w:rsidR="007A14AB">
              <w:t xml:space="preserve"> </w:t>
            </w:r>
            <w:r>
              <w:t>217 to 67</w:t>
            </w:r>
            <w:r w:rsidR="007A14AB">
              <w:t xml:space="preserve"> </w:t>
            </w:r>
            <w:r>
              <w:t>599)</w:t>
            </w:r>
          </w:p>
        </w:tc>
        <w:tc>
          <w:tcPr>
            <w:tcW w:w="1198" w:type="dxa"/>
            <w:vMerge w:val="restart"/>
          </w:tcPr>
          <w:p w:rsidR="00BE7146" w:rsidRDefault="00BE7146" w:rsidP="006E20FD">
            <w:r>
              <w:t>No</w:t>
            </w:r>
          </w:p>
        </w:tc>
      </w:tr>
      <w:tr w:rsidR="00BE7146" w:rsidTr="00BE7146">
        <w:trPr>
          <w:divId w:val="1548566716"/>
          <w:trHeight w:val="368"/>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2467</w:t>
            </w:r>
          </w:p>
        </w:tc>
        <w:tc>
          <w:tcPr>
            <w:tcW w:w="1133" w:type="dxa"/>
          </w:tcPr>
          <w:p w:rsidR="00BE7146" w:rsidRDefault="00BE7146" w:rsidP="006E20FD">
            <w:r>
              <w:t>9.13</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435"/>
        </w:trPr>
        <w:tc>
          <w:tcPr>
            <w:tcW w:w="1243" w:type="dxa"/>
            <w:vMerge/>
          </w:tcPr>
          <w:p w:rsidR="00BE7146" w:rsidRDefault="00BE7146" w:rsidP="006E20FD"/>
        </w:tc>
        <w:tc>
          <w:tcPr>
            <w:tcW w:w="1134" w:type="dxa"/>
            <w:vMerge w:val="restart"/>
          </w:tcPr>
          <w:p w:rsidR="00BE7146" w:rsidRDefault="00BE7146" w:rsidP="003D01CF">
            <w:r>
              <w:t>Female, Aged 65</w:t>
            </w:r>
          </w:p>
        </w:tc>
        <w:tc>
          <w:tcPr>
            <w:tcW w:w="993" w:type="dxa"/>
          </w:tcPr>
          <w:p w:rsidR="00BE7146" w:rsidRDefault="00BE7146" w:rsidP="00FA261E">
            <w:r>
              <w:t>No TTE</w:t>
            </w:r>
          </w:p>
        </w:tc>
        <w:tc>
          <w:tcPr>
            <w:tcW w:w="1274" w:type="dxa"/>
          </w:tcPr>
          <w:p w:rsidR="00BE7146" w:rsidRDefault="00BE7146" w:rsidP="006E20FD">
            <w:r>
              <w:t>1974</w:t>
            </w:r>
          </w:p>
        </w:tc>
        <w:tc>
          <w:tcPr>
            <w:tcW w:w="1133" w:type="dxa"/>
          </w:tcPr>
          <w:p w:rsidR="00BE7146" w:rsidRDefault="00BE7146" w:rsidP="006E20FD">
            <w:r>
              <w:t>9.94</w:t>
            </w:r>
          </w:p>
        </w:tc>
        <w:tc>
          <w:tcPr>
            <w:tcW w:w="2267" w:type="dxa"/>
            <w:vMerge w:val="restart"/>
          </w:tcPr>
          <w:p w:rsidR="00BE7146" w:rsidRDefault="00BE7146" w:rsidP="006E20FD">
            <w:r>
              <w:t>39</w:t>
            </w:r>
            <w:r w:rsidR="007A14AB">
              <w:t xml:space="preserve"> </w:t>
            </w:r>
            <w:r>
              <w:t xml:space="preserve">485 </w:t>
            </w:r>
          </w:p>
          <w:p w:rsidR="00BE7146" w:rsidRDefault="00BE7146" w:rsidP="006E20FD">
            <w:r>
              <w:t>(39</w:t>
            </w:r>
            <w:r w:rsidR="007A14AB">
              <w:t xml:space="preserve"> </w:t>
            </w:r>
            <w:r>
              <w:t>291 to 39</w:t>
            </w:r>
            <w:r w:rsidR="007A14AB">
              <w:t xml:space="preserve"> </w:t>
            </w:r>
            <w:r>
              <w:t>754)</w:t>
            </w:r>
          </w:p>
        </w:tc>
        <w:tc>
          <w:tcPr>
            <w:tcW w:w="1198" w:type="dxa"/>
            <w:vMerge w:val="restart"/>
          </w:tcPr>
          <w:p w:rsidR="00BE7146" w:rsidRDefault="00BE7146" w:rsidP="006E20FD">
            <w:r>
              <w:t>No</w:t>
            </w:r>
          </w:p>
        </w:tc>
      </w:tr>
      <w:tr w:rsidR="00BE7146" w:rsidTr="00BE7146">
        <w:trPr>
          <w:divId w:val="1548566716"/>
          <w:trHeight w:val="285"/>
        </w:trPr>
        <w:tc>
          <w:tcPr>
            <w:tcW w:w="1243" w:type="dxa"/>
            <w:vMerge/>
          </w:tcPr>
          <w:p w:rsidR="00BE7146" w:rsidRDefault="00BE7146" w:rsidP="006E20FD"/>
        </w:tc>
        <w:tc>
          <w:tcPr>
            <w:tcW w:w="1134" w:type="dxa"/>
            <w:vMerge/>
          </w:tcPr>
          <w:p w:rsidR="00BE7146" w:rsidRDefault="00BE7146" w:rsidP="003D01CF"/>
        </w:tc>
        <w:tc>
          <w:tcPr>
            <w:tcW w:w="993" w:type="dxa"/>
          </w:tcPr>
          <w:p w:rsidR="00BE7146" w:rsidRDefault="00BE7146" w:rsidP="00FA261E">
            <w:r>
              <w:t>TTE</w:t>
            </w:r>
          </w:p>
        </w:tc>
        <w:tc>
          <w:tcPr>
            <w:tcW w:w="1274" w:type="dxa"/>
          </w:tcPr>
          <w:p w:rsidR="00BE7146" w:rsidRDefault="00BE7146" w:rsidP="006E20FD">
            <w:r>
              <w:t>3106</w:t>
            </w:r>
          </w:p>
        </w:tc>
        <w:tc>
          <w:tcPr>
            <w:tcW w:w="1133" w:type="dxa"/>
          </w:tcPr>
          <w:p w:rsidR="00BE7146" w:rsidRDefault="00BE7146" w:rsidP="006E20FD">
            <w:r>
              <w:t>9.97</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Rivaroxaban</w:t>
            </w:r>
            <w:proofErr w:type="spellEnd"/>
          </w:p>
        </w:tc>
        <w:tc>
          <w:tcPr>
            <w:tcW w:w="1134" w:type="dxa"/>
            <w:vMerge w:val="restart"/>
          </w:tcPr>
          <w:p w:rsidR="00BE7146" w:rsidRDefault="00BE7146" w:rsidP="00FA261E">
            <w:r>
              <w:t>Male, Aged 50</w:t>
            </w:r>
          </w:p>
        </w:tc>
        <w:tc>
          <w:tcPr>
            <w:tcW w:w="993" w:type="dxa"/>
          </w:tcPr>
          <w:p w:rsidR="00BE7146" w:rsidRDefault="00BE7146" w:rsidP="00FA261E">
            <w:r>
              <w:t>No TTE</w:t>
            </w:r>
          </w:p>
        </w:tc>
        <w:tc>
          <w:tcPr>
            <w:tcW w:w="1274" w:type="dxa"/>
          </w:tcPr>
          <w:p w:rsidR="00BE7146" w:rsidRDefault="00BE7146" w:rsidP="006E20FD">
            <w:r>
              <w:t>2449</w:t>
            </w:r>
          </w:p>
        </w:tc>
        <w:tc>
          <w:tcPr>
            <w:tcW w:w="1133" w:type="dxa"/>
          </w:tcPr>
          <w:p w:rsidR="00BE7146" w:rsidRDefault="00BE7146" w:rsidP="006E20FD">
            <w:r>
              <w:t>13.61</w:t>
            </w:r>
          </w:p>
        </w:tc>
        <w:tc>
          <w:tcPr>
            <w:tcW w:w="2267" w:type="dxa"/>
            <w:vMerge w:val="restart"/>
          </w:tcPr>
          <w:p w:rsidR="00BE7146" w:rsidRDefault="00BE7146" w:rsidP="006E20FD">
            <w:r>
              <w:t>-34</w:t>
            </w:r>
            <w:r w:rsidR="007A14AB">
              <w:t xml:space="preserve"> </w:t>
            </w:r>
            <w:r>
              <w:t xml:space="preserve">060 </w:t>
            </w:r>
          </w:p>
          <w:p w:rsidR="00BE7146" w:rsidRDefault="00BE7146" w:rsidP="006E20FD">
            <w:r>
              <w:t>(-34</w:t>
            </w:r>
            <w:r w:rsidR="007A14AB">
              <w:t xml:space="preserve"> </w:t>
            </w:r>
            <w:r>
              <w:t>170 to -33</w:t>
            </w:r>
            <w:r w:rsidR="007A14AB">
              <w:t xml:space="preserve"> </w:t>
            </w:r>
            <w:r>
              <w:t>910)</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4614</w:t>
            </w:r>
          </w:p>
        </w:tc>
        <w:tc>
          <w:tcPr>
            <w:tcW w:w="1133" w:type="dxa"/>
          </w:tcPr>
          <w:p w:rsidR="00BE7146" w:rsidRDefault="00BE7146" w:rsidP="006E20FD">
            <w:r>
              <w:t>13.54</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50</w:t>
            </w:r>
          </w:p>
        </w:tc>
        <w:tc>
          <w:tcPr>
            <w:tcW w:w="993" w:type="dxa"/>
          </w:tcPr>
          <w:p w:rsidR="00BE7146" w:rsidRDefault="00BE7146" w:rsidP="00FA261E">
            <w:r>
              <w:t>No TTE</w:t>
            </w:r>
          </w:p>
        </w:tc>
        <w:tc>
          <w:tcPr>
            <w:tcW w:w="1274" w:type="dxa"/>
          </w:tcPr>
          <w:p w:rsidR="00BE7146" w:rsidRDefault="00BE7146" w:rsidP="006E20FD">
            <w:r>
              <w:t>2779</w:t>
            </w:r>
          </w:p>
        </w:tc>
        <w:tc>
          <w:tcPr>
            <w:tcW w:w="1133" w:type="dxa"/>
          </w:tcPr>
          <w:p w:rsidR="00BE7146" w:rsidRDefault="00BE7146" w:rsidP="006E20FD">
            <w:r>
              <w:t>14.27</w:t>
            </w:r>
          </w:p>
        </w:tc>
        <w:tc>
          <w:tcPr>
            <w:tcW w:w="2267" w:type="dxa"/>
            <w:vMerge w:val="restart"/>
          </w:tcPr>
          <w:p w:rsidR="00BE7146" w:rsidRDefault="00BE7146" w:rsidP="006E20FD">
            <w:r>
              <w:t>-47</w:t>
            </w:r>
            <w:r w:rsidR="007A14AB">
              <w:t xml:space="preserve"> </w:t>
            </w:r>
            <w:r>
              <w:t>535</w:t>
            </w:r>
          </w:p>
          <w:p w:rsidR="00BE7146" w:rsidRDefault="00BE7146" w:rsidP="006E20FD">
            <w:r>
              <w:t>(-47</w:t>
            </w:r>
            <w:r w:rsidR="007A14AB">
              <w:t xml:space="preserve"> </w:t>
            </w:r>
            <w:r>
              <w:t>773 to -47</w:t>
            </w:r>
            <w:r w:rsidR="007A14AB">
              <w:t xml:space="preserve"> </w:t>
            </w:r>
            <w:r>
              <w:t>271)</w:t>
            </w:r>
          </w:p>
        </w:tc>
        <w:tc>
          <w:tcPr>
            <w:tcW w:w="1198" w:type="dxa"/>
            <w:vMerge w:val="restart"/>
          </w:tcPr>
          <w:p w:rsidR="00BE7146" w:rsidRDefault="00BE7146" w:rsidP="006E20FD">
            <w:r>
              <w:t>Yes</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5315</w:t>
            </w:r>
          </w:p>
        </w:tc>
        <w:tc>
          <w:tcPr>
            <w:tcW w:w="1133" w:type="dxa"/>
          </w:tcPr>
          <w:p w:rsidR="00BE7146" w:rsidRDefault="00BE7146" w:rsidP="006E20FD">
            <w:r>
              <w:t>14.22</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Male, Aged 65</w:t>
            </w:r>
          </w:p>
        </w:tc>
        <w:tc>
          <w:tcPr>
            <w:tcW w:w="993" w:type="dxa"/>
          </w:tcPr>
          <w:p w:rsidR="00BE7146" w:rsidRDefault="00BE7146" w:rsidP="00FA261E">
            <w:r>
              <w:t>No TTE</w:t>
            </w:r>
          </w:p>
        </w:tc>
        <w:tc>
          <w:tcPr>
            <w:tcW w:w="1274" w:type="dxa"/>
          </w:tcPr>
          <w:p w:rsidR="00BE7146" w:rsidRDefault="00BE7146" w:rsidP="006E20FD">
            <w:r>
              <w:t>1510</w:t>
            </w:r>
          </w:p>
        </w:tc>
        <w:tc>
          <w:tcPr>
            <w:tcW w:w="1133" w:type="dxa"/>
          </w:tcPr>
          <w:p w:rsidR="00BE7146" w:rsidRDefault="00BE7146" w:rsidP="006E20FD">
            <w:r>
              <w:t>9.12</w:t>
            </w:r>
          </w:p>
        </w:tc>
        <w:tc>
          <w:tcPr>
            <w:tcW w:w="2267" w:type="dxa"/>
            <w:vMerge w:val="restart"/>
          </w:tcPr>
          <w:p w:rsidR="00BE7146" w:rsidRDefault="00BE7146" w:rsidP="006E20FD">
            <w:r>
              <w:t>30</w:t>
            </w:r>
            <w:r w:rsidR="007A14AB">
              <w:t xml:space="preserve"> </w:t>
            </w:r>
            <w:r>
              <w:t>310</w:t>
            </w:r>
          </w:p>
          <w:p w:rsidR="00BE7146" w:rsidRDefault="00BE7146" w:rsidP="006E20FD">
            <w:r>
              <w:t>(30</w:t>
            </w:r>
            <w:r w:rsidR="007A14AB">
              <w:t xml:space="preserve"> </w:t>
            </w:r>
            <w:r>
              <w:t>179 to 30</w:t>
            </w:r>
            <w:r w:rsidR="007A14AB">
              <w:t xml:space="preserve"> </w:t>
            </w:r>
            <w:r>
              <w:t>487)</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2393</w:t>
            </w:r>
          </w:p>
        </w:tc>
        <w:tc>
          <w:tcPr>
            <w:tcW w:w="1133" w:type="dxa"/>
          </w:tcPr>
          <w:p w:rsidR="00BE7146" w:rsidRDefault="00BE7146" w:rsidP="006E20FD">
            <w:r>
              <w:t>9.15</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FA261E">
            <w:r>
              <w:t>No TTE</w:t>
            </w:r>
          </w:p>
        </w:tc>
        <w:tc>
          <w:tcPr>
            <w:tcW w:w="1274" w:type="dxa"/>
          </w:tcPr>
          <w:p w:rsidR="00BE7146" w:rsidRDefault="00BE7146" w:rsidP="006E20FD">
            <w:r>
              <w:t>1955</w:t>
            </w:r>
          </w:p>
        </w:tc>
        <w:tc>
          <w:tcPr>
            <w:tcW w:w="1133" w:type="dxa"/>
          </w:tcPr>
          <w:p w:rsidR="00BE7146" w:rsidRDefault="00BE7146" w:rsidP="006E20FD">
            <w:r>
              <w:t>9.95</w:t>
            </w:r>
          </w:p>
        </w:tc>
        <w:tc>
          <w:tcPr>
            <w:tcW w:w="2267" w:type="dxa"/>
            <w:vMerge w:val="restart"/>
          </w:tcPr>
          <w:p w:rsidR="00BE7146" w:rsidRDefault="00BE7146" w:rsidP="006E20FD">
            <w:r>
              <w:t>22</w:t>
            </w:r>
            <w:r w:rsidR="007A14AB">
              <w:t xml:space="preserve"> </w:t>
            </w:r>
            <w:r>
              <w:t>751</w:t>
            </w:r>
          </w:p>
          <w:p w:rsidR="00BE7146" w:rsidRDefault="00BE7146" w:rsidP="006E20FD">
            <w:r>
              <w:t>(22</w:t>
            </w:r>
            <w:r w:rsidR="007A14AB">
              <w:t xml:space="preserve"> </w:t>
            </w:r>
            <w:r>
              <w:t>681 to 22</w:t>
            </w:r>
            <w:r w:rsidR="007A14AB">
              <w:t xml:space="preserve"> </w:t>
            </w:r>
            <w:r>
              <w:t>844)</w:t>
            </w:r>
          </w:p>
        </w:tc>
        <w:tc>
          <w:tcPr>
            <w:tcW w:w="1198" w:type="dxa"/>
            <w:vMerge w:val="restart"/>
          </w:tcPr>
          <w:p w:rsidR="00BE7146" w:rsidRDefault="00BE7146" w:rsidP="006E20FD">
            <w:r>
              <w:t>No</w:t>
            </w:r>
          </w:p>
        </w:tc>
      </w:tr>
      <w:tr w:rsidR="00BE7146" w:rsidTr="00BE7146">
        <w:trPr>
          <w:divId w:val="1548566716"/>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FA261E">
            <w:r>
              <w:t>TTE</w:t>
            </w:r>
          </w:p>
        </w:tc>
        <w:tc>
          <w:tcPr>
            <w:tcW w:w="1274" w:type="dxa"/>
          </w:tcPr>
          <w:p w:rsidR="00BE7146" w:rsidRDefault="00BE7146" w:rsidP="006E20FD">
            <w:r>
              <w:t>3039</w:t>
            </w:r>
          </w:p>
        </w:tc>
        <w:tc>
          <w:tcPr>
            <w:tcW w:w="1133" w:type="dxa"/>
          </w:tcPr>
          <w:p w:rsidR="00BE7146" w:rsidRDefault="00BE7146" w:rsidP="006E20FD">
            <w:r>
              <w:t>9.99</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Pr>
        <w:tc>
          <w:tcPr>
            <w:tcW w:w="1243" w:type="dxa"/>
            <w:vMerge w:val="restart"/>
          </w:tcPr>
          <w:p w:rsidR="00BE7146" w:rsidRDefault="00BE7146" w:rsidP="006E20FD">
            <w:proofErr w:type="spellStart"/>
            <w:r>
              <w:t>Dabigatran</w:t>
            </w:r>
            <w:proofErr w:type="spellEnd"/>
          </w:p>
        </w:tc>
        <w:tc>
          <w:tcPr>
            <w:tcW w:w="1134" w:type="dxa"/>
            <w:vMerge w:val="restart"/>
          </w:tcPr>
          <w:p w:rsidR="00BE7146" w:rsidRDefault="002A2BB9" w:rsidP="006E20FD">
            <w:r>
              <w:t>Male, Aged 65</w:t>
            </w:r>
          </w:p>
        </w:tc>
        <w:tc>
          <w:tcPr>
            <w:tcW w:w="993" w:type="dxa"/>
          </w:tcPr>
          <w:p w:rsidR="00BE7146" w:rsidRDefault="00BE7146" w:rsidP="006E20FD">
            <w:r>
              <w:t>No TTE</w:t>
            </w:r>
          </w:p>
        </w:tc>
        <w:tc>
          <w:tcPr>
            <w:tcW w:w="1274" w:type="dxa"/>
          </w:tcPr>
          <w:p w:rsidR="00BE7146" w:rsidRDefault="002A2BB9" w:rsidP="006E20FD">
            <w:r>
              <w:t>1487</w:t>
            </w:r>
          </w:p>
        </w:tc>
        <w:tc>
          <w:tcPr>
            <w:tcW w:w="1133" w:type="dxa"/>
          </w:tcPr>
          <w:p w:rsidR="00BE7146" w:rsidRDefault="002A2BB9" w:rsidP="006E20FD">
            <w:r>
              <w:t>9.13</w:t>
            </w:r>
          </w:p>
        </w:tc>
        <w:tc>
          <w:tcPr>
            <w:tcW w:w="2267" w:type="dxa"/>
            <w:vMerge w:val="restart"/>
          </w:tcPr>
          <w:p w:rsidR="00BE7146" w:rsidRDefault="002A2BB9" w:rsidP="006E20FD">
            <w:r>
              <w:t>14</w:t>
            </w:r>
            <w:r w:rsidR="007A14AB">
              <w:t xml:space="preserve"> </w:t>
            </w:r>
            <w:r>
              <w:t>728</w:t>
            </w:r>
          </w:p>
          <w:p w:rsidR="002A2BB9" w:rsidRDefault="002A2BB9" w:rsidP="006E20FD">
            <w:r>
              <w:t>(14</w:t>
            </w:r>
            <w:r w:rsidR="007A14AB">
              <w:t xml:space="preserve"> </w:t>
            </w:r>
            <w:r>
              <w:t>693 to 14</w:t>
            </w:r>
            <w:r w:rsidR="007A14AB">
              <w:t xml:space="preserve"> </w:t>
            </w:r>
            <w:r>
              <w:t>782)</w:t>
            </w:r>
          </w:p>
        </w:tc>
        <w:tc>
          <w:tcPr>
            <w:tcW w:w="1198" w:type="dxa"/>
            <w:vMerge w:val="restart"/>
          </w:tcPr>
          <w:p w:rsidR="00BE7146" w:rsidRDefault="002A2BB9" w:rsidP="006E20FD">
            <w:r>
              <w:t>No</w:t>
            </w:r>
          </w:p>
        </w:tc>
      </w:tr>
      <w:tr w:rsidR="00BE7146" w:rsidTr="00BE7146">
        <w:trPr>
          <w:divId w:val="1548566716"/>
          <w:trHeight w:val="150"/>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2321</w:t>
            </w:r>
          </w:p>
        </w:tc>
        <w:tc>
          <w:tcPr>
            <w:tcW w:w="1133" w:type="dxa"/>
          </w:tcPr>
          <w:p w:rsidR="00BE7146" w:rsidRDefault="002A2BB9" w:rsidP="006E20FD">
            <w:r>
              <w:t>9.18</w:t>
            </w:r>
          </w:p>
        </w:tc>
        <w:tc>
          <w:tcPr>
            <w:tcW w:w="2267" w:type="dxa"/>
            <w:vMerge/>
          </w:tcPr>
          <w:p w:rsidR="00BE7146" w:rsidRDefault="00BE7146" w:rsidP="006E20FD"/>
        </w:tc>
        <w:tc>
          <w:tcPr>
            <w:tcW w:w="1198" w:type="dxa"/>
            <w:vMerge/>
          </w:tcPr>
          <w:p w:rsidR="00BE7146" w:rsidRDefault="00BE7146" w:rsidP="006E20FD"/>
        </w:tc>
      </w:tr>
      <w:tr w:rsidR="00BE7146" w:rsidTr="00BE7146">
        <w:trPr>
          <w:divId w:val="1548566716"/>
          <w:trHeight w:val="201"/>
        </w:trPr>
        <w:tc>
          <w:tcPr>
            <w:tcW w:w="1243" w:type="dxa"/>
            <w:vMerge/>
          </w:tcPr>
          <w:p w:rsidR="00BE7146" w:rsidRDefault="00BE7146" w:rsidP="006E20FD"/>
        </w:tc>
        <w:tc>
          <w:tcPr>
            <w:tcW w:w="1134" w:type="dxa"/>
            <w:vMerge w:val="restart"/>
          </w:tcPr>
          <w:p w:rsidR="00BE7146" w:rsidRDefault="00BE7146" w:rsidP="006E20FD">
            <w:r>
              <w:t>Female, Aged 65</w:t>
            </w:r>
          </w:p>
        </w:tc>
        <w:tc>
          <w:tcPr>
            <w:tcW w:w="993" w:type="dxa"/>
          </w:tcPr>
          <w:p w:rsidR="00BE7146" w:rsidRDefault="00BE7146" w:rsidP="006E20FD">
            <w:r>
              <w:t>No TTE</w:t>
            </w:r>
          </w:p>
        </w:tc>
        <w:tc>
          <w:tcPr>
            <w:tcW w:w="1274" w:type="dxa"/>
          </w:tcPr>
          <w:p w:rsidR="00BE7146" w:rsidRDefault="002A2BB9" w:rsidP="006E20FD">
            <w:r>
              <w:t>1942</w:t>
            </w:r>
          </w:p>
        </w:tc>
        <w:tc>
          <w:tcPr>
            <w:tcW w:w="1133" w:type="dxa"/>
          </w:tcPr>
          <w:p w:rsidR="00BE7146" w:rsidRDefault="002A2BB9" w:rsidP="006E20FD">
            <w:r>
              <w:t>9.95</w:t>
            </w:r>
          </w:p>
        </w:tc>
        <w:tc>
          <w:tcPr>
            <w:tcW w:w="2267" w:type="dxa"/>
            <w:vMerge w:val="restart"/>
          </w:tcPr>
          <w:p w:rsidR="00BE7146" w:rsidRDefault="002A2BB9" w:rsidP="006E20FD">
            <w:r>
              <w:t>12</w:t>
            </w:r>
            <w:r w:rsidR="007A14AB">
              <w:t xml:space="preserve"> </w:t>
            </w:r>
            <w:r>
              <w:t>314</w:t>
            </w:r>
          </w:p>
          <w:p w:rsidR="002A2BB9" w:rsidRDefault="002A2BB9" w:rsidP="006E20FD">
            <w:r>
              <w:t>(12</w:t>
            </w:r>
            <w:r w:rsidR="007A14AB">
              <w:t xml:space="preserve"> </w:t>
            </w:r>
            <w:r>
              <w:t>290 to 12</w:t>
            </w:r>
            <w:r w:rsidR="007A14AB">
              <w:t xml:space="preserve"> </w:t>
            </w:r>
            <w:r>
              <w:t>348)</w:t>
            </w:r>
          </w:p>
        </w:tc>
        <w:tc>
          <w:tcPr>
            <w:tcW w:w="1198" w:type="dxa"/>
            <w:vMerge w:val="restart"/>
          </w:tcPr>
          <w:p w:rsidR="00BE7146" w:rsidRDefault="002A2BB9" w:rsidP="006E20FD">
            <w:r>
              <w:t>No</w:t>
            </w:r>
          </w:p>
        </w:tc>
      </w:tr>
      <w:tr w:rsidR="00BE7146" w:rsidTr="00BE7146">
        <w:trPr>
          <w:divId w:val="1548566716"/>
          <w:trHeight w:val="184"/>
        </w:trPr>
        <w:tc>
          <w:tcPr>
            <w:tcW w:w="1243" w:type="dxa"/>
            <w:vMerge/>
          </w:tcPr>
          <w:p w:rsidR="00BE7146" w:rsidRDefault="00BE7146" w:rsidP="006E20FD"/>
        </w:tc>
        <w:tc>
          <w:tcPr>
            <w:tcW w:w="1134" w:type="dxa"/>
            <w:vMerge/>
          </w:tcPr>
          <w:p w:rsidR="00BE7146" w:rsidRDefault="00BE7146" w:rsidP="006E20FD"/>
        </w:tc>
        <w:tc>
          <w:tcPr>
            <w:tcW w:w="993" w:type="dxa"/>
          </w:tcPr>
          <w:p w:rsidR="00BE7146" w:rsidRDefault="00BE7146" w:rsidP="006E20FD">
            <w:r>
              <w:t>TTE</w:t>
            </w:r>
          </w:p>
        </w:tc>
        <w:tc>
          <w:tcPr>
            <w:tcW w:w="1274" w:type="dxa"/>
          </w:tcPr>
          <w:p w:rsidR="00BE7146" w:rsidRDefault="002A2BB9" w:rsidP="006E20FD">
            <w:r>
              <w:t>2946</w:t>
            </w:r>
          </w:p>
        </w:tc>
        <w:tc>
          <w:tcPr>
            <w:tcW w:w="1133" w:type="dxa"/>
          </w:tcPr>
          <w:p w:rsidR="00BE7146" w:rsidRDefault="002A2BB9" w:rsidP="006E20FD">
            <w:r>
              <w:t>10.01</w:t>
            </w:r>
          </w:p>
        </w:tc>
        <w:tc>
          <w:tcPr>
            <w:tcW w:w="2267" w:type="dxa"/>
            <w:vMerge/>
          </w:tcPr>
          <w:p w:rsidR="00BE7146" w:rsidRDefault="00BE7146" w:rsidP="006E20FD"/>
        </w:tc>
        <w:tc>
          <w:tcPr>
            <w:tcW w:w="1198" w:type="dxa"/>
            <w:vMerge/>
          </w:tcPr>
          <w:p w:rsidR="00BE7146" w:rsidRDefault="00BE7146" w:rsidP="004628AD">
            <w:pPr>
              <w:keepNext/>
            </w:pPr>
          </w:p>
        </w:tc>
      </w:tr>
    </w:tbl>
    <w:p w:rsidR="00ED0A41" w:rsidRPr="0031099C" w:rsidRDefault="004628AD" w:rsidP="004628AD">
      <w:pPr>
        <w:pStyle w:val="Caption"/>
      </w:pPr>
      <w:proofErr w:type="gramStart"/>
      <w:r>
        <w:t xml:space="preserve">Table </w:t>
      </w:r>
      <w:r w:rsidR="00AE22BA">
        <w:rPr>
          <w:noProof/>
        </w:rPr>
        <w:t>8</w:t>
      </w:r>
      <w:r>
        <w:t xml:space="preserve"> Summary of cost </w:t>
      </w:r>
      <w:proofErr w:type="spellStart"/>
      <w:r>
        <w:t>effectivness</w:t>
      </w:r>
      <w:proofErr w:type="spellEnd"/>
      <w:r>
        <w:t xml:space="preserve"> results.</w:t>
      </w:r>
      <w:proofErr w:type="gramEnd"/>
      <w:r>
        <w:t xml:space="preserve"> ICER: Incremental cost </w:t>
      </w:r>
      <w:proofErr w:type="spellStart"/>
      <w:r>
        <w:t>effectivness</w:t>
      </w:r>
      <w:proofErr w:type="spellEnd"/>
      <w:r>
        <w:t xml:space="preserve"> ratio. TTE: transthoracic echocardiography; QALY: Quality-adjusted life year. Dominated: the strategy is both more expensive and less effective than the strategy to which it is compared</w:t>
      </w:r>
    </w:p>
    <w:sectPr w:rsidR="00ED0A41" w:rsidRPr="0031099C" w:rsidSect="00C2196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3-04-23T11:47:00Z" w:initials="JWM">
    <w:p w:rsidR="00CB6D0B" w:rsidRDefault="00CB6D0B">
      <w:pPr>
        <w:pStyle w:val="CommentText"/>
      </w:pPr>
      <w:r>
        <w:rPr>
          <w:rStyle w:val="CommentReference"/>
        </w:rPr>
        <w:annotationRef/>
      </w:r>
      <w:r>
        <w:t>‘Focused update’ is the term the update used to describe itself. Please confirm you want this changing to just ‘update’.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129" w:rsidRDefault="00993129" w:rsidP="008D11C1">
      <w:r>
        <w:separator/>
      </w:r>
    </w:p>
  </w:endnote>
  <w:endnote w:type="continuationSeparator" w:id="0">
    <w:p w:rsidR="00993129" w:rsidRDefault="00993129"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CB6D0B" w:rsidRDefault="00CB6D0B" w:rsidP="008D11C1">
        <w:pPr>
          <w:pStyle w:val="Footer"/>
        </w:pPr>
        <w:r>
          <w:fldChar w:fldCharType="begin"/>
        </w:r>
        <w:r>
          <w:instrText xml:space="preserve"> PAGE   \* MERGEFORMAT </w:instrText>
        </w:r>
        <w:r>
          <w:fldChar w:fldCharType="separate"/>
        </w:r>
        <w:r w:rsidR="00AE22BA">
          <w:rPr>
            <w:noProof/>
          </w:rPr>
          <w:t>22</w:t>
        </w:r>
        <w:r>
          <w:rPr>
            <w:noProof/>
          </w:rPr>
          <w:fldChar w:fldCharType="end"/>
        </w:r>
      </w:p>
    </w:sdtContent>
  </w:sdt>
  <w:p w:rsidR="00CB6D0B" w:rsidRDefault="00CB6D0B"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129" w:rsidRDefault="00993129" w:rsidP="008D11C1">
      <w:r>
        <w:separator/>
      </w:r>
    </w:p>
  </w:footnote>
  <w:footnote w:type="continuationSeparator" w:id="0">
    <w:p w:rsidR="00993129" w:rsidRDefault="00993129" w:rsidP="008D11C1">
      <w:r>
        <w:continuationSeparator/>
      </w:r>
    </w:p>
  </w:footnote>
  <w:footnote w:id="1">
    <w:p w:rsidR="00CB6D0B" w:rsidRDefault="00CB6D0B">
      <w:pPr>
        <w:pStyle w:val="FootnoteText"/>
      </w:pPr>
      <w:r>
        <w:rPr>
          <w:rStyle w:val="FootnoteReference"/>
        </w:rPr>
        <w:footnoteRef/>
      </w:r>
      <w:r>
        <w:t xml:space="preserve"> Precise ICER is £30,310/QALY, so the No TTE option is still optimal at £30,000/QALY.</w:t>
      </w:r>
    </w:p>
  </w:footnote>
  <w:footnote w:id="2">
    <w:p w:rsidR="00CB6D0B" w:rsidRDefault="00CB6D0B">
      <w:pPr>
        <w:pStyle w:val="FootnoteText"/>
      </w:pPr>
      <w:r>
        <w:rPr>
          <w:rStyle w:val="FootnoteReference"/>
        </w:rPr>
        <w:footnoteRef/>
      </w:r>
      <w:r>
        <w:t xml:space="preserve"> All populations had initial CHADS</w:t>
      </w:r>
      <w:r w:rsidRPr="00770134">
        <w:rPr>
          <w:vertAlign w:val="subscript"/>
        </w:rPr>
        <w:t>2</w:t>
      </w:r>
      <w:r>
        <w:t xml:space="preserve"> scores of 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3"/>
  </w:num>
  <w:num w:numId="5">
    <w:abstractNumId w:val="18"/>
  </w:num>
  <w:num w:numId="6">
    <w:abstractNumId w:val="12"/>
  </w:num>
  <w:num w:numId="7">
    <w:abstractNumId w:val="6"/>
  </w:num>
  <w:num w:numId="8">
    <w:abstractNumId w:val="0"/>
  </w:num>
  <w:num w:numId="9">
    <w:abstractNumId w:val="21"/>
  </w:num>
  <w:num w:numId="10">
    <w:abstractNumId w:val="2"/>
  </w:num>
  <w:num w:numId="11">
    <w:abstractNumId w:val="22"/>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 w:numId="25">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615"/>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26C92"/>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B36C5"/>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18E"/>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415A"/>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3E89"/>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09BE"/>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84E"/>
    <w:rsid w:val="00920A0B"/>
    <w:rsid w:val="00925E03"/>
    <w:rsid w:val="00930CCB"/>
    <w:rsid w:val="00932F8B"/>
    <w:rsid w:val="00933B76"/>
    <w:rsid w:val="00933C10"/>
    <w:rsid w:val="009344EA"/>
    <w:rsid w:val="0093614E"/>
    <w:rsid w:val="0094141C"/>
    <w:rsid w:val="009606A0"/>
    <w:rsid w:val="00960F46"/>
    <w:rsid w:val="00972322"/>
    <w:rsid w:val="00974077"/>
    <w:rsid w:val="009764E6"/>
    <w:rsid w:val="00980413"/>
    <w:rsid w:val="00983B8D"/>
    <w:rsid w:val="009840A6"/>
    <w:rsid w:val="0098691C"/>
    <w:rsid w:val="00993129"/>
    <w:rsid w:val="00997914"/>
    <w:rsid w:val="009A3B70"/>
    <w:rsid w:val="009A59BC"/>
    <w:rsid w:val="009A6772"/>
    <w:rsid w:val="009B513D"/>
    <w:rsid w:val="009B762A"/>
    <w:rsid w:val="009C0DBF"/>
    <w:rsid w:val="009C2038"/>
    <w:rsid w:val="009C2BE1"/>
    <w:rsid w:val="009C7509"/>
    <w:rsid w:val="009E7F0D"/>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463E"/>
    <w:rsid w:val="00A96DA4"/>
    <w:rsid w:val="00AB2D8E"/>
    <w:rsid w:val="00AC692E"/>
    <w:rsid w:val="00AD6705"/>
    <w:rsid w:val="00AE22BA"/>
    <w:rsid w:val="00AE69C3"/>
    <w:rsid w:val="00AF094E"/>
    <w:rsid w:val="00B1326A"/>
    <w:rsid w:val="00B13ECE"/>
    <w:rsid w:val="00B14037"/>
    <w:rsid w:val="00B24433"/>
    <w:rsid w:val="00B31E31"/>
    <w:rsid w:val="00B325C3"/>
    <w:rsid w:val="00B36EBC"/>
    <w:rsid w:val="00B37EDA"/>
    <w:rsid w:val="00B43839"/>
    <w:rsid w:val="00B54241"/>
    <w:rsid w:val="00B56A7D"/>
    <w:rsid w:val="00B577E8"/>
    <w:rsid w:val="00B66501"/>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47292"/>
    <w:rsid w:val="00C6586B"/>
    <w:rsid w:val="00C84263"/>
    <w:rsid w:val="00C87195"/>
    <w:rsid w:val="00C918EC"/>
    <w:rsid w:val="00C97EB8"/>
    <w:rsid w:val="00CA434B"/>
    <w:rsid w:val="00CB6661"/>
    <w:rsid w:val="00CB6D0B"/>
    <w:rsid w:val="00CD343F"/>
    <w:rsid w:val="00CD6936"/>
    <w:rsid w:val="00CE4F27"/>
    <w:rsid w:val="00CE585A"/>
    <w:rsid w:val="00CE68A8"/>
    <w:rsid w:val="00CE721E"/>
    <w:rsid w:val="00CF007B"/>
    <w:rsid w:val="00CF1136"/>
    <w:rsid w:val="00CF20FA"/>
    <w:rsid w:val="00CF29E8"/>
    <w:rsid w:val="00D103FA"/>
    <w:rsid w:val="00D200D6"/>
    <w:rsid w:val="00D20CA0"/>
    <w:rsid w:val="00D21515"/>
    <w:rsid w:val="00D22AB2"/>
    <w:rsid w:val="00D324CF"/>
    <w:rsid w:val="00D34DE7"/>
    <w:rsid w:val="00D47469"/>
    <w:rsid w:val="00D561D8"/>
    <w:rsid w:val="00D57902"/>
    <w:rsid w:val="00D62831"/>
    <w:rsid w:val="00D65C68"/>
    <w:rsid w:val="00D67B2F"/>
    <w:rsid w:val="00D71C90"/>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2A6E"/>
    <w:rsid w:val="00E74F07"/>
    <w:rsid w:val="00E84302"/>
    <w:rsid w:val="00E92AF8"/>
    <w:rsid w:val="00E93B06"/>
    <w:rsid w:val="00E97667"/>
    <w:rsid w:val="00EB3ED4"/>
    <w:rsid w:val="00EB5AE5"/>
    <w:rsid w:val="00EB5B27"/>
    <w:rsid w:val="00ED065B"/>
    <w:rsid w:val="00ED0A41"/>
    <w:rsid w:val="00ED1CB5"/>
    <w:rsid w:val="00ED28B9"/>
    <w:rsid w:val="00EF4164"/>
    <w:rsid w:val="00EF4E89"/>
    <w:rsid w:val="00EF7137"/>
    <w:rsid w:val="00F00EDF"/>
    <w:rsid w:val="00F0458E"/>
    <w:rsid w:val="00F15320"/>
    <w:rsid w:val="00F16C06"/>
    <w:rsid w:val="00F309FB"/>
    <w:rsid w:val="00F37F4A"/>
    <w:rsid w:val="00F406A5"/>
    <w:rsid w:val="00F5273F"/>
    <w:rsid w:val="00F5467D"/>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3263">
      <w:bodyDiv w:val="1"/>
      <w:marLeft w:val="0"/>
      <w:marRight w:val="0"/>
      <w:marTop w:val="0"/>
      <w:marBottom w:val="0"/>
      <w:divBdr>
        <w:top w:val="none" w:sz="0" w:space="0" w:color="auto"/>
        <w:left w:val="none" w:sz="0" w:space="0" w:color="auto"/>
        <w:bottom w:val="none" w:sz="0" w:space="0" w:color="auto"/>
        <w:right w:val="none" w:sz="0" w:space="0" w:color="auto"/>
      </w:divBdr>
    </w:div>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7E5E37-3664-43EE-8CDE-21B794D0B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7959</Words>
  <Characters>45370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Minton</dc:creator>
  <cp:lastModifiedBy>Jon Minton</cp:lastModifiedBy>
  <cp:revision>3</cp:revision>
  <cp:lastPrinted>2012-12-30T16:52:00Z</cp:lastPrinted>
  <dcterms:created xsi:type="dcterms:W3CDTF">2013-04-23T12:48:00Z</dcterms:created>
  <dcterms:modified xsi:type="dcterms:W3CDTF">2013-04-23T12:48:00Z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Modern Language Association</vt:lpwstr>
  </property>
  <property fmtid="{D5CDD505-2E9C-101B-9397-08002B2CF9AE}" pid="24" name="Mendeley Recent Style Id 9_1">
    <vt:lpwstr>http://www.zotero.org/styles/mla</vt:lpwstr>
  </property>
</Properties>
</file>