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413" w:rsidRPr="00980413" w:rsidRDefault="00980413" w:rsidP="00980413">
      <w:pPr>
        <w:pStyle w:val="Heading1"/>
        <w:numPr>
          <w:ilvl w:val="0"/>
          <w:numId w:val="0"/>
        </w:numPr>
        <w:rPr>
          <w:rStyle w:val="apple-converted-space"/>
        </w:rPr>
      </w:pPr>
      <w:r w:rsidRPr="00980413">
        <w:t>Title - All manuscripts</w:t>
      </w:r>
      <w:r w:rsidRPr="00980413">
        <w:rPr>
          <w:rStyle w:val="apple-converted-space"/>
        </w:rPr>
        <w:t> </w:t>
      </w:r>
    </w:p>
    <w:p w:rsidR="00326C92" w:rsidRDefault="00326C92" w:rsidP="00C47292">
      <w:r>
        <w:t>When is it cost effective to use transthoracic echocardiography to aid the decision to prescribe oral anticoagulants in patients with newly diagnosed atrial fibrillation? An economic evaluation</w:t>
      </w:r>
    </w:p>
    <w:p w:rsidR="00980413" w:rsidRDefault="00980413" w:rsidP="003562A1">
      <w:pPr>
        <w:pStyle w:val="Heading1"/>
        <w:numPr>
          <w:ilvl w:val="0"/>
          <w:numId w:val="0"/>
        </w:numPr>
        <w:rPr>
          <w:rFonts w:ascii="Verdana" w:hAnsi="Verdana"/>
          <w:color w:val="000000"/>
          <w:sz w:val="17"/>
          <w:szCs w:val="17"/>
          <w:shd w:val="clear" w:color="auto" w:fill="FFFFFF"/>
        </w:rPr>
      </w:pPr>
      <w:r>
        <w:rPr>
          <w:rFonts w:ascii="Verdana" w:hAnsi="Verdana"/>
          <w:color w:val="000000"/>
          <w:sz w:val="17"/>
          <w:szCs w:val="17"/>
        </w:rPr>
        <w:br/>
      </w:r>
      <w:r w:rsidRPr="00980413">
        <w:t>- Names, addresses, and positions of all authors</w:t>
      </w:r>
      <w:r>
        <w:rPr>
          <w:rFonts w:ascii="Verdana" w:hAnsi="Verdana"/>
          <w:color w:val="000000"/>
          <w:sz w:val="17"/>
          <w:szCs w:val="17"/>
          <w:shd w:val="clear" w:color="auto" w:fill="FFFFFF"/>
        </w:rPr>
        <w:t xml:space="preserve"> </w:t>
      </w:r>
    </w:p>
    <w:p w:rsidR="00980413" w:rsidRDefault="00980413" w:rsidP="00980413">
      <w:pPr>
        <w:pStyle w:val="Heading1"/>
      </w:pPr>
    </w:p>
    <w:p w:rsidR="00980413" w:rsidRDefault="00980413" w:rsidP="00980413">
      <w:pPr>
        <w:pStyle w:val="Heading2"/>
        <w:numPr>
          <w:ilvl w:val="0"/>
          <w:numId w:val="0"/>
        </w:numPr>
      </w:pPr>
      <w:r>
        <w:t xml:space="preserve">Corresponding Author: </w:t>
      </w:r>
    </w:p>
    <w:p w:rsidR="00980413" w:rsidRDefault="00980413" w:rsidP="00752A4B">
      <w:pPr>
        <w:spacing w:after="0"/>
      </w:pPr>
      <w:r>
        <w:t>Jonathan William Minton,</w:t>
      </w:r>
    </w:p>
    <w:p w:rsidR="00D71C90" w:rsidRDefault="00D71C90" w:rsidP="00980413">
      <w:pPr>
        <w:spacing w:after="0"/>
      </w:pPr>
      <w:r>
        <w:t>Research Associate</w:t>
      </w:r>
    </w:p>
    <w:p w:rsidR="00980413" w:rsidRDefault="00980413" w:rsidP="00980413">
      <w:pPr>
        <w:spacing w:after="0"/>
      </w:pPr>
      <w:r>
        <w:t>Health Economic and Decision Science</w:t>
      </w:r>
    </w:p>
    <w:p w:rsidR="00980413" w:rsidRDefault="00980413" w:rsidP="00980413">
      <w:pPr>
        <w:spacing w:after="0"/>
      </w:pPr>
      <w:r>
        <w:t>School of Health and Related Research</w:t>
      </w:r>
    </w:p>
    <w:p w:rsidR="00980413" w:rsidRDefault="00980413" w:rsidP="00980413">
      <w:pPr>
        <w:spacing w:after="0"/>
      </w:pPr>
      <w:r>
        <w:t>The University of Sheffield</w:t>
      </w:r>
    </w:p>
    <w:p w:rsidR="00980413" w:rsidRDefault="00980413" w:rsidP="00980413">
      <w:pPr>
        <w:spacing w:after="0"/>
      </w:pPr>
      <w:r>
        <w:t>Regent Court</w:t>
      </w:r>
    </w:p>
    <w:p w:rsidR="00980413" w:rsidRDefault="00980413" w:rsidP="00980413">
      <w:pPr>
        <w:spacing w:after="0"/>
      </w:pPr>
      <w:r>
        <w:t>30 Regent Street</w:t>
      </w:r>
    </w:p>
    <w:p w:rsidR="00980413" w:rsidRDefault="00980413" w:rsidP="00980413">
      <w:pPr>
        <w:spacing w:after="0"/>
      </w:pPr>
      <w:r>
        <w:t>Sheffield</w:t>
      </w:r>
    </w:p>
    <w:p w:rsidR="00980413" w:rsidRDefault="00980413" w:rsidP="00980413">
      <w:pPr>
        <w:spacing w:after="0"/>
      </w:pPr>
      <w:r>
        <w:t>S1 4DA</w:t>
      </w:r>
    </w:p>
    <w:p w:rsidR="00980413" w:rsidRDefault="00980413" w:rsidP="00980413"/>
    <w:p w:rsidR="00980413" w:rsidRDefault="00980413" w:rsidP="00980413">
      <w:pPr>
        <w:pStyle w:val="Heading2"/>
        <w:numPr>
          <w:ilvl w:val="0"/>
          <w:numId w:val="0"/>
        </w:numPr>
      </w:pPr>
      <w:r>
        <w:t xml:space="preserve">Second Author: </w:t>
      </w:r>
    </w:p>
    <w:p w:rsidR="00980413" w:rsidRDefault="00980413" w:rsidP="00BD77AC">
      <w:pPr>
        <w:spacing w:after="0"/>
      </w:pPr>
      <w:r>
        <w:t>Professor Matthew Stevenson</w:t>
      </w:r>
    </w:p>
    <w:p w:rsidR="00D71C90" w:rsidRDefault="00D71C90" w:rsidP="00BD77AC">
      <w:pPr>
        <w:spacing w:after="0"/>
      </w:pPr>
      <w:r>
        <w:t>Professor of Health Economics</w:t>
      </w:r>
    </w:p>
    <w:p w:rsidR="00980413" w:rsidRDefault="00980413" w:rsidP="00980413">
      <w:pPr>
        <w:spacing w:after="0"/>
      </w:pPr>
      <w:r>
        <w:t>Health Economic and Decision Science</w:t>
      </w:r>
    </w:p>
    <w:p w:rsidR="00980413" w:rsidRDefault="00980413" w:rsidP="00980413">
      <w:pPr>
        <w:spacing w:after="0"/>
      </w:pPr>
      <w:r>
        <w:t>School of Health and Related Research</w:t>
      </w:r>
    </w:p>
    <w:p w:rsidR="00980413" w:rsidRDefault="00980413" w:rsidP="00980413">
      <w:pPr>
        <w:spacing w:after="0"/>
      </w:pPr>
      <w:r>
        <w:t>The University of Sheffield</w:t>
      </w:r>
    </w:p>
    <w:p w:rsidR="00980413" w:rsidRDefault="00980413" w:rsidP="00980413">
      <w:pPr>
        <w:spacing w:after="0"/>
      </w:pPr>
      <w:r>
        <w:t>Regent Court</w:t>
      </w:r>
    </w:p>
    <w:p w:rsidR="00980413" w:rsidRDefault="00980413" w:rsidP="00980413">
      <w:pPr>
        <w:spacing w:after="0"/>
      </w:pPr>
      <w:r>
        <w:t>30 Regent Street</w:t>
      </w:r>
    </w:p>
    <w:p w:rsidR="00980413" w:rsidRDefault="00980413" w:rsidP="00980413">
      <w:pPr>
        <w:spacing w:after="0"/>
      </w:pPr>
      <w:r>
        <w:t>Sheffield</w:t>
      </w:r>
    </w:p>
    <w:p w:rsidR="00980413" w:rsidRDefault="00980413" w:rsidP="00980413">
      <w:pPr>
        <w:spacing w:after="0"/>
      </w:pPr>
      <w:r>
        <w:t>S1 4DA</w:t>
      </w:r>
    </w:p>
    <w:p w:rsidR="00980413" w:rsidRDefault="00C47292" w:rsidP="00980413">
      <w:pPr>
        <w:pStyle w:val="Heading2"/>
        <w:numPr>
          <w:ilvl w:val="0"/>
          <w:numId w:val="0"/>
        </w:numPr>
      </w:pPr>
      <w:r>
        <w:t xml:space="preserve">Third Author: </w:t>
      </w:r>
    </w:p>
    <w:p w:rsidR="00C47292" w:rsidRDefault="00C47292" w:rsidP="00BD77AC">
      <w:pPr>
        <w:spacing w:after="0"/>
      </w:pPr>
      <w:proofErr w:type="spellStart"/>
      <w:r>
        <w:t>Dr</w:t>
      </w:r>
      <w:proofErr w:type="spellEnd"/>
      <w:r>
        <w:t xml:space="preserve"> Emma Simpson,</w:t>
      </w:r>
    </w:p>
    <w:p w:rsidR="00C47292" w:rsidRDefault="00C47292" w:rsidP="00C47292">
      <w:pPr>
        <w:spacing w:after="0"/>
      </w:pPr>
      <w:r>
        <w:t>Health Economic and Decision Science</w:t>
      </w:r>
    </w:p>
    <w:p w:rsidR="00C47292" w:rsidRDefault="00C47292" w:rsidP="00C47292">
      <w:pPr>
        <w:spacing w:after="0"/>
      </w:pPr>
      <w:r>
        <w:t>School of Health and Related Research</w:t>
      </w:r>
    </w:p>
    <w:p w:rsidR="00C47292" w:rsidRDefault="00C47292" w:rsidP="00C47292">
      <w:pPr>
        <w:spacing w:after="0"/>
      </w:pPr>
      <w:r>
        <w:lastRenderedPageBreak/>
        <w:t>The University of Sheffield</w:t>
      </w:r>
    </w:p>
    <w:p w:rsidR="00C47292" w:rsidRDefault="00C47292" w:rsidP="00C47292">
      <w:pPr>
        <w:spacing w:after="0"/>
      </w:pPr>
      <w:r>
        <w:t>Regent Court</w:t>
      </w:r>
    </w:p>
    <w:p w:rsidR="00C47292" w:rsidRDefault="00C47292" w:rsidP="00C47292">
      <w:pPr>
        <w:spacing w:after="0"/>
      </w:pPr>
      <w:r>
        <w:t>30 Regent Street</w:t>
      </w:r>
    </w:p>
    <w:p w:rsidR="00C47292" w:rsidRDefault="00C47292" w:rsidP="00C47292">
      <w:pPr>
        <w:spacing w:after="0"/>
      </w:pPr>
      <w:r>
        <w:t>Sheffield</w:t>
      </w:r>
    </w:p>
    <w:p w:rsidR="00C47292" w:rsidRDefault="00C47292" w:rsidP="00C47292">
      <w:pPr>
        <w:spacing w:after="0"/>
      </w:pPr>
      <w:r>
        <w:t>S1 4DA</w:t>
      </w:r>
    </w:p>
    <w:p w:rsidR="00C47292" w:rsidRPr="00C47292" w:rsidRDefault="00C47292" w:rsidP="00C47292"/>
    <w:p w:rsidR="00C47292" w:rsidRPr="00C47292" w:rsidRDefault="00C47292" w:rsidP="00C47292"/>
    <w:p w:rsidR="00980413" w:rsidRDefault="00C47292" w:rsidP="00980413">
      <w:pPr>
        <w:pStyle w:val="Heading2"/>
        <w:numPr>
          <w:ilvl w:val="0"/>
          <w:numId w:val="0"/>
        </w:numPr>
      </w:pPr>
      <w:r>
        <w:t>Fourth</w:t>
      </w:r>
      <w:r w:rsidR="00980413">
        <w:t xml:space="preserve"> Author: </w:t>
      </w:r>
    </w:p>
    <w:p w:rsidR="00980413" w:rsidRDefault="00980413" w:rsidP="00980413">
      <w:pPr>
        <w:spacing w:after="0"/>
      </w:pPr>
      <w:r>
        <w:t>Professor Gregory Y H Lip</w:t>
      </w:r>
    </w:p>
    <w:p w:rsidR="00980413" w:rsidRDefault="00980413" w:rsidP="00980413">
      <w:pPr>
        <w:spacing w:after="0"/>
      </w:pPr>
      <w:r>
        <w:t>University of Birmingham Centre for Cardiovascular Sciences</w:t>
      </w:r>
    </w:p>
    <w:p w:rsidR="00980413" w:rsidRDefault="00980413" w:rsidP="00980413">
      <w:pPr>
        <w:spacing w:after="0"/>
      </w:pPr>
      <w:r>
        <w:t>City Hospital</w:t>
      </w:r>
    </w:p>
    <w:p w:rsidR="00980413" w:rsidRDefault="00980413" w:rsidP="00980413">
      <w:pPr>
        <w:spacing w:after="0"/>
      </w:pPr>
      <w:r>
        <w:t>Birmingham</w:t>
      </w:r>
    </w:p>
    <w:p w:rsidR="00980413" w:rsidRDefault="00980413" w:rsidP="00980413">
      <w:pPr>
        <w:spacing w:after="0"/>
      </w:pPr>
      <w:r>
        <w:t>B18 7QH</w:t>
      </w:r>
    </w:p>
    <w:p w:rsidR="00980413" w:rsidRDefault="00980413" w:rsidP="00980413">
      <w:pPr>
        <w:pStyle w:val="Heading1"/>
        <w:numPr>
          <w:ilvl w:val="0"/>
          <w:numId w:val="0"/>
        </w:numPr>
      </w:pPr>
      <w:r w:rsidRPr="00980413">
        <w:t xml:space="preserve">Copyright </w:t>
      </w:r>
      <w:r>
        <w:t>Statement</w:t>
      </w:r>
    </w:p>
    <w:p w:rsidR="00980413" w:rsidRPr="00980413" w:rsidRDefault="00980413" w:rsidP="00980413">
      <w:pPr>
        <w:spacing w:after="0"/>
      </w:pPr>
      <w:r w:rsidRPr="00980413">
        <w:rPr>
          <w:bCs/>
          <w:iCs/>
        </w:rPr>
        <w:t>The Corresponding Author has the right to grant on behalf of all authors and does grant on behalf of all authors,</w:t>
      </w:r>
      <w:r w:rsidRPr="00980413">
        <w:t> </w:t>
      </w:r>
      <w:hyperlink r:id="rId9" w:history="1">
        <w:r w:rsidRPr="00980413">
          <w:t xml:space="preserve">a worldwide </w:t>
        </w:r>
        <w:proofErr w:type="spellStart"/>
        <w:r w:rsidRPr="00980413">
          <w:t>licence</w:t>
        </w:r>
        <w:proofErr w:type="spellEnd"/>
      </w:hyperlink>
      <w:r w:rsidRPr="00980413">
        <w:t> </w:t>
      </w:r>
      <w:r w:rsidRPr="00980413">
        <w:rPr>
          <w:bCs/>
          <w:iCs/>
        </w:rPr>
        <w:t xml:space="preserve">to the Publishers and its licensees in perpetuity, in all forms, formats and media (whether known now or created in the future), to </w:t>
      </w:r>
      <w:proofErr w:type="spellStart"/>
      <w:r w:rsidRPr="00980413">
        <w:rPr>
          <w:bCs/>
          <w:iCs/>
        </w:rPr>
        <w:t>i</w:t>
      </w:r>
      <w:proofErr w:type="spellEnd"/>
      <w:r w:rsidRPr="00980413">
        <w:rPr>
          <w:bCs/>
          <w:iCs/>
        </w:rPr>
        <w:t xml:space="preserve">) publish, reproduce, distribute, display and store the Contribution, ii) translate the Contribution into other languages, create adaptations, reprints, include within collections and create summaries, extracts and/or, abstracts of the Contribution, iii) create any other derivative work(s) based on the Contribution, iv) to exploit all subsidiary rights in the Contribution, v) the inclusion of electronic links from the Contribution to third party material where-ever it may be located; and, vi) </w:t>
      </w:r>
      <w:proofErr w:type="spellStart"/>
      <w:r w:rsidRPr="00980413">
        <w:rPr>
          <w:bCs/>
          <w:iCs/>
        </w:rPr>
        <w:t>licence</w:t>
      </w:r>
      <w:proofErr w:type="spellEnd"/>
      <w:r w:rsidRPr="00980413">
        <w:rPr>
          <w:bCs/>
          <w:iCs/>
        </w:rPr>
        <w:t xml:space="preserve"> any third party</w:t>
      </w:r>
      <w:r>
        <w:rPr>
          <w:bCs/>
          <w:iCs/>
        </w:rPr>
        <w:t xml:space="preserve"> to do any or all of the above.</w:t>
      </w:r>
    </w:p>
    <w:p w:rsidR="00980413" w:rsidRDefault="00980413" w:rsidP="003562A1">
      <w:pPr>
        <w:pStyle w:val="Heading1"/>
        <w:numPr>
          <w:ilvl w:val="0"/>
          <w:numId w:val="0"/>
        </w:numPr>
        <w:rPr>
          <w:rFonts w:ascii="Verdana" w:hAnsi="Verdana"/>
          <w:color w:val="000000"/>
          <w:sz w:val="17"/>
          <w:szCs w:val="17"/>
          <w:shd w:val="clear" w:color="auto" w:fill="FFFFFF"/>
        </w:rPr>
      </w:pPr>
      <w:r>
        <w:rPr>
          <w:rFonts w:ascii="Verdana" w:hAnsi="Verdana"/>
          <w:color w:val="000000"/>
          <w:sz w:val="17"/>
          <w:szCs w:val="17"/>
          <w:shd w:val="clear" w:color="auto" w:fill="FFFFFF"/>
        </w:rPr>
        <w:t>- Competing interest statement - All manuscripts</w:t>
      </w:r>
      <w:r>
        <w:rPr>
          <w:rStyle w:val="apple-converted-space"/>
          <w:rFonts w:ascii="Verdana" w:hAnsi="Verdana"/>
          <w:color w:val="000000"/>
          <w:sz w:val="17"/>
          <w:szCs w:val="17"/>
          <w:shd w:val="clear" w:color="auto" w:fill="FFFFFF"/>
        </w:rPr>
        <w:t> </w:t>
      </w:r>
      <w:r>
        <w:rPr>
          <w:rFonts w:ascii="Verdana" w:hAnsi="Verdana"/>
          <w:color w:val="000000"/>
          <w:sz w:val="17"/>
          <w:szCs w:val="17"/>
        </w:rPr>
        <w:br/>
      </w:r>
    </w:p>
    <w:p w:rsidR="00980413" w:rsidRDefault="00980413" w:rsidP="003562A1">
      <w:pPr>
        <w:pStyle w:val="Heading1"/>
        <w:numPr>
          <w:ilvl w:val="0"/>
          <w:numId w:val="0"/>
        </w:numPr>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 All authors have completed the Unified Competing Interest form atwww.icmje.org/coi_disclosure.pdf (available on request from the corresponding author) and declare: no support from any </w:t>
      </w:r>
      <w:proofErr w:type="spellStart"/>
      <w:r>
        <w:rPr>
          <w:rFonts w:ascii="Verdana" w:hAnsi="Verdana"/>
          <w:color w:val="000000"/>
          <w:sz w:val="17"/>
          <w:szCs w:val="17"/>
          <w:shd w:val="clear" w:color="auto" w:fill="FFFFFF"/>
        </w:rPr>
        <w:t>organisation</w:t>
      </w:r>
      <w:proofErr w:type="spellEnd"/>
      <w:r>
        <w:rPr>
          <w:rFonts w:ascii="Verdana" w:hAnsi="Verdana"/>
          <w:color w:val="000000"/>
          <w:sz w:val="17"/>
          <w:szCs w:val="17"/>
          <w:shd w:val="clear" w:color="auto" w:fill="FFFFFF"/>
        </w:rPr>
        <w:t xml:space="preserve"> for the submitted work [or describe if any]; no financial relationships with any </w:t>
      </w:r>
      <w:proofErr w:type="spellStart"/>
      <w:r>
        <w:rPr>
          <w:rFonts w:ascii="Verdana" w:hAnsi="Verdana"/>
          <w:color w:val="000000"/>
          <w:sz w:val="17"/>
          <w:szCs w:val="17"/>
          <w:shd w:val="clear" w:color="auto" w:fill="FFFFFF"/>
        </w:rPr>
        <w:t>organisations</w:t>
      </w:r>
      <w:proofErr w:type="spellEnd"/>
      <w:r>
        <w:rPr>
          <w:rFonts w:ascii="Verdana" w:hAnsi="Verdana"/>
          <w:color w:val="000000"/>
          <w:sz w:val="17"/>
          <w:szCs w:val="17"/>
          <w:shd w:val="clear" w:color="auto" w:fill="FFFFFF"/>
        </w:rPr>
        <w:t xml:space="preserve"> that might have an interest in the submitted work in the previous three years [or describe if any], no other relationships or activities that could appear to have influenced the submitted work [or describe if any].-</w:t>
      </w:r>
      <w:r>
        <w:rPr>
          <w:rStyle w:val="apple-converted-space"/>
          <w:rFonts w:ascii="Verdana" w:hAnsi="Verdana"/>
          <w:color w:val="000000"/>
          <w:sz w:val="17"/>
          <w:szCs w:val="17"/>
          <w:shd w:val="clear" w:color="auto" w:fill="FFFFFF"/>
        </w:rPr>
        <w:t> </w:t>
      </w:r>
      <w:r>
        <w:rPr>
          <w:rFonts w:ascii="Verdana" w:hAnsi="Verdana"/>
          <w:b w:val="0"/>
          <w:bCs w:val="0"/>
          <w:color w:val="000000"/>
          <w:sz w:val="17"/>
          <w:szCs w:val="17"/>
          <w:shd w:val="clear" w:color="auto" w:fill="FFFFFF"/>
        </w:rPr>
        <w:t>Please note:</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 xml:space="preserve">The corresponding author must collect Unified Competing Interest forms from all authors and </w:t>
      </w:r>
      <w:proofErr w:type="spellStart"/>
      <w:r>
        <w:rPr>
          <w:rFonts w:ascii="Verdana" w:hAnsi="Verdana"/>
          <w:color w:val="000000"/>
          <w:sz w:val="17"/>
          <w:szCs w:val="17"/>
          <w:shd w:val="clear" w:color="auto" w:fill="FFFFFF"/>
        </w:rPr>
        <w:t>summarise</w:t>
      </w:r>
      <w:proofErr w:type="spellEnd"/>
      <w:r>
        <w:rPr>
          <w:rFonts w:ascii="Verdana" w:hAnsi="Verdana"/>
          <w:color w:val="000000"/>
          <w:sz w:val="17"/>
          <w:szCs w:val="17"/>
          <w:shd w:val="clear" w:color="auto" w:fill="FFFFFF"/>
        </w:rPr>
        <w:t xml:space="preserve"> their declarations as above within the manuscript. You do NOT need to send copies of the forms to the BMJ. Please click here for</w:t>
      </w:r>
      <w:r>
        <w:rPr>
          <w:rStyle w:val="apple-converted-space"/>
          <w:rFonts w:ascii="Verdana" w:hAnsi="Verdana"/>
          <w:color w:val="000000"/>
          <w:sz w:val="17"/>
          <w:szCs w:val="17"/>
          <w:shd w:val="clear" w:color="auto" w:fill="FFFFFF"/>
        </w:rPr>
        <w:t> </w:t>
      </w:r>
      <w:hyperlink r:id="rId10" w:tgtFrame="_new" w:history="1">
        <w:r>
          <w:rPr>
            <w:rStyle w:val="Hyperlink"/>
            <w:rFonts w:ascii="Verdana" w:hAnsi="Verdana"/>
            <w:color w:val="666666"/>
            <w:sz w:val="17"/>
            <w:szCs w:val="17"/>
            <w:shd w:val="clear" w:color="auto" w:fill="FFFFFF"/>
          </w:rPr>
          <w:t>further guidance</w:t>
        </w:r>
      </w:hyperlink>
      <w:r>
        <w:rPr>
          <w:rStyle w:val="apple-converted-space"/>
          <w:rFonts w:ascii="Verdana" w:hAnsi="Verdana"/>
          <w:color w:val="000000"/>
          <w:sz w:val="17"/>
          <w:szCs w:val="17"/>
          <w:shd w:val="clear" w:color="auto" w:fill="FFFFFF"/>
        </w:rPr>
        <w:t> </w:t>
      </w:r>
      <w:r>
        <w:rPr>
          <w:rFonts w:ascii="Verdana" w:hAnsi="Verdana"/>
          <w:color w:val="000000"/>
          <w:sz w:val="17"/>
          <w:szCs w:val="17"/>
        </w:rPr>
        <w:br/>
      </w:r>
    </w:p>
    <w:p w:rsidR="00D21515" w:rsidRDefault="00980413" w:rsidP="003562A1">
      <w:pPr>
        <w:pStyle w:val="Heading1"/>
        <w:numPr>
          <w:ilvl w:val="0"/>
          <w:numId w:val="0"/>
        </w:numPr>
        <w:rPr>
          <w:rStyle w:val="apple-converted-space"/>
          <w:rFonts w:ascii="Verdana" w:hAnsi="Verdana"/>
          <w:color w:val="000000"/>
          <w:sz w:val="17"/>
          <w:szCs w:val="17"/>
          <w:shd w:val="clear" w:color="auto" w:fill="FFFFFF"/>
        </w:rPr>
      </w:pPr>
      <w:r>
        <w:rPr>
          <w:rFonts w:ascii="Verdana" w:hAnsi="Verdana"/>
          <w:color w:val="000000"/>
          <w:sz w:val="17"/>
          <w:szCs w:val="17"/>
          <w:shd w:val="clear" w:color="auto" w:fill="FFFFFF"/>
        </w:rPr>
        <w:t>- Details of contributors, and the name of the guarantor - All full papers (</w:t>
      </w:r>
      <w:proofErr w:type="spellStart"/>
      <w:r>
        <w:rPr>
          <w:rFonts w:ascii="Verdana" w:hAnsi="Verdana"/>
          <w:color w:val="000000"/>
          <w:sz w:val="17"/>
          <w:szCs w:val="17"/>
          <w:shd w:val="clear" w:color="auto" w:fill="FFFFFF"/>
        </w:rPr>
        <w:t>eg</w:t>
      </w:r>
      <w:proofErr w:type="spellEnd"/>
      <w:r>
        <w:rPr>
          <w:rFonts w:ascii="Verdana" w:hAnsi="Verdana"/>
          <w:color w:val="000000"/>
          <w:sz w:val="17"/>
          <w:szCs w:val="17"/>
          <w:shd w:val="clear" w:color="auto" w:fill="FFFFFF"/>
        </w:rPr>
        <w:t xml:space="preserve"> not fillers or personal views)</w:t>
      </w:r>
      <w:r>
        <w:rPr>
          <w:rStyle w:val="apple-converted-space"/>
          <w:rFonts w:ascii="Verdana" w:hAnsi="Verdana"/>
          <w:color w:val="000000"/>
          <w:sz w:val="17"/>
          <w:szCs w:val="17"/>
          <w:shd w:val="clear" w:color="auto" w:fill="FFFFFF"/>
        </w:rPr>
        <w:t> </w:t>
      </w:r>
    </w:p>
    <w:p w:rsidR="00D21515" w:rsidRDefault="00D21515" w:rsidP="003562A1">
      <w:pPr>
        <w:pStyle w:val="Heading1"/>
        <w:numPr>
          <w:ilvl w:val="0"/>
          <w:numId w:val="0"/>
        </w:numPr>
        <w:rPr>
          <w:rStyle w:val="apple-converted-space"/>
          <w:rFonts w:ascii="Verdana" w:hAnsi="Verdana"/>
          <w:color w:val="000000"/>
          <w:sz w:val="17"/>
          <w:szCs w:val="17"/>
          <w:shd w:val="clear" w:color="auto" w:fill="FFFFFF"/>
        </w:rPr>
      </w:pPr>
    </w:p>
    <w:p w:rsidR="00D21515" w:rsidRDefault="00935ED3" w:rsidP="00D21515">
      <w:r>
        <w:t xml:space="preserve">JM: </w:t>
      </w:r>
      <w:r w:rsidR="00D21515">
        <w:t xml:space="preserve">Developed model; wrote first and subsequent drafts of manuscript; </w:t>
      </w:r>
    </w:p>
    <w:p w:rsidR="00D21515" w:rsidRDefault="00D21515" w:rsidP="00D21515">
      <w:r>
        <w:t>MS: Created model; commented on all drafts of manuscript</w:t>
      </w:r>
      <w:r w:rsidR="00C47292">
        <w:t>;</w:t>
      </w:r>
    </w:p>
    <w:p w:rsidR="00C47292" w:rsidRDefault="00C47292" w:rsidP="00D21515">
      <w:r>
        <w:t>ES: Involved in discussion on data sources and commented on manuscript drafts;</w:t>
      </w:r>
    </w:p>
    <w:p w:rsidR="00D21515" w:rsidRPr="00D21515" w:rsidRDefault="00D21515" w:rsidP="00D21515">
      <w:r>
        <w:t xml:space="preserve">GL: </w:t>
      </w:r>
      <w:r w:rsidR="00C97EB8">
        <w:t>Contribute</w:t>
      </w:r>
      <w:r w:rsidR="00C47292">
        <w:t>d to all versions of manuscript and provided clinical input</w:t>
      </w:r>
      <w:r w:rsidR="00C97EB8">
        <w:t>.</w:t>
      </w:r>
    </w:p>
    <w:p w:rsidR="0092084E" w:rsidRDefault="00980413" w:rsidP="003562A1">
      <w:pPr>
        <w:pStyle w:val="Heading1"/>
        <w:numPr>
          <w:ilvl w:val="0"/>
          <w:numId w:val="0"/>
        </w:numPr>
        <w:rPr>
          <w:rStyle w:val="apple-converted-space"/>
          <w:rFonts w:ascii="Verdana" w:hAnsi="Verdana"/>
          <w:color w:val="000000"/>
          <w:sz w:val="17"/>
          <w:szCs w:val="17"/>
          <w:shd w:val="clear" w:color="auto" w:fill="FFFFFF"/>
        </w:rPr>
      </w:pPr>
      <w:r>
        <w:rPr>
          <w:rFonts w:ascii="Verdana" w:hAnsi="Verdana"/>
          <w:color w:val="000000"/>
          <w:sz w:val="17"/>
          <w:szCs w:val="17"/>
          <w:shd w:val="clear" w:color="auto" w:fill="FFFFFF"/>
        </w:rPr>
        <w:t>- Details of ethical approval (or a statement that it was not required) - All research studies</w:t>
      </w:r>
      <w:r>
        <w:rPr>
          <w:rStyle w:val="apple-converted-space"/>
          <w:rFonts w:ascii="Verdana" w:hAnsi="Verdana"/>
          <w:color w:val="000000"/>
          <w:sz w:val="17"/>
          <w:szCs w:val="17"/>
          <w:shd w:val="clear" w:color="auto" w:fill="FFFFFF"/>
        </w:rPr>
        <w:t> </w:t>
      </w:r>
    </w:p>
    <w:p w:rsidR="00980413" w:rsidRDefault="0092084E" w:rsidP="00C97EB8">
      <w:pPr>
        <w:jc w:val="left"/>
        <w:rPr>
          <w:rFonts w:ascii="Verdana" w:hAnsi="Verdana"/>
          <w:color w:val="000000"/>
          <w:sz w:val="17"/>
          <w:szCs w:val="17"/>
          <w:shd w:val="clear" w:color="auto" w:fill="FFFFFF"/>
        </w:rPr>
      </w:pPr>
      <w:r w:rsidRPr="00C97EB8">
        <w:t>Not required</w:t>
      </w:r>
      <w:r w:rsidR="00980413">
        <w:rPr>
          <w:rFonts w:ascii="Verdana" w:hAnsi="Verdana"/>
          <w:color w:val="000000"/>
          <w:sz w:val="17"/>
          <w:szCs w:val="17"/>
        </w:rPr>
        <w:br/>
      </w:r>
    </w:p>
    <w:p w:rsidR="0092084E" w:rsidRDefault="00980413" w:rsidP="003562A1">
      <w:pPr>
        <w:pStyle w:val="Heading1"/>
        <w:numPr>
          <w:ilvl w:val="0"/>
          <w:numId w:val="0"/>
        </w:numPr>
        <w:rPr>
          <w:rStyle w:val="apple-converted-space"/>
          <w:rFonts w:ascii="Verdana" w:hAnsi="Verdana"/>
          <w:color w:val="000000"/>
          <w:sz w:val="17"/>
          <w:szCs w:val="17"/>
          <w:shd w:val="clear" w:color="auto" w:fill="FFFFFF"/>
        </w:rPr>
      </w:pPr>
      <w:r>
        <w:rPr>
          <w:rFonts w:ascii="Verdana" w:hAnsi="Verdana"/>
          <w:color w:val="000000"/>
          <w:sz w:val="17"/>
          <w:szCs w:val="17"/>
          <w:shd w:val="clear" w:color="auto" w:fill="FFFFFF"/>
        </w:rPr>
        <w:t>- Details of funding - All research studies</w:t>
      </w:r>
      <w:r>
        <w:rPr>
          <w:rStyle w:val="apple-converted-space"/>
          <w:rFonts w:ascii="Verdana" w:hAnsi="Verdana"/>
          <w:color w:val="000000"/>
          <w:sz w:val="17"/>
          <w:szCs w:val="17"/>
          <w:shd w:val="clear" w:color="auto" w:fill="FFFFFF"/>
        </w:rPr>
        <w:t> </w:t>
      </w:r>
    </w:p>
    <w:p w:rsidR="00D71C90" w:rsidRDefault="00D71C90" w:rsidP="00D71C90">
      <w:pPr>
        <w:jc w:val="left"/>
      </w:pPr>
      <w:r>
        <w:t xml:space="preserve">This paper was based on research funded as part of the National Institute for Health Research Health Technology Assessment </w:t>
      </w:r>
      <w:proofErr w:type="spellStart"/>
      <w:r>
        <w:t>Programme</w:t>
      </w:r>
      <w:proofErr w:type="spellEnd"/>
      <w:r>
        <w:t xml:space="preserve"> (Project code 08/45/01)</w:t>
      </w:r>
    </w:p>
    <w:p w:rsidR="00980413" w:rsidRDefault="00980413" w:rsidP="00C97EB8">
      <w:pPr>
        <w:jc w:val="left"/>
        <w:rPr>
          <w:rFonts w:ascii="Verdana" w:hAnsi="Verdana"/>
          <w:color w:val="000000"/>
          <w:sz w:val="17"/>
          <w:szCs w:val="17"/>
          <w:shd w:val="clear" w:color="auto" w:fill="FFFFFF"/>
        </w:rPr>
      </w:pPr>
    </w:p>
    <w:p w:rsidR="0092084E" w:rsidRDefault="00980413" w:rsidP="003562A1">
      <w:pPr>
        <w:pStyle w:val="Heading1"/>
        <w:numPr>
          <w:ilvl w:val="0"/>
          <w:numId w:val="0"/>
        </w:numPr>
        <w:rPr>
          <w:rStyle w:val="apple-converted-space"/>
          <w:rFonts w:ascii="Verdana" w:hAnsi="Verdana"/>
          <w:color w:val="000000"/>
          <w:sz w:val="17"/>
          <w:szCs w:val="17"/>
          <w:shd w:val="clear" w:color="auto" w:fill="FFFFFF"/>
        </w:rPr>
      </w:pPr>
      <w:r>
        <w:rPr>
          <w:rFonts w:ascii="Verdana" w:hAnsi="Verdana"/>
          <w:color w:val="000000"/>
          <w:sz w:val="17"/>
          <w:szCs w:val="17"/>
          <w:shd w:val="clear" w:color="auto" w:fill="FFFFFF"/>
        </w:rPr>
        <w:t>- Details of the role of the study sponsors - All research studies</w:t>
      </w:r>
      <w:r>
        <w:rPr>
          <w:rStyle w:val="apple-converted-space"/>
          <w:rFonts w:ascii="Verdana" w:hAnsi="Verdana"/>
          <w:color w:val="000000"/>
          <w:sz w:val="17"/>
          <w:szCs w:val="17"/>
          <w:shd w:val="clear" w:color="auto" w:fill="FFFFFF"/>
        </w:rPr>
        <w:t> </w:t>
      </w:r>
    </w:p>
    <w:p w:rsidR="00D71C90" w:rsidRPr="00D71C90" w:rsidRDefault="00D71C90" w:rsidP="00D71C90">
      <w:pPr>
        <w:jc w:val="left"/>
      </w:pPr>
      <w:r>
        <w:t xml:space="preserve">The study sponsor had no role in the content of this manuscript. </w:t>
      </w:r>
    </w:p>
    <w:p w:rsidR="00980413" w:rsidRPr="00D71C90" w:rsidRDefault="00980413" w:rsidP="003562A1">
      <w:pPr>
        <w:pStyle w:val="Heading1"/>
        <w:numPr>
          <w:ilvl w:val="0"/>
          <w:numId w:val="0"/>
        </w:numPr>
        <w:rPr>
          <w:rFonts w:ascii="Verdana" w:hAnsi="Verdana"/>
          <w:b w:val="0"/>
          <w:color w:val="000000"/>
          <w:sz w:val="17"/>
          <w:szCs w:val="17"/>
          <w:shd w:val="clear" w:color="auto" w:fill="FFFFFF"/>
        </w:rPr>
      </w:pPr>
      <w:r>
        <w:rPr>
          <w:rFonts w:ascii="Verdana" w:hAnsi="Verdana"/>
          <w:color w:val="000000"/>
          <w:sz w:val="17"/>
          <w:szCs w:val="17"/>
          <w:shd w:val="clear" w:color="auto" w:fill="FFFFFF"/>
        </w:rPr>
        <w:t>- Statement of independence of researchers from funders - All research studies</w:t>
      </w:r>
      <w:r>
        <w:rPr>
          <w:rStyle w:val="apple-converted-space"/>
          <w:rFonts w:ascii="Verdana" w:hAnsi="Verdana"/>
          <w:color w:val="000000"/>
          <w:sz w:val="17"/>
          <w:szCs w:val="17"/>
          <w:shd w:val="clear" w:color="auto" w:fill="FFFFFF"/>
        </w:rPr>
        <w:t> </w:t>
      </w:r>
      <w:r>
        <w:rPr>
          <w:rFonts w:ascii="Verdana" w:hAnsi="Verdana"/>
          <w:color w:val="000000"/>
          <w:sz w:val="17"/>
          <w:szCs w:val="17"/>
        </w:rPr>
        <w:br/>
      </w:r>
      <w:proofErr w:type="gramStart"/>
      <w:r w:rsidR="00D71C90">
        <w:rPr>
          <w:rFonts w:asciiTheme="minorHAnsi" w:eastAsiaTheme="minorEastAsia" w:hAnsiTheme="minorHAnsi" w:cstheme="minorBidi"/>
          <w:b w:val="0"/>
          <w:bCs w:val="0"/>
          <w:sz w:val="22"/>
          <w:szCs w:val="22"/>
        </w:rPr>
        <w:t>The</w:t>
      </w:r>
      <w:proofErr w:type="gramEnd"/>
      <w:r w:rsidR="00D71C90">
        <w:rPr>
          <w:rFonts w:asciiTheme="minorHAnsi" w:eastAsiaTheme="minorEastAsia" w:hAnsiTheme="minorHAnsi" w:cstheme="minorBidi"/>
          <w:b w:val="0"/>
          <w:bCs w:val="0"/>
          <w:sz w:val="22"/>
          <w:szCs w:val="22"/>
        </w:rPr>
        <w:t xml:space="preserve"> authors are all independent of the funders.</w:t>
      </w:r>
    </w:p>
    <w:p w:rsidR="00980413" w:rsidRDefault="00980413" w:rsidP="003562A1">
      <w:pPr>
        <w:pStyle w:val="Heading1"/>
        <w:numPr>
          <w:ilvl w:val="0"/>
          <w:numId w:val="0"/>
        </w:numPr>
        <w:rPr>
          <w:rFonts w:ascii="Verdana" w:hAnsi="Verdana"/>
          <w:color w:val="000000"/>
          <w:sz w:val="17"/>
          <w:szCs w:val="17"/>
          <w:shd w:val="clear" w:color="auto" w:fill="FFFFFF"/>
        </w:rPr>
      </w:pPr>
      <w:r>
        <w:rPr>
          <w:rFonts w:ascii="Verdana" w:hAnsi="Verdana"/>
          <w:color w:val="000000"/>
          <w:sz w:val="17"/>
          <w:szCs w:val="17"/>
        </w:rPr>
        <w:br/>
      </w:r>
    </w:p>
    <w:p w:rsidR="00980413" w:rsidRDefault="00980413" w:rsidP="003562A1">
      <w:pPr>
        <w:pStyle w:val="Heading1"/>
        <w:numPr>
          <w:ilvl w:val="0"/>
          <w:numId w:val="0"/>
        </w:numPr>
        <w:rPr>
          <w:lang w:val="en-GB"/>
        </w:rPr>
      </w:pPr>
      <w:r>
        <w:rPr>
          <w:rFonts w:ascii="Verdana" w:hAnsi="Verdana"/>
          <w:color w:val="000000"/>
          <w:sz w:val="17"/>
          <w:szCs w:val="17"/>
          <w:shd w:val="clear" w:color="auto" w:fill="FFFFFF"/>
        </w:rPr>
        <w:t xml:space="preserve">- Data sharing statement </w:t>
      </w:r>
      <w:proofErr w:type="gramStart"/>
      <w:r>
        <w:rPr>
          <w:rFonts w:ascii="Verdana" w:hAnsi="Verdana"/>
          <w:color w:val="000000"/>
          <w:sz w:val="17"/>
          <w:szCs w:val="17"/>
          <w:shd w:val="clear" w:color="auto" w:fill="FFFFFF"/>
        </w:rPr>
        <w:t>All</w:t>
      </w:r>
      <w:proofErr w:type="gramEnd"/>
      <w:r>
        <w:rPr>
          <w:rFonts w:ascii="Verdana" w:hAnsi="Verdana"/>
          <w:color w:val="000000"/>
          <w:sz w:val="17"/>
          <w:szCs w:val="17"/>
          <w:shd w:val="clear" w:color="auto" w:fill="FFFFFF"/>
        </w:rPr>
        <w:t xml:space="preserve"> research studies</w:t>
      </w:r>
      <w:r>
        <w:rPr>
          <w:rStyle w:val="apple-converted-space"/>
          <w:rFonts w:ascii="Verdana" w:hAnsi="Verdana"/>
          <w:color w:val="000000"/>
          <w:sz w:val="17"/>
          <w:szCs w:val="17"/>
          <w:shd w:val="clear" w:color="auto" w:fill="FFFFFF"/>
        </w:rPr>
        <w:t> </w:t>
      </w:r>
    </w:p>
    <w:p w:rsidR="00980413" w:rsidRDefault="00980413" w:rsidP="00D71C90">
      <w:pPr>
        <w:jc w:val="left"/>
        <w:rPr>
          <w:lang w:val="en-GB"/>
        </w:rPr>
      </w:pPr>
    </w:p>
    <w:p w:rsidR="0092084E" w:rsidRDefault="0092084E" w:rsidP="00D71C90">
      <w:pPr>
        <w:jc w:val="left"/>
        <w:rPr>
          <w:rFonts w:asciiTheme="majorHAnsi" w:eastAsiaTheme="majorEastAsia" w:hAnsiTheme="majorHAnsi" w:cstheme="majorBidi"/>
          <w:b/>
          <w:bCs/>
          <w:sz w:val="32"/>
          <w:szCs w:val="28"/>
          <w:lang w:val="en-GB"/>
        </w:rPr>
      </w:pPr>
      <w:r>
        <w:rPr>
          <w:lang w:val="en-GB"/>
        </w:rPr>
        <w:br w:type="page"/>
      </w:r>
    </w:p>
    <w:p w:rsidR="009B762A" w:rsidRPr="00532F44" w:rsidRDefault="0005390C" w:rsidP="003562A1">
      <w:pPr>
        <w:pStyle w:val="Heading1"/>
        <w:numPr>
          <w:ilvl w:val="0"/>
          <w:numId w:val="0"/>
        </w:numPr>
        <w:rPr>
          <w:lang w:val="en-GB"/>
        </w:rPr>
      </w:pPr>
      <w:r w:rsidRPr="00532F44">
        <w:rPr>
          <w:lang w:val="en-GB"/>
        </w:rPr>
        <w:lastRenderedPageBreak/>
        <w:t>Abstract</w:t>
      </w:r>
    </w:p>
    <w:p w:rsidR="00BC10AD" w:rsidRDefault="00B13ECE" w:rsidP="008D11C1">
      <w:pPr>
        <w:rPr>
          <w:b/>
          <w:shd w:val="clear" w:color="auto" w:fill="FFFFFF"/>
        </w:rPr>
      </w:pPr>
      <w:r>
        <w:rPr>
          <w:b/>
          <w:shd w:val="clear" w:color="auto" w:fill="FFFFFF"/>
        </w:rPr>
        <w:t>Background</w:t>
      </w:r>
      <w:r w:rsidR="00BC10AD" w:rsidRPr="00532F44">
        <w:rPr>
          <w:b/>
          <w:shd w:val="clear" w:color="auto" w:fill="FFFFFF"/>
        </w:rPr>
        <w:t xml:space="preserve">: </w:t>
      </w:r>
      <w:r w:rsidR="00BC10AD" w:rsidRPr="00532F44">
        <w:rPr>
          <w:shd w:val="clear" w:color="auto" w:fill="FFFFFF"/>
        </w:rPr>
        <w:t xml:space="preserve">Atrial fibrillation </w:t>
      </w:r>
      <w:r w:rsidR="002D6708">
        <w:rPr>
          <w:shd w:val="clear" w:color="auto" w:fill="FFFFFF"/>
        </w:rPr>
        <w:t>(AF)</w:t>
      </w:r>
      <w:r w:rsidR="00253316">
        <w:rPr>
          <w:shd w:val="clear" w:color="auto" w:fill="FFFFFF"/>
        </w:rPr>
        <w:t xml:space="preserve"> </w:t>
      </w:r>
      <w:r w:rsidR="00BC10AD" w:rsidRPr="00532F44">
        <w:rPr>
          <w:shd w:val="clear" w:color="auto" w:fill="FFFFFF"/>
        </w:rPr>
        <w:t xml:space="preserve">is </w:t>
      </w:r>
      <w:r>
        <w:rPr>
          <w:shd w:val="clear" w:color="auto" w:fill="FFFFFF"/>
        </w:rPr>
        <w:t xml:space="preserve">common and increases </w:t>
      </w:r>
      <w:r w:rsidR="00BC10AD" w:rsidRPr="00532F44">
        <w:rPr>
          <w:shd w:val="clear" w:color="auto" w:fill="FFFFFF"/>
        </w:rPr>
        <w:t>stroke risk</w:t>
      </w:r>
      <w:r>
        <w:rPr>
          <w:shd w:val="clear" w:color="auto" w:fill="FFFFFF"/>
        </w:rPr>
        <w:t xml:space="preserve">. Echocardiography is </w:t>
      </w:r>
      <w:r w:rsidR="00145CDA">
        <w:rPr>
          <w:shd w:val="clear" w:color="auto" w:fill="FFFFFF"/>
        </w:rPr>
        <w:t xml:space="preserve">often </w:t>
      </w:r>
      <w:r>
        <w:rPr>
          <w:shd w:val="clear" w:color="auto" w:fill="FFFFFF"/>
        </w:rPr>
        <w:t xml:space="preserve">performed as part of the </w:t>
      </w:r>
      <w:proofErr w:type="spellStart"/>
      <w:r>
        <w:rPr>
          <w:shd w:val="clear" w:color="auto" w:fill="FFFFFF"/>
        </w:rPr>
        <w:t>cardiological</w:t>
      </w:r>
      <w:proofErr w:type="spellEnd"/>
      <w:r>
        <w:rPr>
          <w:shd w:val="clear" w:color="auto" w:fill="FFFFFF"/>
        </w:rPr>
        <w:t xml:space="preserve"> evaluation of patients with AF to assist with stroke risk stratification (and hence, decisions on </w:t>
      </w:r>
      <w:proofErr w:type="spellStart"/>
      <w:r>
        <w:rPr>
          <w:shd w:val="clear" w:color="auto" w:fill="FFFFFF"/>
        </w:rPr>
        <w:t>thromboprophylaxis</w:t>
      </w:r>
      <w:proofErr w:type="spellEnd"/>
      <w:r>
        <w:rPr>
          <w:shd w:val="clear" w:color="auto" w:fill="FFFFFF"/>
        </w:rPr>
        <w:t xml:space="preserve"> with oral anticoagulants (OACs)). The cost effectiveness of such an approach is unknown.</w:t>
      </w:r>
    </w:p>
    <w:p w:rsidR="00BC10AD" w:rsidRDefault="00BC10AD" w:rsidP="008D11C1">
      <w:pPr>
        <w:rPr>
          <w:shd w:val="clear" w:color="auto" w:fill="FFFFFF"/>
        </w:rPr>
      </w:pPr>
      <w:r>
        <w:rPr>
          <w:b/>
          <w:shd w:val="clear" w:color="auto" w:fill="FFFFFF"/>
        </w:rPr>
        <w:t xml:space="preserve">Objective: </w:t>
      </w:r>
      <w:r>
        <w:rPr>
          <w:shd w:val="clear" w:color="auto" w:fill="FFFFFF"/>
        </w:rPr>
        <w:t xml:space="preserve">To estimate the cost-effectiveness of using transthoracic echocardiography (TTE) in helping to make the decision whether to prescribe an </w:t>
      </w:r>
      <w:r w:rsidR="002D6708">
        <w:rPr>
          <w:shd w:val="clear" w:color="auto" w:fill="FFFFFF"/>
        </w:rPr>
        <w:t>OAC</w:t>
      </w:r>
      <w:r>
        <w:rPr>
          <w:shd w:val="clear" w:color="auto" w:fill="FFFFFF"/>
        </w:rPr>
        <w:t xml:space="preserve"> in new</w:t>
      </w:r>
      <w:r w:rsidR="002D6708">
        <w:rPr>
          <w:shd w:val="clear" w:color="auto" w:fill="FFFFFF"/>
        </w:rPr>
        <w:t>ly diagnosed AF</w:t>
      </w:r>
      <w:r>
        <w:rPr>
          <w:shd w:val="clear" w:color="auto" w:fill="FFFFFF"/>
        </w:rPr>
        <w:t xml:space="preserve"> patients.</w:t>
      </w:r>
    </w:p>
    <w:p w:rsidR="00BC10AD" w:rsidRDefault="00BC10AD" w:rsidP="008D11C1">
      <w:pPr>
        <w:rPr>
          <w:shd w:val="clear" w:color="auto" w:fill="FFFFFF"/>
        </w:rPr>
      </w:pPr>
      <w:r>
        <w:rPr>
          <w:b/>
          <w:shd w:val="clear" w:color="auto" w:fill="FFFFFF"/>
        </w:rPr>
        <w:t>Design</w:t>
      </w:r>
      <w:r>
        <w:rPr>
          <w:shd w:val="clear" w:color="auto" w:fill="FFFFFF"/>
        </w:rPr>
        <w:t xml:space="preserve">: Diagnostic economic </w:t>
      </w:r>
      <w:proofErr w:type="spellStart"/>
      <w:r>
        <w:rPr>
          <w:shd w:val="clear" w:color="auto" w:fill="FFFFFF"/>
        </w:rPr>
        <w:t>mode</w:t>
      </w:r>
      <w:r w:rsidR="00FA261E">
        <w:rPr>
          <w:shd w:val="clear" w:color="auto" w:fill="FFFFFF"/>
        </w:rPr>
        <w:t>l</w:t>
      </w:r>
      <w:r>
        <w:rPr>
          <w:shd w:val="clear" w:color="auto" w:fill="FFFFFF"/>
        </w:rPr>
        <w:t>ling</w:t>
      </w:r>
      <w:proofErr w:type="spellEnd"/>
      <w:r>
        <w:rPr>
          <w:shd w:val="clear" w:color="auto" w:fill="FFFFFF"/>
        </w:rPr>
        <w:t xml:space="preserve"> analysis.</w:t>
      </w:r>
    </w:p>
    <w:p w:rsidR="00BC10AD" w:rsidRDefault="00BC10AD" w:rsidP="008D11C1">
      <w:pPr>
        <w:rPr>
          <w:shd w:val="clear" w:color="auto" w:fill="FFFFFF"/>
        </w:rPr>
      </w:pPr>
      <w:r>
        <w:rPr>
          <w:b/>
          <w:shd w:val="clear" w:color="auto" w:fill="FFFFFF"/>
        </w:rPr>
        <w:t>Setting:</w:t>
      </w:r>
      <w:r>
        <w:rPr>
          <w:shd w:val="clear" w:color="auto" w:fill="FFFFFF"/>
        </w:rPr>
        <w:t xml:space="preserve"> </w:t>
      </w:r>
      <w:r w:rsidR="00145CDA">
        <w:rPr>
          <w:shd w:val="clear" w:color="auto" w:fill="FFFFFF"/>
        </w:rPr>
        <w:t>England &amp; Wales</w:t>
      </w:r>
    </w:p>
    <w:p w:rsidR="00BC10AD" w:rsidRDefault="00BC10AD" w:rsidP="008D11C1">
      <w:pPr>
        <w:rPr>
          <w:shd w:val="clear" w:color="auto" w:fill="FFFFFF"/>
        </w:rPr>
      </w:pPr>
      <w:r>
        <w:rPr>
          <w:b/>
          <w:shd w:val="clear" w:color="auto" w:fill="FFFFFF"/>
        </w:rPr>
        <w:t>Model:</w:t>
      </w:r>
      <w:r>
        <w:rPr>
          <w:shd w:val="clear" w:color="auto" w:fill="FFFFFF"/>
        </w:rPr>
        <w:t xml:space="preserve"> Diagnostic discrete event simulation model.</w:t>
      </w:r>
    </w:p>
    <w:p w:rsidR="00CD343F" w:rsidRDefault="00CD343F" w:rsidP="00CD343F">
      <w:pPr>
        <w:rPr>
          <w:shd w:val="clear" w:color="auto" w:fill="FFFFFF"/>
        </w:rPr>
      </w:pPr>
      <w:r>
        <w:rPr>
          <w:b/>
          <w:shd w:val="clear" w:color="auto" w:fill="FFFFFF"/>
        </w:rPr>
        <w:t>Comparisons:</w:t>
      </w:r>
      <w:r w:rsidRPr="00532F44">
        <w:rPr>
          <w:b/>
          <w:shd w:val="clear" w:color="auto" w:fill="FFFFFF"/>
        </w:rPr>
        <w:t xml:space="preserve"> </w:t>
      </w:r>
      <w:r>
        <w:rPr>
          <w:shd w:val="clear" w:color="auto" w:fill="FFFFFF"/>
        </w:rPr>
        <w:t>Decisions and consequences following from using TTE in combination with</w:t>
      </w:r>
      <w:r w:rsidRPr="00532F44">
        <w:rPr>
          <w:shd w:val="clear" w:color="auto" w:fill="FFFFFF"/>
        </w:rPr>
        <w:t xml:space="preserve"> </w:t>
      </w:r>
      <w:r w:rsidR="008C662C">
        <w:rPr>
          <w:shd w:val="clear" w:color="auto" w:fill="FFFFFF"/>
        </w:rPr>
        <w:t xml:space="preserve">the </w:t>
      </w:r>
      <w:r w:rsidRPr="00532F44">
        <w:rPr>
          <w:shd w:val="clear" w:color="auto" w:fill="FFFFFF"/>
        </w:rPr>
        <w:t>CHADS</w:t>
      </w:r>
      <w:r w:rsidRPr="00532F44">
        <w:rPr>
          <w:shd w:val="clear" w:color="auto" w:fill="FFFFFF"/>
          <w:vertAlign w:val="subscript"/>
        </w:rPr>
        <w:t>2</w:t>
      </w:r>
      <w:r w:rsidRPr="00532F44">
        <w:rPr>
          <w:shd w:val="clear" w:color="auto" w:fill="FFFFFF"/>
        </w:rPr>
        <w:t xml:space="preserve"> </w:t>
      </w:r>
      <w:r w:rsidR="008C662C">
        <w:rPr>
          <w:shd w:val="clear" w:color="auto" w:fill="FFFFFF"/>
        </w:rPr>
        <w:t>score (used for stroke risk stratification), c</w:t>
      </w:r>
      <w:r>
        <w:rPr>
          <w:shd w:val="clear" w:color="auto" w:fill="FFFFFF"/>
        </w:rPr>
        <w:t>ompared with those when using CHADS</w:t>
      </w:r>
      <w:r w:rsidRPr="00CD343F">
        <w:rPr>
          <w:shd w:val="clear" w:color="auto" w:fill="FFFFFF"/>
          <w:vertAlign w:val="subscript"/>
        </w:rPr>
        <w:t>2</w:t>
      </w:r>
      <w:r>
        <w:rPr>
          <w:shd w:val="clear" w:color="auto" w:fill="FFFFFF"/>
        </w:rPr>
        <w:t xml:space="preserve"> alone. </w:t>
      </w:r>
    </w:p>
    <w:p w:rsidR="00CD343F" w:rsidRDefault="00CD343F" w:rsidP="00CD343F">
      <w:r>
        <w:rPr>
          <w:b/>
          <w:shd w:val="clear" w:color="auto" w:fill="FFFFFF"/>
        </w:rPr>
        <w:t>Treatments considered:</w:t>
      </w:r>
      <w:r w:rsidRPr="00532F44">
        <w:rPr>
          <w:shd w:val="clear" w:color="auto" w:fill="FFFFFF"/>
        </w:rPr>
        <w:t xml:space="preserve"> </w:t>
      </w:r>
      <w:r w:rsidR="00145CDA">
        <w:rPr>
          <w:shd w:val="clear" w:color="auto" w:fill="FFFFFF"/>
        </w:rPr>
        <w:t>W</w:t>
      </w:r>
      <w:r w:rsidRPr="00532F44">
        <w:rPr>
          <w:shd w:val="clear" w:color="auto" w:fill="FFFFFF"/>
        </w:rPr>
        <w:t>arf</w:t>
      </w:r>
      <w:r>
        <w:rPr>
          <w:shd w:val="clear" w:color="auto" w:fill="FFFFFF"/>
        </w:rPr>
        <w:t xml:space="preserve">arin, </w:t>
      </w:r>
      <w:proofErr w:type="spellStart"/>
      <w:r>
        <w:rPr>
          <w:shd w:val="clear" w:color="auto" w:fill="FFFFFF"/>
        </w:rPr>
        <w:t>dabigatran</w:t>
      </w:r>
      <w:proofErr w:type="spellEnd"/>
      <w:r>
        <w:rPr>
          <w:shd w:val="clear" w:color="auto" w:fill="FFFFFF"/>
        </w:rPr>
        <w:t xml:space="preserve"> and </w:t>
      </w:r>
      <w:proofErr w:type="spellStart"/>
      <w:r>
        <w:rPr>
          <w:shd w:val="clear" w:color="auto" w:fill="FFFFFF"/>
        </w:rPr>
        <w:t>rivaroxaban</w:t>
      </w:r>
      <w:proofErr w:type="spellEnd"/>
      <w:r w:rsidRPr="00532F44">
        <w:rPr>
          <w:shd w:val="clear" w:color="auto" w:fill="FFFFFF"/>
        </w:rPr>
        <w:t xml:space="preserve"> </w:t>
      </w:r>
      <w:r>
        <w:rPr>
          <w:shd w:val="clear" w:color="auto" w:fill="FFFFFF"/>
        </w:rPr>
        <w:t>were all considered separately as OACs which may be prescribed as a result of the information provided by TTE.</w:t>
      </w:r>
      <w:r w:rsidRPr="009137B7">
        <w:t xml:space="preserve"> </w:t>
      </w:r>
    </w:p>
    <w:p w:rsidR="00BC10AD" w:rsidRDefault="00BC10AD" w:rsidP="008D11C1">
      <w:pPr>
        <w:rPr>
          <w:shd w:val="clear" w:color="auto" w:fill="FFFFFF"/>
        </w:rPr>
      </w:pPr>
      <w:r>
        <w:rPr>
          <w:b/>
          <w:shd w:val="clear" w:color="auto" w:fill="FFFFFF"/>
        </w:rPr>
        <w:t xml:space="preserve">Population: </w:t>
      </w:r>
      <w:r>
        <w:rPr>
          <w:shd w:val="clear" w:color="auto" w:fill="FFFFFF"/>
        </w:rPr>
        <w:t xml:space="preserve"> Newly diagnosed AF patients.</w:t>
      </w:r>
      <w:r w:rsidR="00CD343F" w:rsidRPr="009137B7">
        <w:t xml:space="preserve"> </w:t>
      </w:r>
    </w:p>
    <w:p w:rsidR="00772D0B" w:rsidRPr="00532F44" w:rsidRDefault="00CD343F" w:rsidP="008D11C1">
      <w:pPr>
        <w:rPr>
          <w:rStyle w:val="apple-converted-space"/>
          <w:rFonts w:ascii="Arial" w:hAnsi="Arial" w:cs="Arial"/>
          <w:sz w:val="20"/>
          <w:szCs w:val="20"/>
          <w:shd w:val="clear" w:color="auto" w:fill="FFFFFF"/>
        </w:rPr>
      </w:pPr>
      <w:r w:rsidRPr="00FC748C">
        <w:rPr>
          <w:b/>
          <w:shd w:val="clear" w:color="auto" w:fill="FFFFFF"/>
        </w:rPr>
        <w:t>Main outcome measures</w:t>
      </w:r>
      <w:r>
        <w:rPr>
          <w:shd w:val="clear" w:color="auto" w:fill="FFFFFF"/>
        </w:rPr>
        <w:t xml:space="preserve">: </w:t>
      </w:r>
      <w:r w:rsidR="00FC748C">
        <w:rPr>
          <w:shd w:val="clear" w:color="auto" w:fill="FFFFFF"/>
        </w:rPr>
        <w:t>Q</w:t>
      </w:r>
      <w:r>
        <w:rPr>
          <w:shd w:val="clear" w:color="auto" w:fill="FFFFFF"/>
        </w:rPr>
        <w:t>uality adjusted life</w:t>
      </w:r>
      <w:r w:rsidR="002D6708">
        <w:rPr>
          <w:shd w:val="clear" w:color="auto" w:fill="FFFFFF"/>
        </w:rPr>
        <w:t xml:space="preserve"> </w:t>
      </w:r>
      <w:r>
        <w:rPr>
          <w:shd w:val="clear" w:color="auto" w:fill="FFFFFF"/>
        </w:rPr>
        <w:t xml:space="preserve">years gained, strokes averted, effects on cost and major bleeding events. </w:t>
      </w:r>
    </w:p>
    <w:p w:rsidR="00772D0B" w:rsidRPr="00532F44" w:rsidRDefault="00772D0B" w:rsidP="008D11C1">
      <w:pPr>
        <w:rPr>
          <w:rStyle w:val="apple-converted-space"/>
          <w:rFonts w:ascii="Arial" w:hAnsi="Arial" w:cs="Arial"/>
          <w:sz w:val="20"/>
          <w:szCs w:val="20"/>
          <w:shd w:val="clear" w:color="auto" w:fill="FFFFFF"/>
        </w:rPr>
      </w:pPr>
      <w:r w:rsidRPr="00532F44">
        <w:rPr>
          <w:b/>
          <w:bCs/>
          <w:shd w:val="clear" w:color="auto" w:fill="FFFFFF"/>
        </w:rPr>
        <w:t>Results</w:t>
      </w:r>
      <w:r w:rsidR="00AE69C3" w:rsidRPr="00532F44">
        <w:rPr>
          <w:b/>
          <w:bCs/>
          <w:shd w:val="clear" w:color="auto" w:fill="FFFFFF"/>
        </w:rPr>
        <w:t xml:space="preserve">: </w:t>
      </w:r>
      <w:r w:rsidR="00FA261E">
        <w:rPr>
          <w:bCs/>
          <w:shd w:val="clear" w:color="auto" w:fill="FFFFFF"/>
        </w:rPr>
        <w:t>For patients aged 50 years</w:t>
      </w:r>
      <w:r w:rsidR="00296642">
        <w:rPr>
          <w:bCs/>
          <w:shd w:val="clear" w:color="auto" w:fill="FFFFFF"/>
        </w:rPr>
        <w:t xml:space="preserve">, using TTE does not appear </w:t>
      </w:r>
      <w:r w:rsidR="00FA261E">
        <w:rPr>
          <w:bCs/>
          <w:shd w:val="clear" w:color="auto" w:fill="FFFFFF"/>
        </w:rPr>
        <w:t xml:space="preserve">clinically </w:t>
      </w:r>
      <w:r w:rsidR="00296642">
        <w:rPr>
          <w:bCs/>
          <w:shd w:val="clear" w:color="auto" w:fill="FFFFFF"/>
        </w:rPr>
        <w:t xml:space="preserve">effective due to </w:t>
      </w:r>
      <w:r w:rsidR="00FA261E">
        <w:rPr>
          <w:bCs/>
          <w:shd w:val="clear" w:color="auto" w:fill="FFFFFF"/>
        </w:rPr>
        <w:t xml:space="preserve">the problems of </w:t>
      </w:r>
      <w:r w:rsidR="00296642">
        <w:rPr>
          <w:bCs/>
          <w:shd w:val="clear" w:color="auto" w:fill="FFFFFF"/>
        </w:rPr>
        <w:t xml:space="preserve">additional overtreatment. For </w:t>
      </w:r>
      <w:r w:rsidR="00FA261E">
        <w:rPr>
          <w:bCs/>
          <w:shd w:val="clear" w:color="auto" w:fill="FFFFFF"/>
        </w:rPr>
        <w:t xml:space="preserve">patients </w:t>
      </w:r>
      <w:r w:rsidR="00296642">
        <w:rPr>
          <w:bCs/>
          <w:shd w:val="clear" w:color="auto" w:fill="FFFFFF"/>
        </w:rPr>
        <w:t>aged 65 years, using TTE is m</w:t>
      </w:r>
      <w:r w:rsidR="00FA261E">
        <w:rPr>
          <w:bCs/>
          <w:shd w:val="clear" w:color="auto" w:fill="FFFFFF"/>
        </w:rPr>
        <w:t>ore effective but more expensive, with incremental cost-effectiveness ratios which are below conventional willingness to pay thresholds when a newer OAC (</w:t>
      </w:r>
      <w:proofErr w:type="spellStart"/>
      <w:r w:rsidR="00FA261E">
        <w:rPr>
          <w:bCs/>
          <w:shd w:val="clear" w:color="auto" w:fill="FFFFFF"/>
        </w:rPr>
        <w:t>rivaroxaban</w:t>
      </w:r>
      <w:proofErr w:type="spellEnd"/>
      <w:r w:rsidR="00FA261E">
        <w:rPr>
          <w:bCs/>
          <w:shd w:val="clear" w:color="auto" w:fill="FFFFFF"/>
        </w:rPr>
        <w:t xml:space="preserve">, </w:t>
      </w:r>
      <w:proofErr w:type="spellStart"/>
      <w:r w:rsidR="00FA261E">
        <w:rPr>
          <w:bCs/>
          <w:shd w:val="clear" w:color="auto" w:fill="FFFFFF"/>
        </w:rPr>
        <w:t>dabigatran</w:t>
      </w:r>
      <w:proofErr w:type="spellEnd"/>
      <w:r w:rsidR="00FA261E">
        <w:rPr>
          <w:bCs/>
          <w:shd w:val="clear" w:color="auto" w:fill="FFFFFF"/>
        </w:rPr>
        <w:t>) is being considered, but not warfarin.</w:t>
      </w:r>
    </w:p>
    <w:p w:rsidR="005B26D5" w:rsidRPr="00532F44" w:rsidRDefault="00772D0B" w:rsidP="005B26D5">
      <w:pPr>
        <w:rPr>
          <w:b/>
          <w:shd w:val="clear" w:color="auto" w:fill="FFFFFF"/>
        </w:rPr>
      </w:pPr>
      <w:r w:rsidRPr="00532F44">
        <w:rPr>
          <w:b/>
          <w:shd w:val="clear" w:color="auto" w:fill="FFFFFF"/>
        </w:rPr>
        <w:t>Conclusions</w:t>
      </w:r>
      <w:r w:rsidR="00C314AC" w:rsidRPr="00532F44">
        <w:rPr>
          <w:b/>
          <w:shd w:val="clear" w:color="auto" w:fill="FFFFFF"/>
        </w:rPr>
        <w:t xml:space="preserve">: </w:t>
      </w:r>
      <w:r w:rsidR="00296642">
        <w:t>Using TTE to inform the decision whether to prescribe a newer OAC to newly diagnosed AF patients</w:t>
      </w:r>
      <w:r w:rsidR="00867F7E">
        <w:t xml:space="preserve"> may be a clinically and cost-effective strategy. </w:t>
      </w:r>
      <w:r w:rsidR="00296642">
        <w:t xml:space="preserve"> </w:t>
      </w:r>
    </w:p>
    <w:p w:rsidR="00FA261E" w:rsidRDefault="00FA261E">
      <w:pPr>
        <w:spacing w:line="276" w:lineRule="auto"/>
        <w:jc w:val="left"/>
        <w:rPr>
          <w:rFonts w:asciiTheme="majorHAnsi" w:eastAsiaTheme="majorEastAsia" w:hAnsiTheme="majorHAnsi" w:cstheme="majorBidi"/>
          <w:b/>
          <w:bCs/>
          <w:sz w:val="32"/>
          <w:szCs w:val="28"/>
        </w:rPr>
      </w:pPr>
      <w:r>
        <w:br w:type="page"/>
      </w:r>
    </w:p>
    <w:p w:rsidR="0005390C" w:rsidRPr="00064789" w:rsidRDefault="0005390C" w:rsidP="003378D6">
      <w:pPr>
        <w:pStyle w:val="Heading1"/>
        <w:numPr>
          <w:ilvl w:val="0"/>
          <w:numId w:val="0"/>
        </w:numPr>
      </w:pPr>
      <w:r w:rsidRPr="00064789">
        <w:lastRenderedPageBreak/>
        <w:t>Introduction</w:t>
      </w:r>
    </w:p>
    <w:p w:rsidR="003378D6" w:rsidRPr="00064789" w:rsidRDefault="003378D6" w:rsidP="003378D6">
      <w:pPr>
        <w:pStyle w:val="Heading2"/>
        <w:numPr>
          <w:ilvl w:val="0"/>
          <w:numId w:val="0"/>
        </w:numPr>
      </w:pPr>
      <w:r w:rsidRPr="00064789">
        <w:t>Background</w:t>
      </w:r>
    </w:p>
    <w:p w:rsidR="00E55A94" w:rsidRPr="00064789" w:rsidRDefault="00862C39" w:rsidP="008D3B31">
      <w:pPr>
        <w:spacing w:line="480" w:lineRule="auto"/>
      </w:pPr>
      <w:r w:rsidRPr="00064789">
        <w:t xml:space="preserve">Atrial fibrillation (AF) is a </w:t>
      </w:r>
      <w:r w:rsidR="00D22AB2" w:rsidRPr="00064789">
        <w:t xml:space="preserve">common arrhythmia affecting </w:t>
      </w:r>
      <w:r w:rsidR="00665212" w:rsidRPr="00064789">
        <w:t>around 1-2% of the UK population</w:t>
      </w:r>
      <w:r w:rsidR="000F1748" w:rsidRPr="00064789">
        <w:t xml:space="preserve"> and is a significant risk factor for stroke</w:t>
      </w:r>
      <w:r w:rsidR="00356EEF" w:rsidRPr="00064789">
        <w:t>.</w:t>
      </w:r>
      <w:r w:rsidR="002F05E5" w:rsidRPr="00064789">
        <w:fldChar w:fldCharType="begin" w:fldLock="1"/>
      </w:r>
      <w:r w:rsidR="00B54241">
        <w:instrText>ADDIN CSL_CITATION { "citationItems" : [ { "id" : "ITEM-1", "itemData" : { "abstract" : "Atrial fibrillation is the most common arrhythmia in elderly persons and a potent risk factor for stroke. However, recent prevalence and projected future numbers of persons with atrial fibrillation are not well described.", "author" : [ { "dropping-particle" : "", "family" : "Go", "given" : "A S", "non-dropping-particle" : "", "parse-names" : false, "suffix" : "" }, { "dropping-particle" : "", "family" : "Hylek", "given" : "E M", "non-dropping-particle" : "", "parse-names" : false, "suffix" : "" }, { "dropping-particle" : "", "family" : "Phillips", "given" : "K A", "non-dropping-particle" : "", "parse-names" : false, "suffix" : "" }, { "dropping-particle" : "", "family" : "Chang", "given" : "Y", "non-dropping-particle" : "", "parse-names" : false, "suffix" : "" }, { "dropping-particle" : "", "family" : "Henault", "given" : "L E", "non-dropping-particle" : "", "parse-names" : false, "suffix" : "" }, { "dropping-particle" : "V", "family" : "Selby", "given" : "J", "non-dropping-particle" : "", "parse-names" : false, "suffix" : "" }, { "dropping-particle" : "", "family" : "Singer", "given" : "D E", "non-dropping-particle" : "", "parse-names" : false, "suffix" : "" } ], "container-title" : "JAMA : the journal of the American Medical Association", "id" : "ITEM-1", "issue" : "18", "issued" : { "date-parts" : [ [ "2001", "5", "9" ] ] }, "page" : "2370-5", "title" : "Prevalence of diagnosed atrial fibrillation in adults: national implications for rhythm management and stroke prevention: the AnTicoagulation and Risk Factors in Atrial Fibrillation (ATRIA) Study.", "type" : "article-journal", "volume" : "285" }, "uris" : [ "http://www.mendeley.com/documents/?uuid=f30d1cf5-58b0-4c35-b298-fbbe4563156a" ] } ], "mendeley" : { "previouslyFormattedCitation" : "[1]" }, "properties" : { "noteIndex" : 0 }, "schema" : "https://github.com/citation-style-language/schema/raw/master/csl-citation.json" }</w:instrText>
      </w:r>
      <w:r w:rsidR="002F05E5" w:rsidRPr="00064789">
        <w:fldChar w:fldCharType="separate"/>
      </w:r>
      <w:r w:rsidR="009137B7" w:rsidRPr="00064789">
        <w:rPr>
          <w:noProof/>
        </w:rPr>
        <w:t>[1]</w:t>
      </w:r>
      <w:r w:rsidR="002F05E5" w:rsidRPr="00064789">
        <w:fldChar w:fldCharType="end"/>
      </w:r>
      <w:r w:rsidR="00665212" w:rsidRPr="00064789">
        <w:t xml:space="preserve"> </w:t>
      </w:r>
      <w:r w:rsidR="00B9188A" w:rsidRPr="00064789">
        <w:t xml:space="preserve">Managing AF effectively is therefore important for </w:t>
      </w:r>
      <w:r w:rsidR="003F5221" w:rsidRPr="00064789">
        <w:t xml:space="preserve">reducing mortality and morbidity risks that result from </w:t>
      </w:r>
      <w:r w:rsidR="00D22AB2" w:rsidRPr="00064789">
        <w:t xml:space="preserve">this </w:t>
      </w:r>
      <w:r w:rsidR="00B9188A" w:rsidRPr="00064789">
        <w:t>condition. O</w:t>
      </w:r>
      <w:r w:rsidRPr="00064789">
        <w:t>ral anticoagulants (OACs) reduce the risk of stroke</w:t>
      </w:r>
      <w:r w:rsidR="00B9188A" w:rsidRPr="00064789">
        <w:t xml:space="preserve"> for AF patients</w:t>
      </w:r>
      <w:r w:rsidRPr="00064789">
        <w:t xml:space="preserve">, but </w:t>
      </w:r>
      <w:r w:rsidR="00B9188A" w:rsidRPr="00064789">
        <w:t xml:space="preserve">can </w:t>
      </w:r>
      <w:r w:rsidR="000F1748" w:rsidRPr="00064789">
        <w:t>cause major bleeding</w:t>
      </w:r>
      <w:r w:rsidR="00374A9D" w:rsidRPr="00064789">
        <w:t>.</w:t>
      </w:r>
      <w:r w:rsidR="00356EEF" w:rsidRPr="00064789">
        <w:t xml:space="preserve"> </w:t>
      </w:r>
      <w:r w:rsidR="002F05E5" w:rsidRPr="00064789">
        <w:fldChar w:fldCharType="begin" w:fldLock="1"/>
      </w:r>
      <w:r w:rsidR="00B54241">
        <w:instrText>ADDIN CSL_CITATION { "citationItems" : [ { "id" : "ITEM-1", "itemData" : { "DOI" : "10.1016/j.ahj.2009.11.025", "abstract" : "Atrial fibrillation (AF), the most common significant cardiac arrhythmia, increases the risk of stroke, particularly in the elderly. Warfarin is effective in reducing stroke risk but is burdensome to patients and is difficult to control. Rivaroxaban is an oral direct factor Xa inhibitor in advanced development as an alternative to warfarin for the prevention and treatment of thromboembolic disorders.", "container-title" : "American heart journal", "id" : "ITEM-1", "issue" : "3", "issued" : { "date-parts" : [ [ "2010", "3" ] ] }, "page" : "340-347.e1", "title" : "Rivaroxaban-once daily, oral, direct factor Xa inhibition compared with vitamin K antagonism for prevention of stroke and Embolism Trial in Atrial Fibrillation: rationale and design of the ROCKET AF study.", "type" : "article-journal", "volume" : "159" }, "uris" : [ "http://www.mendeley.com/documents/?uuid=96a8955b-ba1a-4c08-98f5-c96de9a3db66" ] } ], "mendeley" : { "previouslyFormattedCitation" : "[2]" }, "properties" : { "noteIndex" : 0 }, "schema" : "https://github.com/citation-style-language/schema/raw/master/csl-citation.json" }</w:instrText>
      </w:r>
      <w:r w:rsidR="002F05E5" w:rsidRPr="00064789">
        <w:fldChar w:fldCharType="separate"/>
      </w:r>
      <w:r w:rsidR="009137B7" w:rsidRPr="00064789">
        <w:rPr>
          <w:noProof/>
        </w:rPr>
        <w:t>[2]</w:t>
      </w:r>
      <w:r w:rsidR="002F05E5" w:rsidRPr="00064789">
        <w:fldChar w:fldCharType="end"/>
      </w:r>
      <w:r w:rsidR="00374A9D" w:rsidRPr="00064789">
        <w:t xml:space="preserve"> </w:t>
      </w:r>
    </w:p>
    <w:p w:rsidR="00C87195" w:rsidRPr="00064789" w:rsidRDefault="00BD0097" w:rsidP="00034BAF">
      <w:pPr>
        <w:spacing w:line="480" w:lineRule="auto"/>
      </w:pPr>
      <w:r w:rsidRPr="00064789">
        <w:t xml:space="preserve">OACs </w:t>
      </w:r>
      <w:r w:rsidR="00B9188A" w:rsidRPr="00064789">
        <w:t xml:space="preserve">also </w:t>
      </w:r>
      <w:r w:rsidR="00A84C60" w:rsidRPr="00064789">
        <w:t>impose a cost burden</w:t>
      </w:r>
      <w:r w:rsidR="00862C39" w:rsidRPr="00064789">
        <w:t>, either directly due to drug acquisition costs in the case of new</w:t>
      </w:r>
      <w:r w:rsidR="00542E72" w:rsidRPr="00064789">
        <w:t>er</w:t>
      </w:r>
      <w:r w:rsidR="00862C39" w:rsidRPr="00064789">
        <w:t xml:space="preserve"> </w:t>
      </w:r>
      <w:r w:rsidR="00720162">
        <w:t>OAC</w:t>
      </w:r>
      <w:r w:rsidR="00862C39" w:rsidRPr="00064789">
        <w:t xml:space="preserve">s like </w:t>
      </w:r>
      <w:proofErr w:type="spellStart"/>
      <w:r w:rsidR="00862C39" w:rsidRPr="00064789">
        <w:t>dabigatran</w:t>
      </w:r>
      <w:proofErr w:type="spellEnd"/>
      <w:r w:rsidR="003E2C5D" w:rsidRPr="00064789">
        <w:t xml:space="preserve"> or </w:t>
      </w:r>
      <w:proofErr w:type="spellStart"/>
      <w:r w:rsidR="003E2C5D" w:rsidRPr="00064789">
        <w:t>rivaroxaban</w:t>
      </w:r>
      <w:proofErr w:type="spellEnd"/>
      <w:r w:rsidR="00862C39" w:rsidRPr="00064789">
        <w:t>, or indirectly due to monitoring costs in the case of warfarin.</w:t>
      </w:r>
      <w:r w:rsidR="009A6772" w:rsidRPr="00064789">
        <w:t xml:space="preserve"> </w:t>
      </w:r>
      <w:r w:rsidR="00B9188A" w:rsidRPr="00064789">
        <w:t xml:space="preserve">In AF patients with an already low stroke risk, prescribing an OAC may not be clinically beneficial, as the </w:t>
      </w:r>
      <w:r w:rsidR="00720162">
        <w:t xml:space="preserve">average </w:t>
      </w:r>
      <w:r w:rsidR="00034BAF" w:rsidRPr="00064789">
        <w:t xml:space="preserve">harm caused by </w:t>
      </w:r>
      <w:r w:rsidR="00B9188A" w:rsidRPr="00064789">
        <w:t xml:space="preserve">additional major bleeding events </w:t>
      </w:r>
      <w:r w:rsidR="00720162">
        <w:t xml:space="preserve">can exceed the </w:t>
      </w:r>
      <w:r w:rsidR="00034BAF" w:rsidRPr="00064789">
        <w:t xml:space="preserve">harm averted by preventing strokes. Because of this </w:t>
      </w:r>
      <w:r w:rsidR="009A6772" w:rsidRPr="00064789">
        <w:t xml:space="preserve">a </w:t>
      </w:r>
      <w:r w:rsidR="00374A9D" w:rsidRPr="00064789">
        <w:t xml:space="preserve">range of </w:t>
      </w:r>
      <w:r w:rsidR="00034BAF" w:rsidRPr="00064789">
        <w:t xml:space="preserve">risk prediction rules </w:t>
      </w:r>
      <w:r w:rsidR="00732E2A" w:rsidRPr="00064789">
        <w:t xml:space="preserve">are used to identify </w:t>
      </w:r>
      <w:r w:rsidR="00034BAF" w:rsidRPr="00064789">
        <w:t xml:space="preserve">the </w:t>
      </w:r>
      <w:r w:rsidR="00732E2A" w:rsidRPr="00064789">
        <w:t>higher-</w:t>
      </w:r>
      <w:r w:rsidR="00374A9D" w:rsidRPr="00064789">
        <w:t>risk patients</w:t>
      </w:r>
      <w:r w:rsidR="00034BAF" w:rsidRPr="00064789">
        <w:t xml:space="preserve"> who are likely to benefit from OACs. </w:t>
      </w:r>
    </w:p>
    <w:p w:rsidR="00C87195" w:rsidRPr="00064789" w:rsidRDefault="00732E2A" w:rsidP="00BE4AC4">
      <w:pPr>
        <w:spacing w:line="480" w:lineRule="auto"/>
      </w:pPr>
      <w:r w:rsidRPr="00064789">
        <w:t>A commonly used</w:t>
      </w:r>
      <w:r w:rsidR="008C662C">
        <w:t xml:space="preserve"> stroke </w:t>
      </w:r>
      <w:r w:rsidRPr="00064789">
        <w:t xml:space="preserve">risk prediction </w:t>
      </w:r>
      <w:r w:rsidR="00153929" w:rsidRPr="00064789">
        <w:t>rule</w:t>
      </w:r>
      <w:r w:rsidRPr="00064789">
        <w:t xml:space="preserve"> for assessing stroke risk is </w:t>
      </w:r>
      <w:r w:rsidR="00BE4AC4" w:rsidRPr="00064789">
        <w:t xml:space="preserve">the </w:t>
      </w:r>
      <w:r w:rsidRPr="00064789">
        <w:t>CHADS</w:t>
      </w:r>
      <w:r w:rsidRPr="00064789">
        <w:rPr>
          <w:vertAlign w:val="subscript"/>
        </w:rPr>
        <w:t>2</w:t>
      </w:r>
      <w:r w:rsidR="00BE4AC4" w:rsidRPr="00064789">
        <w:t xml:space="preserve"> score,</w:t>
      </w:r>
      <w:r w:rsidRPr="00064789">
        <w:t xml:space="preserve"> </w:t>
      </w:r>
      <w:r w:rsidR="00BE4AC4" w:rsidRPr="00064789">
        <w:t>which is an acronym for</w:t>
      </w:r>
      <w:r w:rsidR="00145CDA" w:rsidRPr="00064789">
        <w:t>: (C) congestive heart failure;</w:t>
      </w:r>
      <w:r w:rsidR="00BE4AC4" w:rsidRPr="00064789">
        <w:t xml:space="preserve"> (H) hypertension</w:t>
      </w:r>
      <w:r w:rsidR="00145CDA" w:rsidRPr="00064789">
        <w:t>;</w:t>
      </w:r>
      <w:r w:rsidR="00BE4AC4" w:rsidRPr="00064789">
        <w:t xml:space="preserve"> (A) aged 75 years or older</w:t>
      </w:r>
      <w:r w:rsidR="00145CDA" w:rsidRPr="00064789">
        <w:t xml:space="preserve">;  (D) diabetes; </w:t>
      </w:r>
      <w:r w:rsidR="00895174">
        <w:t xml:space="preserve"> prior stroke or</w:t>
      </w:r>
      <w:r w:rsidR="00BE4AC4" w:rsidRPr="00064789">
        <w:t xml:space="preserve"> transient ischemic attack (S</w:t>
      </w:r>
      <w:r w:rsidR="00BE4AC4" w:rsidRPr="00064789">
        <w:rPr>
          <w:vertAlign w:val="subscript"/>
        </w:rPr>
        <w:t>2</w:t>
      </w:r>
      <w:r w:rsidR="00BE4AC4" w:rsidRPr="00064789">
        <w:t xml:space="preserve">) </w:t>
      </w:r>
      <w:r w:rsidR="002F05E5" w:rsidRPr="00064789">
        <w:fldChar w:fldCharType="begin" w:fldLock="1"/>
      </w:r>
      <w:r w:rsidR="00B54241">
        <w:instrText>ADDIN CSL_CITATION { "citationItems" : [ { "id" : "ITEM-1", "itemData" : { "DOI" : "ehq278 [pii]\n10.1093/eurheartj/ehq278", "ISBN" : "1522-9645 (Electronic)\n0195-668X (Linking)", "author" : [ { "dropping-particle" : "", "family" : "Camm", "given" : "A J", "non-dropping-particle" : "", "parse-names" : false, "suffix" : "" }, { "dropping-particle" : "", "family" : "Kirchhof", "given" : "P", "non-dropping-particle" : "", "parse-names" : false, "suffix" : "" }, { "dropping-particle" : "", "family" : "Lip", "given" : "G Y", "non-dropping-particle" : "", "parse-names" : false, "suffix" : "" }, { "dropping-particle" : "", "family" : "Schotten", "given" : "U", "non-dropping-particle" : "", "parse-names" : false, "suffix" : "" }, { "dropping-particle" : "", "family" : "Savelieva", "given" : "I", "non-dropping-particle" : "", "parse-names" : false, "suffix" : "" }, { "dropping-particle" : "", "family" : "Ernst", "given" : "S", "non-dropping-particle" : "", "parse-names" : false, "suffix" : "" }, { "dropping-particle" : "", "family" : "Gelder", "given" : "I C", "non-dropping-particle" : "Van", "parse-names" : false, "suffix" : "" }, { "dropping-particle" : "", "family" : "Al-Attar", "given" : "N", "non-dropping-particle" : "", "parse-names" : false, "suffix" : "" }, { "dropping-particle" : "", "family" : "Hindricks", "given" : "G", "non-dropping-particle" : "", "parse-names" : false, "suffix" : "" }, { "dropping-particle" : "", "family" : "Prendergast", "given" : "B", "non-dropping-particle" : "", "parse-names" : false, "suffix" : "" }, { "dropping-particle" : "", "family" : "Heidbuchel", "given" : "H", "non-dropping-particle" : "", "parse-names" : false, "suffix" : "" }, { "dropping-particle" : "", "family" : "Alfieri", "given" : "O", "non-dropping-particle" : "", "parse-names" : false, "suffix" : "" }, { "dropping-particle" : "", "family" : "Angelini", "given" : "A", "non-dropping-particle" : "", "parse-names" : false, "suffix" : "" }, { "dropping-particle" : "", "family" : "Atar", "given" : "D", "non-dropping-particle" : "", "parse-names" : false, "suffix" : "" }, { "dropping-particle" : "", "family" : "Colonna", "given" : "P", "non-dropping-particle" : "", "parse-names" : false, "suffix" : "" }, { "dropping-particle" : "", "family" : "Caterina", "given" : "R", "non-dropping-particle" : "De", "parse-names" : false, "suffix" : "" }, { "dropping-particle" : "", "family" : "Sutter", "given" : "J", "non-dropping-particle" : "De", "parse-names" : false, "suffix" : "" }, { "dropping-particle" : "", "family" : "Goette", "given" : "A", "non-dropping-particle" : "", "parse-names" : false, "suffix" : "" }, { "dropping-particle" : "", "family" : "Gorenek", "given" : "B", "non-dropping-particle" : "", "parse-names" : false, "suffix" : "" }, { "dropping-particle" : "", "family" : "Heldal", "given" : "M", "non-dropping-particle" : "", "parse-names" : false, "suffix" : "" }, { "dropping-particle" : "", "family" : "Hohloser", "given" : "S H", "non-dropping-particle" : "", "parse-names" : false, "suffix" : "" }, { "dropping-particle" : "", "family" : "Kolh", "given" : "P", "non-dropping-particle" : "", "parse-names" : false, "suffix" : "" }, { "dropping-particle" : "", "family" : "Heuzey", "given" : "J Y", "non-dropping-particle" : "Le", "parse-names" : false, "suffix" : "" }, { "dropping-particle" : "", "family" : "Ponikowski", "given" : "P", "non-dropping-particle" : "", "parse-names" : false, "suffix" : "" }, { "dropping-particle" : "", "family" : "Rutten", "given" : "F H", "non-dropping-particle" : "", "parse-names" : false, "suffix" : "" } ], "container-title" : "Eur Heart J", "edition" : "2010/08/31", "id" : "ITEM-1", "issue" : "19", "issued" : { "date-parts" : [ [ "2010" ] ] }, "note" : "European Heart Rhythm Association\nEuropean Association for Cardio-Thoracic Surgery\nCamm, A John\nKirchhof, Paulus\nLip, Gregory Y H\nSchotten, Ulrich\nSavelieva, Irene\nErnst, Sabine\nVan Gelder, Isabelle C\nAl-Attar, Nawwar\nHindricks, Gerhard\nPrendergast, Bernard\nHeidbuchel, Hein\nAlfieri, Ottavio\nAngelini, Annalisa\nAtar, Dan\nColonna, Paolo\nDe Caterina, Raffaele\nDe Sutter, Johan\nGoette, Andreas\nGorenek, Bulent\nHeldal, Magnus\nHohloser, Stefan H\nKolh, Philippe\nLe Heuzey, Jean-Yves\nPonikowski, Piotr\nRutten, Frans H\nPractice Guideline\nEngland\nEuropean heart journal\nEur Heart J. 2010 Oct;31(19):2369-429. Epub 2010 Aug 29.", "page" : "2369-2429", "title" : "Guidelines for the management of atrial fibrillation: the Task Force for the Management of Atrial Fibrillation of the European Society of Cardiology (ESC)", "type" : "article-journal", "volume" : "31" }, "uris" : [ "http://www.mendeley.com/documents/?uuid=cd676823-b526-432d-ab86-77564884dbcb" ] } ], "mendeley" : { "previouslyFormattedCitation" : "[3]" }, "properties" : { "noteIndex" : 0 }, "schema" : "https://github.com/citation-style-language/schema/raw/master/csl-citation.json" }</w:instrText>
      </w:r>
      <w:r w:rsidR="002F05E5" w:rsidRPr="00064789">
        <w:fldChar w:fldCharType="separate"/>
      </w:r>
      <w:r w:rsidR="009137B7" w:rsidRPr="00064789">
        <w:rPr>
          <w:noProof/>
        </w:rPr>
        <w:t>[3]</w:t>
      </w:r>
      <w:r w:rsidR="002F05E5" w:rsidRPr="00064789">
        <w:fldChar w:fldCharType="end"/>
      </w:r>
      <w:r w:rsidRPr="00064789">
        <w:t xml:space="preserve"> </w:t>
      </w:r>
      <w:r w:rsidR="00895174">
        <w:t xml:space="preserve">The European Society of Cardiology 2010 guidelines for the management of atrial fibrillation, and subsequent 2012 </w:t>
      </w:r>
      <w:commentRangeStart w:id="0"/>
      <w:r w:rsidR="00895174">
        <w:t xml:space="preserve">focused </w:t>
      </w:r>
      <w:commentRangeEnd w:id="0"/>
      <w:r w:rsidR="00C47292">
        <w:rPr>
          <w:rStyle w:val="CommentReference"/>
          <w:rFonts w:ascii="Times New Roman" w:eastAsia="Times New Roman" w:hAnsi="Times New Roman" w:cs="Times New Roman"/>
          <w:lang w:val="en-GB" w:eastAsia="en-GB" w:bidi="ar-SA"/>
        </w:rPr>
        <w:commentReference w:id="0"/>
      </w:r>
      <w:r w:rsidR="00895174">
        <w:t xml:space="preserve">update of these guidelines, </w:t>
      </w:r>
      <w:proofErr w:type="spellStart"/>
      <w:r w:rsidR="00895174">
        <w:t>emphasise</w:t>
      </w:r>
      <w:proofErr w:type="spellEnd"/>
      <w:r w:rsidR="00895174">
        <w:t xml:space="preserve"> identification of ‘truly low risk’ patients who do not need any form of antithrombotic therapy, and that even in low risk patients OACs should be considered in preference to </w:t>
      </w:r>
      <w:r w:rsidR="00DF52E6">
        <w:t xml:space="preserve">aspirin </w:t>
      </w:r>
      <w:proofErr w:type="spellStart"/>
      <w:r w:rsidR="00DF52E6">
        <w:t>monotherapy</w:t>
      </w:r>
      <w:proofErr w:type="spellEnd"/>
      <w:r w:rsidR="00DF52E6">
        <w:t xml:space="preserve"> or aspirin-</w:t>
      </w:r>
      <w:proofErr w:type="spellStart"/>
      <w:r w:rsidR="00DF52E6">
        <w:t>clopidogrel</w:t>
      </w:r>
      <w:proofErr w:type="spellEnd"/>
      <w:r w:rsidR="00DF52E6">
        <w:t xml:space="preserve"> combination therapy. </w:t>
      </w:r>
      <w:r w:rsidR="00DF52E6">
        <w:fldChar w:fldCharType="begin" w:fldLock="1"/>
      </w:r>
      <w:r w:rsidR="00B54241">
        <w:instrText>ADDIN CSL_CITATION { "citationItems" : [ { "id" : "ITEM-1", "itemData" : { "DOI" : "10.1093/eurheartj/ehs253", "author" : [ { "dropping-particle" : "", "family" : "Camm", "given" : "A John", "non-dropping-particle" : "", "parse-names" : false, "suffix" : "" }, { "dropping-particle" : "", "family" : "Lip", "given" : "Gregory Y H", "non-dropping-particle" : "", "parse-names" : false, "suffix" : "" }, { "dropping-particle" : "", "family" : "Caterina", "given" : "Raffaele", "non-dropping-particle" : "De", "parse-names" : false, "suffix" : "" }, { "dropping-particle" : "", "family" : "Savelieva", "given" : "Irene", "non-dropping-particle" : "", "parse-names" : false, "suffix" : "" }, { "dropping-particle" : "", "family" : "Atar", "given" : "Dan", "non-dropping-particle" : "", "parse-names" : false, "suffix" : "" }, { "dropping-particle" : "", "family" : "Hohnloser", "given" : "Stefan H", "non-dropping-particle" : "", "parse-names" : false, "suffix" : "" }, { "dropping-particle" : "", "family" : "Hindricks", "given" : "Gerhard", "non-dropping-particle" : "", "parse-names" : false, "suffix" : "" }, { "dropping-particle" : "", "family" : "Kirchhof", "given" : "Paulus", "non-dropping-particle" : "", "parse-names" : false, "suffix" : "" }, { "dropping-particle" : "", "family" : "Bax", "given" : "Jeroen J", "non-dropping-particle" : "", "parse-names" : false, "suffix" : "" }, { "dropping-particle" : "", "family" : "Baumgartner", "given" : "Helmut", "non-dropping-particle" : "", "parse-names" : false, "suffix" : "" }, { "dropping-particle" : "", "family" : "Ceconi", "given" : "Claudio", "non-dropping-particle" : "", "parse-names" : false, "suffix" : "" }, { "dropping-particle" : "", "family" : "Dean", "given" : "Veronica", "non-dropping-particle" : "", "parse-names" : false, "suffix" : "" }, { "dropping-particle" : "", "family" : "Deaton", "given" : "Christi", "non-dropping-particle" : "", "parse-names" : false, "suffix" : "" }, { "dropping-particle" : "", "family" : "Fagard", "given" : "Robert", "non-dropping-particle" : "", "parse-names" : false, "suffix" : "" }, { "dropping-particle" : "", "family" : "Funck-Brentano", "given" : "Christian", "non-dropping-particle" : "", "parse-names" : false, "suffix" : "" }, { "dropping-particle" : "", "family" : "Hasdai", "given" : "David", "non-dropping-particle" : "", "parse-names" : false, "suffix" : "" }, { "dropping-particle" : "", "family" : "Hoes", "given" : "Arno", "non-dropping-particle" : "", "parse-names" : false, "suffix" : "" }, { "dropping-particle" : "", "family" : "Knuuti", "given" : "Juhani", "non-dropping-particle" : "", "parse-names" : false, "suffix" : "" }, { "dropping-particle" : "", "family" : "Kolh", "given" : "Philippe", "non-dropping-particle" : "", "parse-names" : false, "suffix" : "" }, { "dropping-particle" : "", "family" : "McDonagh", "given" : "Theresa", "non-dropping-particle" : "", "parse-names" : false, "suffix" : "" }, { "dropping-particle" : "", "family" : "Moulin", "given" : "Cyril", "non-dropping-particle" : "", "parse-names" : false, "suffix" : "" }, { "dropping-particle" : "", "family" : "Popescu", "given" : "Bogdan A", "non-dropping-particle" : "", "parse-names" : false, "suffix" : "" }, { "dropping-particle" : "", "family" : "Reiner", "given" : "Zeljko", "non-dropping-particle" : "", "parse-names" : false, "suffix" : "" }, { "dropping-particle" : "", "family" : "Sechtem", "given" : "Udo", "non-dropping-particle" : "", "parse-names" : false, "suffix" : "" }, { "dropping-particle" : "", "family" : "Sirnes", "given" : "Per Anton", "non-dropping-particle" : "", "parse-names" : false, "suffix" : "" }, { "dropping-particle" : "", "family" : "Tendera", "given" : "Michal", "non-dropping-particle" : "", "parse-names" : false, "suffix" : "" }, { "dropping-particle" : "", "family" : "Torbicki", "given" : "Adam", "non-dropping-particle" : "", "parse-names" : false, "suffix" : "" }, { "dropping-particle" : "", "family" : "Vahanian", "given" : "Alec", "non-dropping-particle" : "", "parse-names" : false, "suffix" : "" }, { "dropping-particle" : "", "family" : "Windecker", "given" : "Stephan", "non-dropping-particle" : "", "parse-names" : false, "suffix" : "" }, { "dropping-particle" : "", "family" : "Vardas", "given" : "Panos", "non-dropping-particle" : "", "parse-names" : false, "suffix" : "" }, { "dropping-particle" : "", "family" : "Al-Attar", "given" : "Nawwar", "non-dropping-particle" : "", "parse-names" : false, "suffix" : "" }, { "dropping-particle" : "", "family" : "Alfieri", "given" : "Ottavio", "non-dropping-particle" : "", "parse-names" : false, "suffix" : "" }, { "dropping-particle" : "", "family" : "Angelini", "given" : "Annalisa", "non-dropping-particle" : "", "parse-names" : false, "suffix" : "" }, { "dropping-particle" : "", "family" : "Bl\u00f6mstrom-Lundqvist", "given" : "Carina", "non-dropping-particle" : "", "parse-names" : false, "suffix" : "" }, { "dropping-particle" : "", "family" : "Colonna", "given" : "Paolo", "non-dropping-particle" : "", "parse-names" : false, "suffix" : "" }, { "dropping-particle" : "", "family" : "Sutter", "given" : "Johan", "non-dropping-particle" : "De", "parse-names" : false, "suffix" : "" }, { "dropping-particle" : "", "family" : "Ernst", "given" : "Sabine", "non-dropping-particle" : "", "parse-names" : false, "suffix" : "" }, { "dropping-particle" : "", "family" : "Goette", "given" : "Andreas", "non-dropping-particle" : "", "parse-names" : false, "suffix" : "" }, { "dropping-particle" : "", "family" : "Gorenek", "given" : "Bulent", "non-dropping-particle" : "", "parse-names" : false, "suffix" : "" }, { "dropping-particle" : "", "family" : "Hatala", "given" : "Robert", "non-dropping-particle" : "", "parse-names" : false, "suffix" : "" }, { "dropping-particle" : "", "family" : "Heidb\u00fcchel", "given" : "Hein", "non-dropping-particle" : "", "parse-names" : false, "suffix" : "" }, { "dropping-particle" : "", "family" : "Heldal", "given" : "Magnus", "non-dropping-particle" : "", "parse-names" : false, "suffix" : "" }, { "dropping-particle" : "", "family" : "Kristensen", "given" : "Steen Dalby", "non-dropping-particle" : "", "parse-names" : false, "suffix" : "" }, { "dropping-particle" : "", "family" : "Heuzey", "given" : "Jean-Yves", "non-dropping-particle" : "Le", "parse-names" : false, "suffix" : "" }, { "dropping-particle" : "", "family" : "Mavrakis", "given" : "Hercules", "non-dropping-particle" : "", "parse-names" : false, "suffix" : "" }, { "dropping-particle" : "", "family" : "Mont", "given" : "Llu\u00eds", "non-dropping-particle" : "", "parse-names" : false, "suffix" : "" }, { "dropping-particle" : "", "family" : "Filardi", "given" : "Pasquale Perrone", "non-dropping-particle" : "", "parse-names" : false, "suffix" : "" }, { "dropping-particle" : "", "family" : "Ponikowski", "given" : "Piotr", "non-dropping-particle" : "", "parse-names" : false, "suffix" : "" }, { "dropping-particle" : "", "family" : "Prendergast", "given" : "Bernard", "non-dropping-particle" : "", "parse-names" : false, "suffix" : "" }, { "dropping-particle" : "", "family" : "Rutten", "given" : "Frans H", "non-dropping-particle" : "", "parse-names" : false, "suffix" : "" }, { "dropping-particle" : "", "family" : "Schotten", "given" : "Ulrich", "non-dropping-particle" : "", "parse-names" : false, "suffix" : "" }, { "dropping-particle" : "", "family" : "Gelder", "given" : "Isabelle C", "non-dropping-particle" : "Van", "parse-names" : false, "suffix" : "" }, { "dropping-particle" : "", "family" : "Verheugt", "given" : "Freek W A", "non-dropping-particle" : "", "parse-names" : false, "suffix" : "" } ], "container-title" : "European heart journal", "id" : "ITEM-1", "issued" : { "date-parts" : [ [ "2012", "8", "24" ] ] }, "title" : "2012 focused update of the ESC Guidelines for the management of atrial fibrillation: An update of the 2010 ESC Guidelines for the management of atrial fibrillation * Developed with the special contribution of the European Heart Rhythm Association.", "type" : "article-journal" }, "uris" : [ "http://www.mendeley.com/documents/?uuid=b1c54c22-03a5-4544-aad4-168ae22402e0" ] }, { "id" : "ITEM-2", "itemData" : { "DOI" : "ehq278 [pii]\n10.1093/eurheartj/ehq278", "ISBN" : "1522-9645 (Electronic)\n0195-668X (Linking)", "author" : [ { "dropping-particle" : "", "family" : "Camm", "given" : "A J", "non-dropping-particle" : "", "parse-names" : false, "suffix" : "" }, { "dropping-particle" : "", "family" : "Kirchhof", "given" : "P", "non-dropping-particle" : "", "parse-names" : false, "suffix" : "" }, { "dropping-particle" : "", "family" : "Lip", "given" : "G Y", "non-dropping-particle" : "", "parse-names" : false, "suffix" : "" }, { "dropping-particle" : "", "family" : "Schotten", "given" : "U", "non-dropping-particle" : "", "parse-names" : false, "suffix" : "" }, { "dropping-particle" : "", "family" : "Savelieva", "given" : "I", "non-dropping-particle" : "", "parse-names" : false, "suffix" : "" }, { "dropping-particle" : "", "family" : "Ernst", "given" : "S", "non-dropping-particle" : "", "parse-names" : false, "suffix" : "" }, { "dropping-particle" : "", "family" : "Gelder", "given" : "I C", "non-dropping-particle" : "Van", "parse-names" : false, "suffix" : "" }, { "dropping-particle" : "", "family" : "Al-Attar", "given" : "N", "non-dropping-particle" : "", "parse-names" : false, "suffix" : "" }, { "dropping-particle" : "", "family" : "Hindricks", "given" : "G", "non-dropping-particle" : "", "parse-names" : false, "suffix" : "" }, { "dropping-particle" : "", "family" : "Prendergast", "given" : "B", "non-dropping-particle" : "", "parse-names" : false, "suffix" : "" }, { "dropping-particle" : "", "family" : "Heidbuchel", "given" : "H", "non-dropping-particle" : "", "parse-names" : false, "suffix" : "" }, { "dropping-particle" : "", "family" : "Alfieri", "given" : "O", "non-dropping-particle" : "", "parse-names" : false, "suffix" : "" }, { "dropping-particle" : "", "family" : "Angelini", "given" : "A", "non-dropping-particle" : "", "parse-names" : false, "suffix" : "" }, { "dropping-particle" : "", "family" : "Atar", "given" : "D", "non-dropping-particle" : "", "parse-names" : false, "suffix" : "" }, { "dropping-particle" : "", "family" : "Colonna", "given" : "P", "non-dropping-particle" : "", "parse-names" : false, "suffix" : "" }, { "dropping-particle" : "", "family" : "Caterina", "given" : "R", "non-dropping-particle" : "De", "parse-names" : false, "suffix" : "" }, { "dropping-particle" : "", "family" : "Sutter", "given" : "J", "non-dropping-particle" : "De", "parse-names" : false, "suffix" : "" }, { "dropping-particle" : "", "family" : "Goette", "given" : "A", "non-dropping-particle" : "", "parse-names" : false, "suffix" : "" }, { "dropping-particle" : "", "family" : "Gorenek", "given" : "B", "non-dropping-particle" : "", "parse-names" : false, "suffix" : "" }, { "dropping-particle" : "", "family" : "Heldal", "given" : "M", "non-dropping-particle" : "", "parse-names" : false, "suffix" : "" }, { "dropping-particle" : "", "family" : "Hohloser", "given" : "S H", "non-dropping-particle" : "", "parse-names" : false, "suffix" : "" }, { "dropping-particle" : "", "family" : "Kolh", "given" : "P", "non-dropping-particle" : "", "parse-names" : false, "suffix" : "" }, { "dropping-particle" : "", "family" : "Heuzey", "given" : "J Y", "non-dropping-particle" : "Le", "parse-names" : false, "suffix" : "" }, { "dropping-particle" : "", "family" : "Ponikowski", "given" : "P", "non-dropping-particle" : "", "parse-names" : false, "suffix" : "" }, { "dropping-particle" : "", "family" : "Rutten", "given" : "F H", "non-dropping-particle" : "", "parse-names" : false, "suffix" : "" } ], "container-title" : "Eur Heart J", "edition" : "2010/08/31", "id" : "ITEM-2", "issue" : "19", "issued" : { "date-parts" : [ [ "2010" ] ] }, "note" : "European Heart Rhythm Association\nEuropean Association for Cardio-Thoracic Surgery\nCamm, A John\nKirchhof, Paulus\nLip, Gregory Y H\nSchotten, Ulrich\nSavelieva, Irene\nErnst, Sabine\nVan Gelder, Isabelle C\nAl-Attar, Nawwar\nHindricks, Gerhard\nPrendergast, Bernard\nHeidbuchel, Hein\nAlfieri, Ottavio\nAngelini, Annalisa\nAtar, Dan\nColonna, Paolo\nDe Caterina, Raffaele\nDe Sutter, Johan\nGoette, Andreas\nGorenek, Bulent\nHeldal, Magnus\nHohloser, Stefan H\nKolh, Philippe\nLe Heuzey, Jean-Yves\nPonikowski, Piotr\nRutten, Frans H\nPractice Guideline\nEngland\nEuropean heart journal\nEur Heart J. 2010 Oct;31(19):2369-429. Epub 2010 Aug 29.", "page" : "2369-2429", "title" : "Guidelines for the management of atrial fibrillation: the Task Force for the Management of Atrial Fibrillation of the European Society of Cardiology (ESC)", "type" : "article-journal", "volume" : "31" }, "uris" : [ "http://www.mendeley.com/documents/?uuid=cd676823-b526-432d-ab86-77564884dbcb" ] } ], "mendeley" : { "previouslyFormattedCitation" : "[3,4]" }, "properties" : { "noteIndex" : 0 }, "schema" : "https://github.com/citation-style-language/schema/raw/master/csl-citation.json" }</w:instrText>
      </w:r>
      <w:r w:rsidR="00DF52E6">
        <w:fldChar w:fldCharType="separate"/>
      </w:r>
      <w:r w:rsidR="00DF52E6" w:rsidRPr="00DF52E6">
        <w:rPr>
          <w:noProof/>
        </w:rPr>
        <w:t>[3,4]</w:t>
      </w:r>
      <w:r w:rsidR="00DF52E6">
        <w:fldChar w:fldCharType="end"/>
      </w:r>
      <w:r w:rsidR="007F66EC">
        <w:t xml:space="preserve"> </w:t>
      </w:r>
      <w:proofErr w:type="gramStart"/>
      <w:r w:rsidR="00DF52E6">
        <w:t>This</w:t>
      </w:r>
      <w:proofErr w:type="gramEnd"/>
      <w:r w:rsidR="00DF52E6">
        <w:t xml:space="preserve"> paper interprets this guidance as suggesting that patients should </w:t>
      </w:r>
      <w:r w:rsidR="007F66EC">
        <w:t>normally receive an OAC if their CHADS</w:t>
      </w:r>
      <w:r w:rsidR="007F66EC" w:rsidRPr="007F66EC">
        <w:rPr>
          <w:vertAlign w:val="subscript"/>
        </w:rPr>
        <w:t>2</w:t>
      </w:r>
      <w:r w:rsidR="007F66EC">
        <w:t xml:space="preserve"> score is not zero.</w:t>
      </w:r>
    </w:p>
    <w:p w:rsidR="003378D6" w:rsidRPr="00064789" w:rsidRDefault="009344EA" w:rsidP="003378D6">
      <w:pPr>
        <w:pStyle w:val="Heading2"/>
        <w:numPr>
          <w:ilvl w:val="0"/>
          <w:numId w:val="0"/>
        </w:numPr>
      </w:pPr>
      <w:r w:rsidRPr="00064789">
        <w:t>Transthoracic Echocardiography and the decision problem</w:t>
      </w:r>
    </w:p>
    <w:p w:rsidR="00E21A68" w:rsidRPr="00064789" w:rsidRDefault="00034BAF" w:rsidP="008D3B31">
      <w:pPr>
        <w:spacing w:line="480" w:lineRule="auto"/>
      </w:pPr>
      <w:r w:rsidRPr="00064789">
        <w:t xml:space="preserve">This study considers whether additional </w:t>
      </w:r>
      <w:r w:rsidR="00C1788C" w:rsidRPr="00064789">
        <w:t xml:space="preserve">diagnostic testing </w:t>
      </w:r>
      <w:r w:rsidRPr="00064789">
        <w:t>of newly diagnosed AF patients w</w:t>
      </w:r>
      <w:r w:rsidR="00C1788C" w:rsidRPr="00064789">
        <w:t>ith</w:t>
      </w:r>
      <w:r w:rsidRPr="00064789">
        <w:t xml:space="preserve"> CHADS</w:t>
      </w:r>
      <w:r w:rsidRPr="00064789">
        <w:rPr>
          <w:vertAlign w:val="subscript"/>
        </w:rPr>
        <w:t>2</w:t>
      </w:r>
      <w:r w:rsidRPr="00064789">
        <w:t xml:space="preserve"> scores </w:t>
      </w:r>
      <w:r w:rsidR="00C1788C" w:rsidRPr="00064789">
        <w:t xml:space="preserve">of zero </w:t>
      </w:r>
      <w:r w:rsidRPr="00064789">
        <w:t xml:space="preserve">could be </w:t>
      </w:r>
      <w:r w:rsidR="007F66EC">
        <w:t xml:space="preserve">a </w:t>
      </w:r>
      <w:r w:rsidRPr="00064789">
        <w:t>clinically and cost-effective strategy for appropriately managing their condition. The additional screening is with transthora</w:t>
      </w:r>
      <w:r w:rsidR="00C1788C" w:rsidRPr="00064789">
        <w:t xml:space="preserve">cic echocardiography (TTE). A </w:t>
      </w:r>
      <w:r w:rsidRPr="00064789">
        <w:t>CHADS</w:t>
      </w:r>
      <w:r w:rsidRPr="00064789">
        <w:rPr>
          <w:vertAlign w:val="subscript"/>
        </w:rPr>
        <w:t>2</w:t>
      </w:r>
      <w:r w:rsidRPr="00064789">
        <w:t xml:space="preserve"> </w:t>
      </w:r>
      <w:r w:rsidR="00C1788C" w:rsidRPr="00064789">
        <w:t xml:space="preserve">score of zero means </w:t>
      </w:r>
      <w:r w:rsidRPr="00064789">
        <w:t xml:space="preserve">these patients would conventionally not be prescribed an OAC. However, TTE is </w:t>
      </w:r>
      <w:r w:rsidRPr="00064789">
        <w:lastRenderedPageBreak/>
        <w:t xml:space="preserve">able to identify </w:t>
      </w:r>
      <w:r w:rsidR="008C662C">
        <w:t>abnormalities of cardiac function and structure (ABN)</w:t>
      </w:r>
      <w:r w:rsidRPr="00064789">
        <w:t xml:space="preserve"> which </w:t>
      </w:r>
      <w:r w:rsidR="007A14AB">
        <w:t>indicate</w:t>
      </w:r>
      <w:r w:rsidR="00C1788C" w:rsidRPr="00064789">
        <w:t xml:space="preserve"> that, despite the low CHADS</w:t>
      </w:r>
      <w:r w:rsidR="00C1788C" w:rsidRPr="00064789">
        <w:rPr>
          <w:vertAlign w:val="subscript"/>
        </w:rPr>
        <w:t>2</w:t>
      </w:r>
      <w:r w:rsidR="00C1788C" w:rsidRPr="00064789">
        <w:t xml:space="preserve"> score, the patient has a high risk of stroke. </w:t>
      </w:r>
      <w:r w:rsidR="00064789" w:rsidRPr="00064789">
        <w:fldChar w:fldCharType="begin" w:fldLock="1"/>
      </w:r>
      <w:r w:rsidR="00B54241">
        <w:instrText>ADDIN CSL_CITATION { "citationItems" : [ { "id" : "ITEM-1", "itemData" : { "ISBN" : "0003-4819 (Print)\n0003-4819 (Linking)", "abstract" : "BACKGROUND: Transesophageal echocardiography (TEE) visualizes potential sources of embolism in patients with atrial fibrillation, but the clinical significance of TEE findings has not been prospectively established. OBJECTIVE: To define TEE predictors of stroke in patients with atrial fibrillation and to examine response to antithrombotic therapy. DESIGN: Prospective correlation of TEE findings at study entry with subsequent ischemic stroke during 1.1-year mean follow-up of participants in a randomized trial. SETTING: 18 echocardiography laboratories. PATIENTS: 382 patients with atrial fibrillation at high risk for thromboembolism. INTERVENTION: Adjusted-dose warfarin (international normalized ratio, 2 to 3) or low-intensity warfarin (international normalized ratio, 1.2 to 1.5) plus aspirin (325 mg/d). MEASUREMENTS: Size of left atrium and left atrial appendage, flow velocity, spontaneous echocardiographic contrast, thrombus, and plaque on the aortic arch. RESULTS: 23 ischemic strokes occurred. In patients with dense spontaneous echocardiographic contrast (20%), the rate of stroke was 18.2% per year with combination therapy (2.9 times the rate in patients without this finding; P = 0.06) and 4.5% per year with adjusted-dose warfarin (P = 0.09 for rate reduction). Appendage thrombus, detected in 10% of patients, was associated with dense spontaneous echocardiographic contrast (P &lt; 0.001), was seen more frequently after 2 weeks of combination therapy (15%) than after 2 weeks of adjusted-dose warfarin (4%) (P = 0.004), and tripled the overall rate of stroke (P = 0.04). Patients with complex aortic plaque (35%) had a fourfold increased rate of stroke compared with plaque-free patients (P = 0.005); adjusted-dose warfarin decreased risk by 75% (P = 0.02). Dense spontaneous echocardiographic contrast and complex aortic plaque were independent of each other as predictors of thromboembolism. CONCLUSIONS: In high-risk patients with atrial fibrillation, subsequent rates of thromboembolism are correlated with dense spontaneous echocardiographic contrast, thrombus of the atrial appendage, and aortic plaque. Adjusted-dose warfarin reduces the rate of stroke among patients with dense contrast and complex plaque. In patients with atrial fibrillation, the pathogenesis of stroke is multifactorial, and warfarin seems effective for the diverse mechanisms.", "container-title" : "Ann Intern Med", "edition" : "1998/12/16", "id" : "ITEM-1", "issue" : "8", "issued" : { "date-parts" : [ [ "1998" ] ] }, "note" : "R01-NS-24224/NS/NINDS NIH HHS/United States\nR01-NS-33351/NS/NINDS NIH HHS/United States\nClinical Trial\nRandomized Controlled Trial\nResearch Support, U.S. Gov't, P.H.S.\nUnited states\nAnnals of internal medicine\nAnn Intern Med. 1998 Apr 15;128(8):639-47.", "page" : "639-647", "title" : "Transesophageal echocardiographic correlates of thromboembolism in high-risk patients with nonvalvular atrial fibrillation. The Stroke Prevention in Atrial Fibrillation Investigators Committee on Echocardiography", "type" : "article-journal", "volume" : "128" }, "uris" : [ "http://www.mendeley.com/documents/?uuid=968b0944-cf4e-4f23-91e7-760351b2bc71" ] }, { "id" : "ITEM-2",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"dropping-particle" : "", "family" : "Providencia", "given" : "R", "non-dropping-particle" : "", "parse-names" : false, "suffix" : "" }, { "dropping-particle" : "", "family" : "Botelho", "given" : "A", "non-dropping-particle" : "", "parse-names" : false, "suffix" : "" }, { "dropping-particle" : "", "family" : "Trigo", "given" : "J", "non-dropping-particle" : "", "parse-names" : false, "suffix" : "" }, { "dropping-particle" : "", "family" : "Quintal", "given" : "N", "non-dropping-particle" : "", "parse-names" : false, "suffix" : "" }, { "dropping-particle" : "", "family" : "Nascimento", "given" : "J", "non-dropping-particle" : "", "parse-names" : false, "suffix" : "" }, { "dropping-particle" : "", "family" : "Mota", "given" : "P", "non-dropping-particle" : "", "parse-names" : false, "suffix" : "" }, { "dropping-particle" : "", "family" : "Leitao-Marques", "given" : "A", "non-dropping-particle" : "", "parse-names" : false, "suffix" : "" } ], "container-title" : "Europace", "edition" : "2011/08/27", "id" : "ITEM-2",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"[5,6]" }, "properties" : { "noteIndex" : 0 }, "schema" : "https://github.com/citation-style-language/schema/raw/master/csl-citation.json" }</w:instrText>
      </w:r>
      <w:r w:rsidR="00064789" w:rsidRPr="00064789">
        <w:fldChar w:fldCharType="separate"/>
      </w:r>
      <w:r w:rsidR="00DF52E6" w:rsidRPr="00DF52E6">
        <w:rPr>
          <w:noProof/>
        </w:rPr>
        <w:t>[5,6]</w:t>
      </w:r>
      <w:r w:rsidR="00064789" w:rsidRPr="00064789">
        <w:fldChar w:fldCharType="end"/>
      </w:r>
      <w:r w:rsidR="00064789" w:rsidRPr="00064789">
        <w:t xml:space="preserve"> </w:t>
      </w:r>
      <w:proofErr w:type="gramStart"/>
      <w:r w:rsidR="00C1788C" w:rsidRPr="00064789">
        <w:t>For</w:t>
      </w:r>
      <w:proofErr w:type="gramEnd"/>
      <w:r w:rsidR="00C1788C" w:rsidRPr="00064789">
        <w:t xml:space="preserve"> these ‘hidden’ high-risk patients, prescribing an OAC is likely to be more beneficial than harmful, and so using TTE in this way improves their AF management. However, as no diagnostic is perfectly accurate, </w:t>
      </w:r>
      <w:r w:rsidR="007F66EC">
        <w:t>the</w:t>
      </w:r>
      <w:r w:rsidR="00C1788C" w:rsidRPr="00064789">
        <w:t xml:space="preserve"> use of TTE will </w:t>
      </w:r>
      <w:r w:rsidR="007A14AB">
        <w:t>produce</w:t>
      </w:r>
      <w:r w:rsidR="00C1788C" w:rsidRPr="00064789">
        <w:t xml:space="preserve"> </w:t>
      </w:r>
      <w:r w:rsidR="00704B8F" w:rsidRPr="00064789">
        <w:t xml:space="preserve">some false positives, resulting in more patients with low stroke risk being prescribed OACs. </w:t>
      </w:r>
      <w:r w:rsidR="00C47292">
        <w:t>Additionally</w:t>
      </w:r>
      <w:r w:rsidR="00704B8F" w:rsidRPr="00064789">
        <w:t xml:space="preserve">, not all patients who are at higher stroke would be identified (false negatives), and so would </w:t>
      </w:r>
      <w:r w:rsidR="00C47292">
        <w:t>remain un</w:t>
      </w:r>
      <w:r w:rsidR="00704B8F" w:rsidRPr="00064789">
        <w:t xml:space="preserve">treated with OACs. For these reasons, not using TTE </w:t>
      </w:r>
      <w:r w:rsidR="00E21A68" w:rsidRPr="00064789">
        <w:t xml:space="preserve">(the No TTE Strategy) </w:t>
      </w:r>
      <w:r w:rsidR="00704B8F" w:rsidRPr="00064789">
        <w:t xml:space="preserve">could lead to better clinical outcomes for </w:t>
      </w:r>
      <w:r w:rsidR="00E21A68" w:rsidRPr="00064789">
        <w:t xml:space="preserve">these </w:t>
      </w:r>
      <w:r w:rsidR="00704B8F" w:rsidRPr="00064789">
        <w:t xml:space="preserve">AF patients than </w:t>
      </w:r>
      <w:r w:rsidR="00E21A68" w:rsidRPr="00064789">
        <w:t>using TTE (the TTE Strategy)</w:t>
      </w:r>
      <w:r w:rsidR="007F66EC">
        <w:t>.</w:t>
      </w:r>
    </w:p>
    <w:p w:rsidR="00064789" w:rsidRPr="00064789" w:rsidRDefault="00E21A68" w:rsidP="008D3B31">
      <w:pPr>
        <w:spacing w:line="480" w:lineRule="auto"/>
      </w:pPr>
      <w:r w:rsidRPr="00064789">
        <w:t xml:space="preserve">If the TTE Strategy </w:t>
      </w:r>
      <w:r w:rsidR="00D65C68" w:rsidRPr="00064789">
        <w:t xml:space="preserve">is clinically </w:t>
      </w:r>
      <w:r w:rsidRPr="00064789">
        <w:t>superior,</w:t>
      </w:r>
      <w:r w:rsidR="007F66EC">
        <w:t xml:space="preserve"> however,</w:t>
      </w:r>
      <w:r w:rsidRPr="00064789">
        <w:t xml:space="preserve"> it is then important to estimate whether it is also cost effective, meaning that the ratio of additional costs to additional clinical benefits of the TTE Strategy compared with No TTE strategy </w:t>
      </w:r>
      <w:r w:rsidR="007F66EC">
        <w:t>represents a good use of scarce resources</w:t>
      </w:r>
      <w:r w:rsidRPr="00064789">
        <w:t xml:space="preserve">. The </w:t>
      </w:r>
      <w:r w:rsidR="001D7B3F" w:rsidRPr="00064789">
        <w:t xml:space="preserve">National Institute for Health and </w:t>
      </w:r>
      <w:r w:rsidR="00C47292">
        <w:t xml:space="preserve">Care </w:t>
      </w:r>
      <w:r w:rsidR="001D7B3F" w:rsidRPr="00064789">
        <w:t>Excellence</w:t>
      </w:r>
      <w:r w:rsidR="00D65C68" w:rsidRPr="00064789">
        <w:t xml:space="preserve"> </w:t>
      </w:r>
      <w:r w:rsidR="001D7B3F" w:rsidRPr="00064789">
        <w:t>(</w:t>
      </w:r>
      <w:r w:rsidR="00D65C68" w:rsidRPr="00064789">
        <w:t>NICE</w:t>
      </w:r>
      <w:r w:rsidR="001D7B3F" w:rsidRPr="00064789">
        <w:t>)</w:t>
      </w:r>
      <w:r w:rsidR="00D65C68" w:rsidRPr="00064789">
        <w:t xml:space="preserve"> </w:t>
      </w:r>
      <w:r w:rsidRPr="00064789">
        <w:t>recommends that health benefits be defined in terms of quality-adjusted life years (QALYs), and conventionally applies thresholds ranging from £20,000 per QALY to £30,000 per QALY when deciding whether to</w:t>
      </w:r>
      <w:r w:rsidR="00064789" w:rsidRPr="00064789">
        <w:t xml:space="preserve"> recommend a health technology. </w:t>
      </w:r>
      <w:r w:rsidR="00064789" w:rsidRPr="00064789">
        <w:fldChar w:fldCharType="begin" w:fldLock="1"/>
      </w:r>
      <w:r w:rsidR="00B54241">
        <w:instrText>ADDIN CSL_CITATION { "citationItems" : [ { "id" : "ITEM-1", "itemData" : { "URL" : "http://www.nice.org.uk/media/B52/A7/TAMethodsGuideUpdatedJune2008.pdf", "author" : [ { "dropping-particle" : "", "family" : "NICE", "given" : "", "non-dropping-particle" : "", "parse-names" : false, "suffix" : "" } ], "id" : "ITEM-1", "issued" : { "date-parts" : [ [ "2008" ] ] }, "title" : "Guide to the methods of technology appraisal", "type" : "webpage" }, "uris" : [ "http://www.mendeley.com/documents/?uuid=ed915307-1f9e-4c6a-988a-a9210492d557" ] } ], "mendeley" : { "previouslyFormattedCitation" : "[7]" }, "properties" : { "noteIndex" : 0 }, "schema" : "https://github.com/citation-style-language/schema/raw/master/csl-citation.json" }</w:instrText>
      </w:r>
      <w:r w:rsidR="00064789" w:rsidRPr="00064789">
        <w:fldChar w:fldCharType="separate"/>
      </w:r>
      <w:r w:rsidR="00DF52E6" w:rsidRPr="00DF52E6">
        <w:rPr>
          <w:noProof/>
        </w:rPr>
        <w:t>[7]</w:t>
      </w:r>
      <w:r w:rsidR="00064789" w:rsidRPr="00064789">
        <w:fldChar w:fldCharType="end"/>
      </w:r>
      <w:r w:rsidR="00064789" w:rsidRPr="00064789">
        <w:t xml:space="preserve"> This </w:t>
      </w:r>
      <w:proofErr w:type="spellStart"/>
      <w:r w:rsidR="00064789" w:rsidRPr="00064789">
        <w:t>model</w:t>
      </w:r>
      <w:r w:rsidR="00A80926">
        <w:t>l</w:t>
      </w:r>
      <w:r w:rsidR="00064789" w:rsidRPr="00064789">
        <w:t>ing</w:t>
      </w:r>
      <w:proofErr w:type="spellEnd"/>
      <w:r w:rsidR="00064789" w:rsidRPr="00064789">
        <w:t xml:space="preserve"> study </w:t>
      </w:r>
      <w:r w:rsidR="007A14AB">
        <w:t>use</w:t>
      </w:r>
      <w:r w:rsidR="00A80926">
        <w:t>s</w:t>
      </w:r>
      <w:r w:rsidR="007A14AB">
        <w:t xml:space="preserve"> this measure of health benefit and </w:t>
      </w:r>
      <w:r w:rsidR="00064789" w:rsidRPr="00064789">
        <w:t>these thresholds.</w:t>
      </w:r>
    </w:p>
    <w:p w:rsidR="0005390C" w:rsidRPr="00064789" w:rsidRDefault="00C007A4" w:rsidP="003378D6">
      <w:pPr>
        <w:pStyle w:val="Heading1"/>
        <w:numPr>
          <w:ilvl w:val="0"/>
          <w:numId w:val="0"/>
        </w:numPr>
      </w:pPr>
      <w:r w:rsidRPr="00064789">
        <w:t>Method</w:t>
      </w:r>
      <w:r w:rsidR="00E57550" w:rsidRPr="00064789">
        <w:t>s</w:t>
      </w:r>
    </w:p>
    <w:p w:rsidR="00E57550" w:rsidRPr="00064789" w:rsidRDefault="00E57550" w:rsidP="008D3B31">
      <w:pPr>
        <w:spacing w:line="480" w:lineRule="auto"/>
      </w:pPr>
      <w:r w:rsidRPr="00064789">
        <w:t xml:space="preserve">The mathematical model developed estimated the </w:t>
      </w:r>
      <w:r w:rsidR="009A6772" w:rsidRPr="00064789">
        <w:t>consequence</w:t>
      </w:r>
      <w:r w:rsidR="00267F89" w:rsidRPr="00064789">
        <w:t>s</w:t>
      </w:r>
      <w:r w:rsidR="009A6772" w:rsidRPr="00064789">
        <w:t xml:space="preserve"> </w:t>
      </w:r>
      <w:r w:rsidRPr="00064789">
        <w:t xml:space="preserve">of </w:t>
      </w:r>
      <w:r w:rsidR="009A6772" w:rsidRPr="00064789">
        <w:t xml:space="preserve">using </w:t>
      </w:r>
      <w:r w:rsidR="006D7B3B" w:rsidRPr="00064789">
        <w:t xml:space="preserve">TTE </w:t>
      </w:r>
      <w:r w:rsidR="00267F89" w:rsidRPr="00064789">
        <w:t>to inform</w:t>
      </w:r>
      <w:r w:rsidR="00B1326A" w:rsidRPr="00064789">
        <w:t xml:space="preserve"> the decision </w:t>
      </w:r>
      <w:r w:rsidR="00267F89" w:rsidRPr="00064789">
        <w:t xml:space="preserve">whether </w:t>
      </w:r>
      <w:r w:rsidR="00B1326A" w:rsidRPr="00064789">
        <w:t xml:space="preserve">to prescribe an OAC </w:t>
      </w:r>
      <w:r w:rsidR="00267F89" w:rsidRPr="00064789">
        <w:t xml:space="preserve">in a range of patient populations. Eight distinct cohorts were </w:t>
      </w:r>
      <w:proofErr w:type="spellStart"/>
      <w:r w:rsidR="00267F89" w:rsidRPr="00064789">
        <w:t>model</w:t>
      </w:r>
      <w:r w:rsidR="00133DC2" w:rsidRPr="00064789">
        <w:t>l</w:t>
      </w:r>
      <w:r w:rsidR="00267F89" w:rsidRPr="00064789">
        <w:t>ed</w:t>
      </w:r>
      <w:proofErr w:type="spellEnd"/>
      <w:r w:rsidR="00267F89" w:rsidRPr="00064789">
        <w:t>, and separate scenarios were performed for each of three potential OACs: wa</w:t>
      </w:r>
      <w:r w:rsidR="00133DC2" w:rsidRPr="00064789">
        <w:t>rfarin</w:t>
      </w:r>
      <w:r w:rsidR="00A80926">
        <w:t xml:space="preserve">; </w:t>
      </w:r>
      <w:proofErr w:type="spellStart"/>
      <w:r w:rsidR="00A80926">
        <w:t>dabigatran</w:t>
      </w:r>
      <w:proofErr w:type="spellEnd"/>
      <w:r w:rsidR="00A80926">
        <w:t>;</w:t>
      </w:r>
      <w:r w:rsidR="00133DC2" w:rsidRPr="00064789">
        <w:t xml:space="preserve"> and </w:t>
      </w:r>
      <w:proofErr w:type="spellStart"/>
      <w:r w:rsidR="00133DC2" w:rsidRPr="00064789">
        <w:t>rivaroxa</w:t>
      </w:r>
      <w:r w:rsidR="00267F89" w:rsidRPr="00064789">
        <w:t>ban</w:t>
      </w:r>
      <w:proofErr w:type="spellEnd"/>
      <w:r w:rsidR="0091160C" w:rsidRPr="00064789">
        <w:t>.</w:t>
      </w:r>
      <w:r w:rsidR="007955A1" w:rsidRPr="00064789">
        <w:t xml:space="preserve"> </w:t>
      </w:r>
      <w:r w:rsidR="001D7B3F" w:rsidRPr="00064789">
        <w:fldChar w:fldCharType="begin" w:fldLock="1"/>
      </w:r>
      <w:r w:rsidR="00B54241">
        <w:instrText>ADDIN CSL_CITATION { "citationItems" : [ { "id" : "ITEM-1", "itemData" : { "DOI" : "10.1287/opre.28.1.206", "author" : [ { "dropping-particle" : "", "family" : "Pliskin", "given" : "J. S.", "non-dropping-particle" : "", "parse-names" : false, "suffix" : "" }, { "dropping-particle" : "", "family" : "Shepard", "given" : "D. S.", "non-dropping-particle" : "", "parse-names" : false, "suffix" : "" }, { "dropping-particle" : "", "family" : "Weinstein", "given" : "M. C.", "non-dropping-particle" : "", "parse-names" : false, "suffix" : "" } ], "container-title" : "Operations Research", "id" : "ITEM-1", "issue" : "1", "issued" : { "date-parts" : [ [ "1980", "1", "1" ] ] }, "page" : "206-224", "title" : "Utility Functions for Life Years and Health Status", "type" : "article-journal", "volume" : "28" }, "uris" : [ "http://www.mendeley.com/documents/?uuid=ac2711af-3e6d-4dbb-aee6-e8adf2f8ea5f" ] } ], "mendeley" : { "previouslyFormattedCitation" : "[8]" }, "properties" : { "noteIndex" : 0 }, "schema" : "https://github.com/citation-style-language/schema/raw/master/csl-citation.json" }</w:instrText>
      </w:r>
      <w:r w:rsidR="001D7B3F" w:rsidRPr="00064789">
        <w:fldChar w:fldCharType="separate"/>
      </w:r>
      <w:r w:rsidR="00DF52E6" w:rsidRPr="00DF52E6">
        <w:rPr>
          <w:noProof/>
        </w:rPr>
        <w:t>[8]</w:t>
      </w:r>
      <w:r w:rsidR="001D7B3F" w:rsidRPr="00064789">
        <w:fldChar w:fldCharType="end"/>
      </w:r>
      <w:r w:rsidR="001D7B3F" w:rsidRPr="00064789">
        <w:t xml:space="preserve"> </w:t>
      </w:r>
      <w:r w:rsidR="006D7B3B" w:rsidRPr="00064789">
        <w:t>A</w:t>
      </w:r>
      <w:r w:rsidR="00C87195" w:rsidRPr="00064789">
        <w:t xml:space="preserve"> UK</w:t>
      </w:r>
      <w:r w:rsidR="006D7B3B" w:rsidRPr="00064789">
        <w:t xml:space="preserve"> perspective is adopted</w:t>
      </w:r>
      <w:r w:rsidR="003E2F7C" w:rsidRPr="00064789">
        <w:t xml:space="preserve">, </w:t>
      </w:r>
      <w:r w:rsidR="00133DC2" w:rsidRPr="00064789">
        <w:t xml:space="preserve">with </w:t>
      </w:r>
      <w:r w:rsidR="003E2F7C" w:rsidRPr="00064789">
        <w:t>costs incurred by the patient or wider society not considered</w:t>
      </w:r>
      <w:r w:rsidR="006D7B3B" w:rsidRPr="00064789">
        <w:t xml:space="preserve">. </w:t>
      </w:r>
      <w:r w:rsidR="00EE646D">
        <w:t xml:space="preserve">Costs were inflation-adjusted to 2012 UK values where necessary. </w:t>
      </w:r>
      <w:bookmarkStart w:id="1" w:name="_GoBack"/>
      <w:bookmarkEnd w:id="1"/>
      <w:r w:rsidR="006D7B3B" w:rsidRPr="00064789">
        <w:t xml:space="preserve">Standard NICE discount rates for utilities and costs of 3.5% per annum are used. </w:t>
      </w:r>
      <w:r w:rsidR="002F05E5" w:rsidRPr="00064789">
        <w:fldChar w:fldCharType="begin" w:fldLock="1"/>
      </w:r>
      <w:r w:rsidR="00B54241">
        <w:instrText>ADDIN CSL_CITATION { "citationItems" : [ { "id" : "ITEM-1", "itemData" : { "URL" : "http://www.nice.org.uk/media/B52/A7/TAMethodsGuideUpdatedJune2008.pdf", "accessed" : { "date-parts" : [ [ "2012", "10", "15" ] ] }, "author" : [ { "dropping-particle" : "", "family" : "NICE", "given" : "", "non-dropping-particle" : "", "parse-names" : false, "suffix" : "" } ], "container-title" : "NICE methods guide", "id" : "ITEM-1", "issued" : { "date-parts" : [ [ "2008" ] ] }, "page" : "80", "title" : "Guide to the methods of technology appraisal", "type" : "webpage" }, "uris" : [ "http://www.mendeley.com/documents/?uuid=cd033cb2-d65d-48dd-9230-e0ece575195f" ] } ], "mendeley" : { "previouslyFormattedCitation" : "[9]" }, "properties" : { "noteIndex" : 0 }, "schema" : "https://github.com/citation-style-language/schema/raw/master/csl-citation.json" }</w:instrText>
      </w:r>
      <w:r w:rsidR="002F05E5" w:rsidRPr="00064789">
        <w:fldChar w:fldCharType="separate"/>
      </w:r>
      <w:r w:rsidR="00DF52E6" w:rsidRPr="00DF52E6">
        <w:rPr>
          <w:noProof/>
        </w:rPr>
        <w:t>[9]</w:t>
      </w:r>
      <w:r w:rsidR="002F05E5" w:rsidRPr="00064789">
        <w:fldChar w:fldCharType="end"/>
      </w:r>
      <w:r w:rsidR="009137B7" w:rsidRPr="00064789">
        <w:t xml:space="preserve"> </w:t>
      </w:r>
      <w:r w:rsidR="00133DC2" w:rsidRPr="00064789">
        <w:t>A lifetime horizon is adopted, and</w:t>
      </w:r>
      <w:r w:rsidR="00E36064" w:rsidRPr="00064789">
        <w:t xml:space="preserve"> </w:t>
      </w:r>
      <w:r w:rsidR="00133DC2" w:rsidRPr="00064789">
        <w:t>i</w:t>
      </w:r>
      <w:r w:rsidR="006D7B3B" w:rsidRPr="00064789">
        <w:t>n order to incorporate the effect of uncertainty on predicted outcomes</w:t>
      </w:r>
      <w:r w:rsidR="00C47292">
        <w:t>, in order that the full consequences of mortality due to stroke or major blee</w:t>
      </w:r>
      <w:r w:rsidR="00A9463E">
        <w:t>ding</w:t>
      </w:r>
      <w:r w:rsidR="00C47292">
        <w:t xml:space="preserve"> events are compared. A </w:t>
      </w:r>
      <w:r w:rsidR="006D7B3B" w:rsidRPr="00064789">
        <w:t xml:space="preserve">probabilistic </w:t>
      </w:r>
      <w:r w:rsidR="006D7B3B" w:rsidRPr="00064789">
        <w:lastRenderedPageBreak/>
        <w:t xml:space="preserve">model is used, </w:t>
      </w:r>
      <w:r w:rsidR="00834F71" w:rsidRPr="00064789">
        <w:t>meaning</w:t>
      </w:r>
      <w:r w:rsidR="006D7B3B" w:rsidRPr="00064789">
        <w:t xml:space="preserve"> that where possible model parameter estimates are drawn from distributions rather than assumed to be fixed values. </w:t>
      </w:r>
    </w:p>
    <w:p w:rsidR="009344EA" w:rsidRPr="00064789" w:rsidRDefault="009344EA" w:rsidP="009344EA">
      <w:pPr>
        <w:pStyle w:val="Heading2"/>
        <w:numPr>
          <w:ilvl w:val="0"/>
          <w:numId w:val="0"/>
        </w:numPr>
      </w:pPr>
      <w:r w:rsidRPr="00064789">
        <w:t>Scenarios included</w:t>
      </w:r>
    </w:p>
    <w:p w:rsidR="00267F89" w:rsidRPr="00064789" w:rsidRDefault="00A9463E" w:rsidP="008D3B31">
      <w:pPr>
        <w:spacing w:line="480" w:lineRule="auto"/>
      </w:pPr>
      <w:r>
        <w:t>The recommended populations for treating with w</w:t>
      </w:r>
      <w:r w:rsidR="00BE73AD" w:rsidRPr="00064789">
        <w:t xml:space="preserve">arfarin, </w:t>
      </w:r>
      <w:proofErr w:type="spellStart"/>
      <w:r w:rsidR="00BE73AD" w:rsidRPr="00064789">
        <w:t>rivarox</w:t>
      </w:r>
      <w:r w:rsidR="00133DC2" w:rsidRPr="00064789">
        <w:t>a</w:t>
      </w:r>
      <w:r w:rsidR="00BE73AD" w:rsidRPr="00064789">
        <w:t>ban</w:t>
      </w:r>
      <w:proofErr w:type="spellEnd"/>
      <w:r w:rsidR="00BE73AD" w:rsidRPr="00064789">
        <w:t xml:space="preserve">, and </w:t>
      </w:r>
      <w:proofErr w:type="spellStart"/>
      <w:r w:rsidR="00BE73AD" w:rsidRPr="00064789">
        <w:t>dabigatran</w:t>
      </w:r>
      <w:proofErr w:type="spellEnd"/>
      <w:r w:rsidR="00BE73AD" w:rsidRPr="00064789">
        <w:t xml:space="preserve"> are </w:t>
      </w:r>
      <w:r>
        <w:t xml:space="preserve">different in their clinical characteristics. </w:t>
      </w:r>
      <w:r w:rsidR="00560933" w:rsidRPr="00064789">
        <w:t xml:space="preserve">Warfarin is </w:t>
      </w:r>
      <w:r w:rsidR="00354D59" w:rsidRPr="00064789">
        <w:t xml:space="preserve">recommended </w:t>
      </w:r>
      <w:r w:rsidR="00560933" w:rsidRPr="00064789">
        <w:t>in patients with a CHADS</w:t>
      </w:r>
      <w:r w:rsidR="00560933" w:rsidRPr="00064789">
        <w:rPr>
          <w:vertAlign w:val="subscript"/>
        </w:rPr>
        <w:t>2</w:t>
      </w:r>
      <w:r w:rsidR="00560933" w:rsidRPr="00064789">
        <w:t xml:space="preserve"> score of </w:t>
      </w:r>
      <w:r w:rsidR="00354D59" w:rsidRPr="00064789">
        <w:t xml:space="preserve">one </w:t>
      </w:r>
      <w:r w:rsidR="00560933" w:rsidRPr="00064789">
        <w:t xml:space="preserve">or more; </w:t>
      </w:r>
      <w:r>
        <w:t xml:space="preserve">similarly </w:t>
      </w:r>
      <w:r w:rsidR="00560933" w:rsidRPr="00064789">
        <w:t xml:space="preserve">the recent NICE recommendations for </w:t>
      </w:r>
      <w:proofErr w:type="spellStart"/>
      <w:r w:rsidR="00560933" w:rsidRPr="00064789">
        <w:t>rivaroxaban</w:t>
      </w:r>
      <w:proofErr w:type="spellEnd"/>
      <w:r w:rsidR="00560933" w:rsidRPr="00064789">
        <w:t xml:space="preserve"> are equivalent to stating that patients with a CHADS</w:t>
      </w:r>
      <w:r w:rsidR="00560933" w:rsidRPr="00064789">
        <w:rPr>
          <w:vertAlign w:val="subscript"/>
        </w:rPr>
        <w:t>2</w:t>
      </w:r>
      <w:r w:rsidR="00560933" w:rsidRPr="00064789">
        <w:t xml:space="preserve"> score of one or more should receive it; and recent NICE recommendations for </w:t>
      </w:r>
      <w:proofErr w:type="spellStart"/>
      <w:r w:rsidR="00560933" w:rsidRPr="00064789">
        <w:t>dabigatran</w:t>
      </w:r>
      <w:proofErr w:type="spellEnd"/>
      <w:r w:rsidR="00560933" w:rsidRPr="00064789">
        <w:t xml:space="preserve"> are equivalent to stating that patients with a CHADS</w:t>
      </w:r>
      <w:r w:rsidR="00560933" w:rsidRPr="00064789">
        <w:rPr>
          <w:vertAlign w:val="subscript"/>
        </w:rPr>
        <w:t>2</w:t>
      </w:r>
      <w:r w:rsidR="00560933" w:rsidRPr="00064789">
        <w:t xml:space="preserve"> score of one or more should receive it if they are also aged 65 years or more</w:t>
      </w:r>
      <w:r w:rsidR="00064789" w:rsidRPr="00064789">
        <w:t xml:space="preserve">. </w:t>
      </w:r>
      <w:r w:rsidR="002F05E5" w:rsidRPr="00064789">
        <w:fldChar w:fldCharType="begin" w:fldLock="1"/>
      </w:r>
      <w:r w:rsidR="00B54241">
        <w:instrText>ADDIN CSL_CITATION { "citationItems" : [ { "id" : "ITEM-1", "itemData" : { "URL" : "http://www.nice.org.uk/nicemedia/live/13746/59295/59295.pdf", "accessed" : { "date-parts" : [ [ "2012", "9", "28" ] ] }, "author" : [ { "dropping-particle" : "", "family" : "NICE", "given" : "", "non-dropping-particle" : "", "parse-names" : false, "suffix" : "" } ], "container-title" : "NICE technology appraisal guidance 256", "id" : "ITEM-1", "issued" : { "date-parts" : [ [ "2012" ] ] }, "title" : "Rivaroxaban for the prevention of stroke and systemic embolism in people with atrial fibrillation", "type" : "webpage" }, "uris" : [ "http://www.mendeley.com/documents/?uuid=86ddf2af-d98e-4b46-8879-5fa584445e05" ] }, { "id" : "ITEM-2", "itemData" : { "URL" : "http://www.nice.org.uk/nicemedia/live/13677/58470/58470.pdf", "accessed" : { "date-parts" : [ [ "2012", "9", "28" ] ] }, "author" : [ { "dropping-particle" : "", "family" : "NICE", "given" : "", "non-dropping-particle" : "", "parse-names" : false, "suffix" : "" } ], "container-title" : "NICE technology appraisal guidance 249", "id" : "ITEM-2", "issued" : { "date-parts" : [ [ "2012" ] ] }, "title" : "Dabigatran etexilate for the prevention of stroke and systemic embolism in atrial fibrillation", "type" : "webpage" }, "uris" : [ "http://www.mendeley.com/documents/?uuid=1f78d015-fd6c-4f3b-b09e-077ac1e728f2" ] } ], "mendeley" : { "previouslyFormattedCitation" : "[11,12]" }, "properties" : { "noteIndex" : 0 }, "schema" : "https://github.com/citation-style-language/schema/raw/master/csl-citation.json" }</w:instrText>
      </w:r>
      <w:r w:rsidR="002F05E5" w:rsidRPr="00064789">
        <w:fldChar w:fldCharType="separate"/>
      </w:r>
      <w:r w:rsidR="00B54241" w:rsidRPr="00B54241">
        <w:rPr>
          <w:noProof/>
        </w:rPr>
        <w:t>[11,12]</w:t>
      </w:r>
      <w:r w:rsidR="002F05E5" w:rsidRPr="00064789">
        <w:fldChar w:fldCharType="end"/>
      </w:r>
      <w:r w:rsidR="00C0617D" w:rsidRPr="00064789">
        <w:t xml:space="preserve"> </w:t>
      </w:r>
      <w:proofErr w:type="gramStart"/>
      <w:r w:rsidR="001D7B3F" w:rsidRPr="00064789">
        <w:t>The</w:t>
      </w:r>
      <w:proofErr w:type="gramEnd"/>
      <w:r w:rsidR="001D7B3F" w:rsidRPr="00064789">
        <w:t xml:space="preserve"> purpose of this paper is not to identify the most appropriate OAC</w:t>
      </w:r>
      <w:r w:rsidR="007A14AB">
        <w:t xml:space="preserve">, which is a matter of clinician </w:t>
      </w:r>
      <w:proofErr w:type="spellStart"/>
      <w:r w:rsidR="007A14AB">
        <w:t>judgement</w:t>
      </w:r>
      <w:proofErr w:type="spellEnd"/>
      <w:r w:rsidR="001D7B3F" w:rsidRPr="00064789">
        <w:t>, but to see if the use of TTE is clinically effective and cost-effective</w:t>
      </w:r>
      <w:r w:rsidR="007A14AB">
        <w:t xml:space="preserve"> given </w:t>
      </w:r>
      <w:r w:rsidR="00A80926">
        <w:t xml:space="preserve">the </w:t>
      </w:r>
      <w:r w:rsidR="007A14AB">
        <w:t>OAC under consideration</w:t>
      </w:r>
      <w:r w:rsidR="001D7B3F" w:rsidRPr="00064789">
        <w:t xml:space="preserve">. </w:t>
      </w:r>
      <w:r w:rsidR="00C0617D" w:rsidRPr="00064789">
        <w:t xml:space="preserve">The scenarios in which a TTE may affect the OAC decision </w:t>
      </w:r>
      <w:r w:rsidR="00BE73AD" w:rsidRPr="00064789">
        <w:t xml:space="preserve">are described </w:t>
      </w:r>
      <w:r w:rsidR="007946CB">
        <w:t xml:space="preserve">in </w:t>
      </w:r>
      <w:r w:rsidR="007946CB">
        <w:fldChar w:fldCharType="begin"/>
      </w:r>
      <w:r w:rsidR="007946CB">
        <w:instrText xml:space="preserve"> REF _Ref321227101 \h </w:instrText>
      </w:r>
      <w:r w:rsidR="007946CB">
        <w:fldChar w:fldCharType="separate"/>
      </w:r>
      <w:r w:rsidR="00B66501" w:rsidRPr="00532F44">
        <w:t xml:space="preserve">Table </w:t>
      </w:r>
      <w:r w:rsidR="00B66501">
        <w:rPr>
          <w:noProof/>
        </w:rPr>
        <w:t>1</w:t>
      </w:r>
      <w:r w:rsidR="007946CB">
        <w:fldChar w:fldCharType="end"/>
      </w:r>
      <w:r w:rsidR="007946CB">
        <w:t xml:space="preserve"> </w:t>
      </w:r>
      <w:r w:rsidR="00BE73AD" w:rsidRPr="00064789">
        <w:t>.</w:t>
      </w:r>
    </w:p>
    <w:p w:rsidR="00253316" w:rsidRPr="00064789" w:rsidRDefault="00253316" w:rsidP="00253316">
      <w:pPr>
        <w:spacing w:line="480" w:lineRule="auto"/>
        <w:jc w:val="center"/>
      </w:pPr>
      <w:r w:rsidRPr="00064789">
        <w:t>[Table 1 about here]</w:t>
      </w:r>
    </w:p>
    <w:p w:rsidR="00515AEC" w:rsidRPr="00064789" w:rsidRDefault="00515AEC" w:rsidP="003378D6">
      <w:pPr>
        <w:pStyle w:val="Heading2"/>
        <w:numPr>
          <w:ilvl w:val="0"/>
          <w:numId w:val="0"/>
        </w:numPr>
      </w:pPr>
      <w:r w:rsidRPr="00064789">
        <w:t>Model Overview</w:t>
      </w:r>
    </w:p>
    <w:p w:rsidR="00004236" w:rsidRDefault="00397705" w:rsidP="008D3B31">
      <w:pPr>
        <w:spacing w:line="480" w:lineRule="auto"/>
      </w:pPr>
      <w:r w:rsidRPr="00064789">
        <w:t>A</w:t>
      </w:r>
      <w:r w:rsidR="00004236" w:rsidRPr="00064789">
        <w:t xml:space="preserve">n overview of the model is presented in </w:t>
      </w:r>
      <w:r w:rsidR="00B13ECE" w:rsidRPr="00064789">
        <w:fldChar w:fldCharType="begin"/>
      </w:r>
      <w:r w:rsidR="00B13ECE" w:rsidRPr="00064789">
        <w:instrText xml:space="preserve"> REF _Ref321241706 \h  \* MERGEFORMAT </w:instrText>
      </w:r>
      <w:r w:rsidR="00B13ECE" w:rsidRPr="00064789">
        <w:fldChar w:fldCharType="separate"/>
      </w:r>
      <w:r w:rsidR="00B66501" w:rsidRPr="00532F44">
        <w:t xml:space="preserve">Figure </w:t>
      </w:r>
      <w:r w:rsidR="00B66501">
        <w:t>1</w:t>
      </w:r>
      <w:r w:rsidR="00B13ECE" w:rsidRPr="00064789">
        <w:fldChar w:fldCharType="end"/>
      </w:r>
      <w:r w:rsidR="00C007A4" w:rsidRPr="00064789">
        <w:t>.</w:t>
      </w:r>
      <w:r w:rsidR="00004236" w:rsidRPr="00064789">
        <w:t xml:space="preserve"> The model </w:t>
      </w:r>
      <w:r w:rsidR="00834F71" w:rsidRPr="00064789">
        <w:t xml:space="preserve">comprises </w:t>
      </w:r>
      <w:r w:rsidR="00657538" w:rsidRPr="00064789">
        <w:t xml:space="preserve">a </w:t>
      </w:r>
      <w:r w:rsidR="00004236" w:rsidRPr="00064789">
        <w:t xml:space="preserve">short-term </w:t>
      </w:r>
      <w:r w:rsidR="00A07773" w:rsidRPr="00064789">
        <w:t xml:space="preserve">diagnostic stage and </w:t>
      </w:r>
      <w:r w:rsidR="00834F71" w:rsidRPr="00064789">
        <w:t xml:space="preserve">a </w:t>
      </w:r>
      <w:r w:rsidR="00A07773" w:rsidRPr="00064789">
        <w:t xml:space="preserve">long-term patient outcome stage. In the short-term stage </w:t>
      </w:r>
      <w:r w:rsidR="00004236" w:rsidRPr="00064789">
        <w:t xml:space="preserve">the clinical characteristics of a </w:t>
      </w:r>
      <w:r w:rsidR="001D7B3F" w:rsidRPr="00064789">
        <w:t>hypothetical patient are generated</w:t>
      </w:r>
      <w:r w:rsidR="00A9463E">
        <w:t>, including the presence of an ABN</w:t>
      </w:r>
      <w:r w:rsidR="001D7B3F" w:rsidRPr="00064789">
        <w:t>. W</w:t>
      </w:r>
      <w:r w:rsidR="00004236" w:rsidRPr="00064789">
        <w:t xml:space="preserve">hether or not </w:t>
      </w:r>
      <w:r w:rsidR="008C662C">
        <w:t xml:space="preserve">an </w:t>
      </w:r>
      <w:r w:rsidR="004E06E9" w:rsidRPr="00064789">
        <w:t xml:space="preserve">ABN was identified and hence an </w:t>
      </w:r>
      <w:r w:rsidR="00004236" w:rsidRPr="00064789">
        <w:t>OAC</w:t>
      </w:r>
      <w:r w:rsidR="00933B76" w:rsidRPr="00064789">
        <w:t xml:space="preserve"> </w:t>
      </w:r>
      <w:r w:rsidR="001138A7" w:rsidRPr="00064789">
        <w:t xml:space="preserve">was </w:t>
      </w:r>
      <w:r w:rsidR="00933B76" w:rsidRPr="00064789">
        <w:t>prescribed</w:t>
      </w:r>
      <w:r w:rsidR="00004236" w:rsidRPr="00064789">
        <w:t xml:space="preserve"> is </w:t>
      </w:r>
      <w:r w:rsidR="001D7B3F" w:rsidRPr="00064789">
        <w:t xml:space="preserve">additionally </w:t>
      </w:r>
      <w:r w:rsidR="00933B76" w:rsidRPr="00064789">
        <w:t>determined</w:t>
      </w:r>
      <w:r w:rsidR="00A07773" w:rsidRPr="00064789">
        <w:t xml:space="preserve">. In the </w:t>
      </w:r>
      <w:r w:rsidR="00004236" w:rsidRPr="00064789">
        <w:t xml:space="preserve">long-term simulation </w:t>
      </w:r>
      <w:r w:rsidR="00A07773" w:rsidRPr="00064789">
        <w:t xml:space="preserve">the patient’s clinical outcomes are simulated. Over the patient lifetime the patient may experience a stroke or major bleeding event, </w:t>
      </w:r>
      <w:r w:rsidR="00933B76" w:rsidRPr="00064789">
        <w:t xml:space="preserve">both of which could </w:t>
      </w:r>
      <w:r w:rsidR="00253316" w:rsidRPr="00064789">
        <w:t xml:space="preserve">cause death; patients may also </w:t>
      </w:r>
      <w:r w:rsidR="001138A7" w:rsidRPr="00064789">
        <w:t xml:space="preserve">die </w:t>
      </w:r>
      <w:r w:rsidR="00A07773" w:rsidRPr="00064789">
        <w:t xml:space="preserve">from another cause. Each of these events </w:t>
      </w:r>
      <w:r w:rsidR="00933B76" w:rsidRPr="00064789">
        <w:t>has</w:t>
      </w:r>
      <w:r w:rsidR="004B7B0B" w:rsidRPr="00064789">
        <w:t xml:space="preserve"> associated cost and utility implications</w:t>
      </w:r>
      <w:r w:rsidR="00A07773" w:rsidRPr="00064789">
        <w:t xml:space="preserve">. By </w:t>
      </w:r>
      <w:r w:rsidR="004B7B0B" w:rsidRPr="00064789">
        <w:t xml:space="preserve">simulating </w:t>
      </w:r>
      <w:r w:rsidR="00A07773" w:rsidRPr="00064789">
        <w:t xml:space="preserve">the outcomes for a large number of </w:t>
      </w:r>
      <w:r w:rsidR="00A9463E">
        <w:t xml:space="preserve">hypothetical </w:t>
      </w:r>
      <w:r w:rsidR="00A07773" w:rsidRPr="00064789">
        <w:t xml:space="preserve">patients, the </w:t>
      </w:r>
      <w:r w:rsidR="00263B7C" w:rsidRPr="00064789">
        <w:t xml:space="preserve">mean costs and </w:t>
      </w:r>
      <w:r w:rsidR="002D44B0" w:rsidRPr="00064789">
        <w:t>mean QALYs for both the TTE Strategy</w:t>
      </w:r>
      <w:r w:rsidR="00A80926">
        <w:t xml:space="preserve"> </w:t>
      </w:r>
      <w:r w:rsidR="002D44B0" w:rsidRPr="00064789">
        <w:t>and the No TTE strategy</w:t>
      </w:r>
      <w:r w:rsidR="00A80926">
        <w:t xml:space="preserve"> can be </w:t>
      </w:r>
      <w:r w:rsidR="00A9463E">
        <w:t>calculated</w:t>
      </w:r>
      <w:r w:rsidR="002D44B0" w:rsidRPr="00064789">
        <w:t>. F</w:t>
      </w:r>
      <w:r w:rsidR="00933B76" w:rsidRPr="00064789">
        <w:t xml:space="preserve">rom these </w:t>
      </w:r>
      <w:r w:rsidR="00263B7C" w:rsidRPr="00064789">
        <w:t>the incremental cost effectiveness ratio (ICER) of including TTE in the diagnostic package</w:t>
      </w:r>
      <w:r w:rsidR="00A9463E">
        <w:t xml:space="preserve"> can be calculated</w:t>
      </w:r>
      <w:r w:rsidR="00263B7C" w:rsidRPr="00064789">
        <w:t>.</w:t>
      </w:r>
    </w:p>
    <w:p w:rsidR="007946CB" w:rsidRPr="00064789" w:rsidRDefault="007946CB" w:rsidP="00B54241">
      <w:pPr>
        <w:spacing w:line="480" w:lineRule="auto"/>
        <w:jc w:val="center"/>
      </w:pPr>
      <w:r>
        <w:t>[</w:t>
      </w:r>
      <w:r>
        <w:fldChar w:fldCharType="begin"/>
      </w:r>
      <w:r>
        <w:instrText xml:space="preserve"> REF _Ref321241706 \h </w:instrText>
      </w:r>
      <w:r>
        <w:fldChar w:fldCharType="separate"/>
      </w:r>
      <w:r w:rsidR="00B66501" w:rsidRPr="00532F44">
        <w:t xml:space="preserve">Figure </w:t>
      </w:r>
      <w:r w:rsidR="00B66501">
        <w:rPr>
          <w:noProof/>
        </w:rPr>
        <w:t>1</w:t>
      </w:r>
      <w:r>
        <w:fldChar w:fldCharType="end"/>
      </w:r>
      <w:r>
        <w:t xml:space="preserve"> about here]</w:t>
      </w:r>
    </w:p>
    <w:p w:rsidR="00515AEC" w:rsidRPr="00064789" w:rsidRDefault="00A0005C" w:rsidP="008D3B31">
      <w:pPr>
        <w:spacing w:line="480" w:lineRule="auto"/>
      </w:pPr>
      <w:r w:rsidRPr="00064789">
        <w:lastRenderedPageBreak/>
        <w:t xml:space="preserve">In </w:t>
      </w:r>
      <w:r w:rsidR="002D44B0" w:rsidRPr="00064789">
        <w:t>the No TTE Strategy</w:t>
      </w:r>
      <w:r w:rsidRPr="00064789">
        <w:t xml:space="preserve">, none of </w:t>
      </w:r>
      <w:r w:rsidR="00C87195" w:rsidRPr="00064789">
        <w:t xml:space="preserve">the patients with </w:t>
      </w:r>
      <w:r w:rsidRPr="00064789">
        <w:t xml:space="preserve">ABN </w:t>
      </w:r>
      <w:r w:rsidR="002D44B0" w:rsidRPr="00064789">
        <w:t>would be</w:t>
      </w:r>
      <w:r w:rsidRPr="00064789">
        <w:t xml:space="preserve"> treated with the OAC</w:t>
      </w:r>
      <w:r w:rsidR="00C87195" w:rsidRPr="00064789">
        <w:t>.</w:t>
      </w:r>
      <w:r w:rsidRPr="00064789">
        <w:t xml:space="preserve"> In the comparator strategy, </w:t>
      </w:r>
      <w:r w:rsidR="00133DC2" w:rsidRPr="00064789">
        <w:t xml:space="preserve">a percentage </w:t>
      </w:r>
      <w:r w:rsidRPr="00064789">
        <w:t xml:space="preserve">of these </w:t>
      </w:r>
      <w:r w:rsidR="008D30D8" w:rsidRPr="00064789">
        <w:t xml:space="preserve">patients with ABN </w:t>
      </w:r>
      <w:r w:rsidRPr="00064789">
        <w:t xml:space="preserve">would receive the OAC due to TTE correctly identifying </w:t>
      </w:r>
      <w:r w:rsidR="001B457D" w:rsidRPr="00064789">
        <w:t>ABN</w:t>
      </w:r>
      <w:r w:rsidR="00133DC2" w:rsidRPr="00064789">
        <w:t>, dependent on sensitivity of TTE</w:t>
      </w:r>
      <w:r w:rsidR="004E06E9" w:rsidRPr="00064789">
        <w:t xml:space="preserve">. However, when specificity is less than perfect a proportion of </w:t>
      </w:r>
      <w:r w:rsidRPr="00064789">
        <w:t xml:space="preserve">patients without ABN would </w:t>
      </w:r>
      <w:r w:rsidR="008D30D8" w:rsidRPr="00064789">
        <w:t xml:space="preserve">also receive </w:t>
      </w:r>
      <w:r w:rsidR="00A80926">
        <w:t>treatment</w:t>
      </w:r>
      <w:r w:rsidRPr="00064789">
        <w:t xml:space="preserve">. </w:t>
      </w:r>
    </w:p>
    <w:p w:rsidR="00DE62D7" w:rsidRPr="00064789" w:rsidRDefault="00560933" w:rsidP="008D3B31">
      <w:pPr>
        <w:spacing w:line="480" w:lineRule="auto"/>
      </w:pPr>
      <w:r w:rsidRPr="00064789">
        <w:t xml:space="preserve">In the short-term </w:t>
      </w:r>
      <w:r w:rsidR="00B31E31" w:rsidRPr="00064789">
        <w:t xml:space="preserve">diagnostic stage of the </w:t>
      </w:r>
      <w:r w:rsidRPr="00064789">
        <w:t xml:space="preserve">model the population are divided into </w:t>
      </w:r>
      <w:r w:rsidR="00A80926">
        <w:t>true positives (TP), true negatives (TN</w:t>
      </w:r>
      <w:r w:rsidR="007955A1" w:rsidRPr="00064789">
        <w:t>), false positive</w:t>
      </w:r>
      <w:r w:rsidR="00A80926">
        <w:t>s (FP) and false negatives (FN</w:t>
      </w:r>
      <w:r w:rsidR="007955A1" w:rsidRPr="00064789">
        <w:t>)</w:t>
      </w:r>
      <w:r w:rsidR="00B31E31" w:rsidRPr="00064789">
        <w:t xml:space="preserve">. </w:t>
      </w:r>
      <w:r w:rsidRPr="00064789">
        <w:t xml:space="preserve">The </w:t>
      </w:r>
      <w:r w:rsidR="00DE62D7" w:rsidRPr="00064789">
        <w:t xml:space="preserve">relative size of </w:t>
      </w:r>
      <w:r w:rsidRPr="00064789">
        <w:t xml:space="preserve">each of the four groups is a function of </w:t>
      </w:r>
      <w:r w:rsidR="00DE62D7" w:rsidRPr="00064789">
        <w:t>the proportion of the population with ABN, referred to here as the t</w:t>
      </w:r>
      <w:r w:rsidR="00253316" w:rsidRPr="00064789">
        <w:t>rue proportion high risk (TPHR),</w:t>
      </w:r>
      <w:r w:rsidR="00DE62D7" w:rsidRPr="00064789">
        <w:t xml:space="preserve"> and </w:t>
      </w:r>
      <w:r w:rsidR="00253316" w:rsidRPr="00064789">
        <w:t xml:space="preserve">the </w:t>
      </w:r>
      <w:r w:rsidR="00DE62D7" w:rsidRPr="00064789">
        <w:t>sensitivity and specificity of the diagnostic technology</w:t>
      </w:r>
      <w:r w:rsidR="00253316" w:rsidRPr="00064789">
        <w:t xml:space="preserve">. These are </w:t>
      </w:r>
      <w:r w:rsidR="00DE62D7" w:rsidRPr="00064789">
        <w:t>defined as follows:</w:t>
      </w:r>
    </w:p>
    <w:p w:rsidR="00DE62D7" w:rsidRPr="00064789" w:rsidRDefault="00DE62D7" w:rsidP="00DE62D7">
      <w:pPr>
        <w:pStyle w:val="ListParagraph"/>
        <w:numPr>
          <w:ilvl w:val="0"/>
          <w:numId w:val="16"/>
        </w:numPr>
      </w:pPr>
      <w:r w:rsidRPr="00064789">
        <w:t xml:space="preserve">Proportion of </w:t>
      </w:r>
      <w:r w:rsidR="007A14AB">
        <w:t xml:space="preserve">TPs </w:t>
      </w:r>
      <w:r w:rsidRPr="00064789">
        <w:t>= TPHR x sensitivity;</w:t>
      </w:r>
    </w:p>
    <w:p w:rsidR="00DE62D7" w:rsidRPr="00064789" w:rsidRDefault="00DE62D7" w:rsidP="00DE62D7">
      <w:pPr>
        <w:pStyle w:val="ListParagraph"/>
        <w:numPr>
          <w:ilvl w:val="0"/>
          <w:numId w:val="16"/>
        </w:numPr>
      </w:pPr>
      <w:r w:rsidRPr="00064789">
        <w:t xml:space="preserve">Proportion of </w:t>
      </w:r>
      <w:r w:rsidR="007A14AB">
        <w:t xml:space="preserve">TNs </w:t>
      </w:r>
      <w:r w:rsidRPr="00064789">
        <w:t>= (1 –TPHR) x specificity;</w:t>
      </w:r>
    </w:p>
    <w:p w:rsidR="00DE62D7" w:rsidRPr="00064789" w:rsidRDefault="00DE62D7" w:rsidP="00DE62D7">
      <w:pPr>
        <w:pStyle w:val="ListParagraph"/>
        <w:numPr>
          <w:ilvl w:val="0"/>
          <w:numId w:val="16"/>
        </w:numPr>
      </w:pPr>
      <w:r w:rsidRPr="00064789">
        <w:t>Proportion o</w:t>
      </w:r>
      <w:r w:rsidR="001138A7" w:rsidRPr="00064789">
        <w:t xml:space="preserve">f </w:t>
      </w:r>
      <w:r w:rsidR="007A14AB">
        <w:t xml:space="preserve">FPs </w:t>
      </w:r>
      <w:r w:rsidR="001138A7" w:rsidRPr="00064789">
        <w:t>= (1 – TPHR) x</w:t>
      </w:r>
      <w:r w:rsidRPr="00064789">
        <w:t xml:space="preserve"> (1 – specificity);</w:t>
      </w:r>
    </w:p>
    <w:p w:rsidR="00DE62D7" w:rsidRPr="00064789" w:rsidRDefault="00DE62D7" w:rsidP="00DE62D7">
      <w:pPr>
        <w:pStyle w:val="ListParagraph"/>
        <w:numPr>
          <w:ilvl w:val="0"/>
          <w:numId w:val="16"/>
        </w:numPr>
      </w:pPr>
      <w:r w:rsidRPr="00064789">
        <w:t xml:space="preserve">Proportion of </w:t>
      </w:r>
      <w:r w:rsidR="007A14AB">
        <w:t xml:space="preserve">FNs </w:t>
      </w:r>
      <w:r w:rsidRPr="00064789">
        <w:t>= TPHR x (1 – sensitivity).</w:t>
      </w:r>
    </w:p>
    <w:p w:rsidR="00850455" w:rsidRPr="00064789" w:rsidRDefault="00DE62D7" w:rsidP="008D3B31">
      <w:pPr>
        <w:spacing w:line="480" w:lineRule="auto"/>
      </w:pPr>
      <w:r w:rsidRPr="00064789">
        <w:t xml:space="preserve">Within the context of the model, </w:t>
      </w:r>
      <w:r w:rsidR="00A80926">
        <w:t xml:space="preserve">the </w:t>
      </w:r>
      <w:r w:rsidR="007A14AB">
        <w:t xml:space="preserve">No TTE strategy </w:t>
      </w:r>
      <w:r w:rsidR="00A80926">
        <w:t xml:space="preserve">has </w:t>
      </w:r>
      <w:r w:rsidR="007A14AB">
        <w:t xml:space="preserve">a </w:t>
      </w:r>
      <w:r w:rsidRPr="00064789">
        <w:t xml:space="preserve">sensitivity of zero and a specificity of one, </w:t>
      </w:r>
      <w:r w:rsidR="007A14AB">
        <w:t xml:space="preserve">meaning for this strategy the </w:t>
      </w:r>
      <w:r w:rsidRPr="00064789">
        <w:t xml:space="preserve">population mix </w:t>
      </w:r>
      <w:r w:rsidR="00133DC2" w:rsidRPr="00064789">
        <w:t>comprises TPHR false negatives and (1 - TPHR)</w:t>
      </w:r>
      <w:r w:rsidRPr="00064789">
        <w:t xml:space="preserve"> true negative</w:t>
      </w:r>
      <w:r w:rsidR="00133DC2" w:rsidRPr="00064789">
        <w:t>s</w:t>
      </w:r>
      <w:r w:rsidRPr="00064789">
        <w:t xml:space="preserve">. </w:t>
      </w:r>
    </w:p>
    <w:p w:rsidR="00515AEC" w:rsidRPr="00064789" w:rsidRDefault="00515AEC" w:rsidP="003378D6">
      <w:pPr>
        <w:pStyle w:val="Heading2"/>
        <w:numPr>
          <w:ilvl w:val="0"/>
          <w:numId w:val="0"/>
        </w:numPr>
      </w:pPr>
      <w:r w:rsidRPr="00064789">
        <w:rPr>
          <w:lang w:val="en-GB"/>
        </w:rPr>
        <w:t>Mode</w:t>
      </w:r>
      <w:r w:rsidR="004E06E9" w:rsidRPr="00064789">
        <w:rPr>
          <w:lang w:val="en-GB"/>
        </w:rPr>
        <w:t>l</w:t>
      </w:r>
      <w:r w:rsidRPr="00064789">
        <w:rPr>
          <w:lang w:val="en-GB"/>
        </w:rPr>
        <w:t>ling</w:t>
      </w:r>
      <w:r w:rsidRPr="00064789">
        <w:t xml:space="preserve"> long-term </w:t>
      </w:r>
      <w:r w:rsidR="00BC79E5" w:rsidRPr="00064789">
        <w:t>events</w:t>
      </w:r>
    </w:p>
    <w:p w:rsidR="00E97667" w:rsidRPr="00064789" w:rsidRDefault="00515AEC" w:rsidP="008D3B31">
      <w:pPr>
        <w:spacing w:line="480" w:lineRule="auto"/>
      </w:pPr>
      <w:r w:rsidRPr="00064789">
        <w:t xml:space="preserve">Prescribing an OAC </w:t>
      </w:r>
      <w:r w:rsidR="00354D59" w:rsidRPr="00064789">
        <w:t>reduces the risk of stroke, but increases risk of a potentially fatal major bleeding event</w:t>
      </w:r>
      <w:r w:rsidRPr="00064789">
        <w:t xml:space="preserve">. </w:t>
      </w:r>
      <w:r w:rsidR="00E97667" w:rsidRPr="00064789">
        <w:t>Three mutually exclusive outcomes co</w:t>
      </w:r>
      <w:r w:rsidR="00133DC2" w:rsidRPr="00064789">
        <w:t>uld result from a stroke: death; a dependent state;</w:t>
      </w:r>
      <w:r w:rsidR="00E97667" w:rsidRPr="00064789">
        <w:t xml:space="preserve"> and an independent state. Each outcome ha</w:t>
      </w:r>
      <w:r w:rsidR="00A9463E">
        <w:t>ve</w:t>
      </w:r>
      <w:r w:rsidR="00E97667" w:rsidRPr="00064789">
        <w:t xml:space="preserve"> different </w:t>
      </w:r>
      <w:r w:rsidR="00A9463E" w:rsidRPr="00064789">
        <w:t xml:space="preserve">probabilities </w:t>
      </w:r>
      <w:r w:rsidR="00A9463E">
        <w:t>of occurrence,</w:t>
      </w:r>
      <w:r w:rsidR="00A9463E" w:rsidRPr="00064789">
        <w:t xml:space="preserve"> </w:t>
      </w:r>
      <w:r w:rsidR="00253316" w:rsidRPr="00064789">
        <w:t>health related quality of life (</w:t>
      </w:r>
      <w:proofErr w:type="spellStart"/>
      <w:r w:rsidR="00253316" w:rsidRPr="00064789">
        <w:t>HRQoL</w:t>
      </w:r>
      <w:proofErr w:type="spellEnd"/>
      <w:r w:rsidR="00253316" w:rsidRPr="00064789">
        <w:t>)</w:t>
      </w:r>
      <w:r w:rsidR="00E97667" w:rsidRPr="00064789">
        <w:t>, and costs. Similarly, three mutually exclusive outcomes could result from a major bleeding event: death</w:t>
      </w:r>
      <w:r w:rsidR="007D1C2B" w:rsidRPr="00064789">
        <w:t>;</w:t>
      </w:r>
      <w:r w:rsidR="00E97667" w:rsidRPr="00064789">
        <w:t xml:space="preserve"> an i</w:t>
      </w:r>
      <w:r w:rsidR="007D1C2B" w:rsidRPr="00064789">
        <w:t>ntracranial (IC) bleeding event;</w:t>
      </w:r>
      <w:r w:rsidR="00E97667" w:rsidRPr="00064789">
        <w:t xml:space="preserve"> or a non-intracranial (NIC) bleeding event (assumed to be a gastrointestinal bleed). The severity of an IC bleed can vary substantially, and this variation of outcomes was itself simulated using data based on outcomes categorized by </w:t>
      </w:r>
      <w:r w:rsidR="00FB6128" w:rsidRPr="00064789">
        <w:t>Glasgow Outcome Scale (</w:t>
      </w:r>
      <w:r w:rsidR="00E97667" w:rsidRPr="00064789">
        <w:t>GOS</w:t>
      </w:r>
      <w:r w:rsidR="00FB6128" w:rsidRPr="00064789">
        <w:t>)</w:t>
      </w:r>
      <w:r w:rsidR="00E97667" w:rsidRPr="00064789">
        <w:t xml:space="preserve"> score following traumatic brain injury. The full methodology used to produce these estimates is presented elsewhere</w:t>
      </w:r>
      <w:r w:rsidR="00850455" w:rsidRPr="00064789">
        <w:t>.</w:t>
      </w:r>
      <w:r w:rsidR="00E97667" w:rsidRPr="00064789">
        <w:t xml:space="preserve"> </w:t>
      </w:r>
      <w:r w:rsidR="002F05E5" w:rsidRPr="00064789">
        <w:fldChar w:fldCharType="begin" w:fldLock="1"/>
      </w:r>
      <w:r w:rsidR="00B54241">
        <w:instrText>ADDIN CSL_CITATION { "citationItems" : [ { "id" : "ITEM-1", "itemData" : { "author" : [ { "dropping-particle" : "", "family" : "Simpson", "given" : "E L", "non-dropping-particle" : "", "parse-names" : false, "suffix" : "" }, { "dropping-particle" : "", "family" : "Stevenson", "given" : "M D", "non-dropping-particle" : "", "parse-names" : false, "suffix" : "" }, { "dropping-particle" : "", "family" : "Scope", "given" : "A", "non-dropping-particle" : "", "parse-names" : false, "suffix" : "" }, { "dropping-particle" : "", "family" : "Poku", "given" : "E", "non-dropping-particle" : "", "parse-names" : false, "suffix" : "" }, { "dropping-particle" : "", "family" : "Minton", "given" : "J", "non-dropping-particle" : "", "parse-names" : false, "suffix" : "" }, { "dropping-particle" : "", "family" : "Evans", "given" : "P", "non-dropping-particle" : "", "parse-names" : false, "suffix" : "" } ], "id" : "ITEM-1", "issued" : { "date-parts" : [ [ "2012" ] ] }, "page" : "303", "title" : "Echocardiography in newly diagnosed atrial fibrillation patients: a systematic review and economic evaluation", "type" : "report" }, "uris" : [ "http://www.mendeley.com/documents/?uuid=779c182a-76c2-4bca-b460-1b6ba4032a4a" ] } ], "mendeley" : { "previouslyFormattedCitation" : "[13]" }, "properties" : { "noteIndex" : 0 }, "schema" : "https://github.com/citation-style-language/schema/raw/master/csl-citation.json" }</w:instrText>
      </w:r>
      <w:r w:rsidR="002F05E5" w:rsidRPr="00064789">
        <w:fldChar w:fldCharType="separate"/>
      </w:r>
      <w:r w:rsidR="00B54241" w:rsidRPr="00B54241">
        <w:rPr>
          <w:noProof/>
        </w:rPr>
        <w:t>[13]</w:t>
      </w:r>
      <w:r w:rsidR="002F05E5" w:rsidRPr="00064789">
        <w:fldChar w:fldCharType="end"/>
      </w:r>
      <w:r w:rsidR="00E97667" w:rsidRPr="00064789">
        <w:t xml:space="preserve"> </w:t>
      </w:r>
    </w:p>
    <w:p w:rsidR="00F91783" w:rsidRPr="00064789" w:rsidRDefault="00A8404E" w:rsidP="008D3B31">
      <w:pPr>
        <w:spacing w:line="480" w:lineRule="auto"/>
      </w:pPr>
      <w:r w:rsidRPr="00064789">
        <w:lastRenderedPageBreak/>
        <w:t xml:space="preserve">The </w:t>
      </w:r>
      <w:r w:rsidR="00515AEC" w:rsidRPr="00064789">
        <w:t>model</w:t>
      </w:r>
      <w:r w:rsidRPr="00064789">
        <w:t xml:space="preserve"> is </w:t>
      </w:r>
      <w:r w:rsidR="002D44B0" w:rsidRPr="00064789">
        <w:t xml:space="preserve">dynamic and </w:t>
      </w:r>
      <w:r w:rsidRPr="00064789">
        <w:t>updated when events occur that affect an individual’s</w:t>
      </w:r>
      <w:r w:rsidR="00F91783" w:rsidRPr="00064789">
        <w:t xml:space="preserve"> stroke or </w:t>
      </w:r>
      <w:r w:rsidR="00A9463E">
        <w:t xml:space="preserve">major </w:t>
      </w:r>
      <w:r w:rsidR="00F91783" w:rsidRPr="00064789">
        <w:t xml:space="preserve">bleed risk. </w:t>
      </w:r>
      <w:r w:rsidR="00BC79E5" w:rsidRPr="00064789">
        <w:t>E</w:t>
      </w:r>
      <w:r w:rsidR="00F91783" w:rsidRPr="00064789">
        <w:t>xample</w:t>
      </w:r>
      <w:r w:rsidR="00BC79E5" w:rsidRPr="00064789">
        <w:t>s of such events are: experiencing a</w:t>
      </w:r>
      <w:r w:rsidR="00F91783" w:rsidRPr="00064789">
        <w:t xml:space="preserve"> stroke</w:t>
      </w:r>
      <w:r w:rsidR="007D1C2B" w:rsidRPr="00064789">
        <w:t>;</w:t>
      </w:r>
      <w:r w:rsidR="00F91783" w:rsidRPr="00064789">
        <w:t xml:space="preserve"> </w:t>
      </w:r>
      <w:r w:rsidR="00BC79E5" w:rsidRPr="00064789">
        <w:t>withdrawal of an OAC following a</w:t>
      </w:r>
      <w:r w:rsidR="00F91783" w:rsidRPr="00064789">
        <w:t xml:space="preserve"> major bleed</w:t>
      </w:r>
      <w:r w:rsidR="004E06E9" w:rsidRPr="00064789">
        <w:t>; and reaching 75 years of age</w:t>
      </w:r>
      <w:r w:rsidR="0089277F" w:rsidRPr="00064789">
        <w:t>, which increases the CHADS</w:t>
      </w:r>
      <w:r w:rsidR="0089277F" w:rsidRPr="00064789">
        <w:rPr>
          <w:vertAlign w:val="subscript"/>
        </w:rPr>
        <w:t>2</w:t>
      </w:r>
      <w:r w:rsidR="0089277F" w:rsidRPr="00064789">
        <w:t xml:space="preserve"> score by one </w:t>
      </w:r>
      <w:proofErr w:type="gramStart"/>
      <w:r w:rsidR="0089277F" w:rsidRPr="00064789">
        <w:t>point</w:t>
      </w:r>
      <w:proofErr w:type="gramEnd"/>
      <w:r w:rsidR="007D1C2B" w:rsidRPr="00064789">
        <w:t>.</w:t>
      </w:r>
      <w:r w:rsidR="00F91783" w:rsidRPr="00064789">
        <w:t xml:space="preserve"> </w:t>
      </w:r>
      <w:r w:rsidR="00BC79E5" w:rsidRPr="00064789">
        <w:t xml:space="preserve">It was assumed that </w:t>
      </w:r>
      <w:r w:rsidR="001138A7" w:rsidRPr="00064789">
        <w:t>i</w:t>
      </w:r>
      <w:r w:rsidR="00F91783" w:rsidRPr="00064789">
        <w:t xml:space="preserve">f a patient experiences a stroke and </w:t>
      </w:r>
      <w:r w:rsidR="00266451" w:rsidRPr="00064789">
        <w:t xml:space="preserve">is </w:t>
      </w:r>
      <w:r w:rsidR="00F91783" w:rsidRPr="00064789">
        <w:t>not already taking an OAC, they are prescribed OACs</w:t>
      </w:r>
      <w:r w:rsidR="00C23AC0" w:rsidRPr="00064789">
        <w:t>, provided they have not experienced a previous bleeding episode</w:t>
      </w:r>
      <w:r w:rsidR="00604F56" w:rsidRPr="00064789">
        <w:t>.</w:t>
      </w:r>
      <w:r w:rsidR="00F91783" w:rsidRPr="00064789">
        <w:t xml:space="preserve"> If a patient suffers a severe intracranial </w:t>
      </w:r>
      <w:proofErr w:type="spellStart"/>
      <w:r w:rsidR="00F91783" w:rsidRPr="00064789">
        <w:t>haemorrhage</w:t>
      </w:r>
      <w:proofErr w:type="spellEnd"/>
      <w:r w:rsidR="00F91783" w:rsidRPr="00064789">
        <w:t xml:space="preserve"> (</w:t>
      </w:r>
      <w:r w:rsidR="00A80926">
        <w:t>GOS</w:t>
      </w:r>
      <w:r w:rsidR="00604F56" w:rsidRPr="00064789">
        <w:t xml:space="preserve"> category 2) as</w:t>
      </w:r>
      <w:r w:rsidR="00F91783" w:rsidRPr="00064789">
        <w:t xml:space="preserve"> a result of taking OACs, their life expectancy was reduced to a maximum of 3.</w:t>
      </w:r>
      <w:r w:rsidR="009C7509" w:rsidRPr="00064789">
        <w:t>6</w:t>
      </w:r>
      <w:r w:rsidR="00F91783" w:rsidRPr="00064789">
        <w:t xml:space="preserve"> years</w:t>
      </w:r>
      <w:r w:rsidR="00C23AC0" w:rsidRPr="00064789">
        <w:t xml:space="preserve"> with no QALY gain</w:t>
      </w:r>
      <w:r w:rsidR="00F91783" w:rsidRPr="00064789">
        <w:t xml:space="preserve">. </w:t>
      </w:r>
      <w:r w:rsidR="002F05E5" w:rsidRPr="00064789">
        <w:fldChar w:fldCharType="begin" w:fldLock="1"/>
      </w:r>
      <w:r w:rsidR="00B54241">
        <w:instrText>ADDIN CSL_CITATION { "citationItems" : [ { "id" : "ITEM-1", "itemData" : { "author" : [ { "dropping-particle" : "", "family" : "PVS", "given" : "The Multi-Society Task Force on", "non-dropping-particle" : "", "parse-names" : false, "suffix" : "" } ], "container-title" : "The New England Journal of Medicine", "id" : "ITEM-1", "issue" : "22", "issued" : { "date-parts" : [ [ "1994" ] ] }, "title" : "Medical aspects of the persistent vegetative state: second of two parts", "type" : "article-journal", "volume" : "330" }, "uris" : [ "http://www.mendeley.com/documents/?uuid=87ec4fe2-f15d-459a-900e-5d76c720d16a" ] } ], "mendeley" : { "previouslyFormattedCitation" : "[14]" }, "properties" : { "noteIndex" : 0 }, "schema" : "https://github.com/citation-style-language/schema/raw/master/csl-citation.json" }</w:instrText>
      </w:r>
      <w:r w:rsidR="002F05E5" w:rsidRPr="00064789">
        <w:fldChar w:fldCharType="separate"/>
      </w:r>
      <w:r w:rsidR="00B54241" w:rsidRPr="00B54241">
        <w:rPr>
          <w:noProof/>
        </w:rPr>
        <w:t>[14]</w:t>
      </w:r>
      <w:r w:rsidR="002F05E5" w:rsidRPr="00064789">
        <w:fldChar w:fldCharType="end"/>
      </w:r>
      <w:r w:rsidR="009C7509" w:rsidRPr="00064789">
        <w:t xml:space="preserve"> </w:t>
      </w:r>
      <w:r w:rsidR="00604F56" w:rsidRPr="00064789">
        <w:t>Additionally, t</w:t>
      </w:r>
      <w:r w:rsidR="00F91783" w:rsidRPr="00064789">
        <w:t xml:space="preserve">he risk of a major bleeding event when taking </w:t>
      </w:r>
      <w:proofErr w:type="spellStart"/>
      <w:r w:rsidR="00C23AC0" w:rsidRPr="00064789">
        <w:t>dabigatran</w:t>
      </w:r>
      <w:proofErr w:type="spellEnd"/>
      <w:r w:rsidR="00C23AC0" w:rsidRPr="00064789">
        <w:t xml:space="preserve"> </w:t>
      </w:r>
      <w:r w:rsidR="00F91783" w:rsidRPr="00064789">
        <w:t>(150mg twice daily) was also assumed to change a</w:t>
      </w:r>
      <w:r w:rsidR="00C42A71" w:rsidRPr="00064789">
        <w:t xml:space="preserve">t the age of 75, as indicated by recent evidence comparing </w:t>
      </w:r>
      <w:proofErr w:type="spellStart"/>
      <w:r w:rsidR="00C42A71" w:rsidRPr="00064789">
        <w:t>dabigatran</w:t>
      </w:r>
      <w:proofErr w:type="spellEnd"/>
      <w:r w:rsidR="00C42A71" w:rsidRPr="00064789">
        <w:t xml:space="preserve"> with warfarin. </w:t>
      </w:r>
      <w:r w:rsidR="002F05E5" w:rsidRPr="00064789">
        <w:fldChar w:fldCharType="begin" w:fldLock="1"/>
      </w:r>
      <w:r w:rsidR="00B54241">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"dropping-particle" : "", "family" : "Eikelboom", "given" : "J W", "non-dropping-particle" : "", "parse-names" : false, "suffix" : "" }, { "dropping-particle" : "", "family" : "Wallentin", "given" : "L", "non-dropping-particle" : "", "parse-names" : false, "suffix" : "" }, { "dropping-particle" : "", "family" : "Connolly", "given" : "S J", "non-dropping-particle" : "", "parse-names" : false, "suffix" : "" }, { "dropping-particle" : "", "family" : "Ezekowitz", "given" : "M", "non-dropping-particle" : "", "parse-names" : false, "suffix" : "" }, { "dropping-particle" : "", "family" : "Healey", "given" : "J S", "non-dropping-particle" : "", "parse-names" : false, "suffix" : "" }, { "dropping-particle" : "", "family" : "Oldgren", "given" : "J", "non-dropping-particle" : "", "parse-names" : false, "suffix" : "" }, { "dropping-particle" : "", "family" : "Yang", "given" : "S", "non-dropping-particle" : "", "parse-names" : false, "suffix" : "" }, { "dropping-particle" : "", "family" : "Alings", "given" : "M", "non-dropping-particle" : "", "parse-names" : false, "suffix" : "" }, { "dropping-particle" : "", "family" : "Kaatz", "given" : "S", "non-dropping-particle" : "", "parse-names" : false, "suffix" : "" }, { "dropping-particle" : "", "family" : "Hohnloser", "given" : "S H", "non-dropping-particle" : "", "parse-names" : false, "suffix" : "" }, { "dropping-particle" : "", "family" : "Diener", "given" : "H C", "non-dropping-particle" : "", "parse-names" : false, "suffix" : "" }, { "dropping-particle" : "", "family" : "Franzosi", "given" : "M G", "non-dropping-particle" : "", "parse-names" : false, "suffix" : "" }, { "dropping-particle" : "", "family" : "Huber", "given" : "K", "non-dropping-particle" : "", "parse-names" : false, "suffix" : "" }, { "dropping-particle" : "", "family" : "Reilly", "given" : "P", "non-dropping-particle" : "", "parse-names" : false, "suffix" : "" }, { "dropping-particle" : "", "family" : "Varrone", "given" : "J", "non-dropping-particle" : "", "parse-names" : false, "suffix" : "" }, { "dropping-particle" : "", "family" : "Yusuf", "given" : "S", "non-dropping-particle" : "", "parse-names" : false, "suffix" : ""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"[15]" }, "properties" : { "noteIndex" : 0 }, "schema" : "https://github.com/citation-style-language/schema/raw/master/csl-citation.json" }</w:instrText>
      </w:r>
      <w:r w:rsidR="002F05E5" w:rsidRPr="00064789">
        <w:fldChar w:fldCharType="separate"/>
      </w:r>
      <w:r w:rsidR="00B54241" w:rsidRPr="00B54241">
        <w:rPr>
          <w:noProof/>
        </w:rPr>
        <w:t>[15]</w:t>
      </w:r>
      <w:r w:rsidR="002F05E5" w:rsidRPr="00064789">
        <w:fldChar w:fldCharType="end"/>
      </w:r>
    </w:p>
    <w:p w:rsidR="00DE62D7" w:rsidRPr="00064789" w:rsidRDefault="00DE62D7" w:rsidP="003378D6">
      <w:pPr>
        <w:pStyle w:val="Heading2"/>
        <w:numPr>
          <w:ilvl w:val="0"/>
          <w:numId w:val="0"/>
        </w:numPr>
      </w:pPr>
      <w:r w:rsidRPr="00064789">
        <w:t>Data sources used in model</w:t>
      </w:r>
    </w:p>
    <w:p w:rsidR="00DE62D7" w:rsidRDefault="00DE62D7" w:rsidP="008D3B31">
      <w:pPr>
        <w:spacing w:line="480" w:lineRule="auto"/>
      </w:pPr>
      <w:r w:rsidRPr="00064789">
        <w:t xml:space="preserve">A full list of the information used to populate the parameters in the model, including event risks, costs and utilities, is presented in </w:t>
      </w:r>
      <w:r w:rsidR="00EF4E89">
        <w:fldChar w:fldCharType="begin"/>
      </w:r>
      <w:r w:rsidR="00EF4E89">
        <w:instrText xml:space="preserve"> REF _Ref349918428 \h </w:instrText>
      </w:r>
      <w:r w:rsidR="00EF4E89">
        <w:fldChar w:fldCharType="separate"/>
      </w:r>
      <w:r w:rsidR="00B66501">
        <w:t xml:space="preserve">Table </w:t>
      </w:r>
      <w:r w:rsidR="00B66501">
        <w:rPr>
          <w:noProof/>
        </w:rPr>
        <w:t>5</w:t>
      </w:r>
      <w:r w:rsidR="00EF4E89">
        <w:fldChar w:fldCharType="end"/>
      </w:r>
      <w:r w:rsidR="0053415A">
        <w:t xml:space="preserve"> in the appendix</w:t>
      </w:r>
      <w:r w:rsidRPr="00064789">
        <w:t>.</w:t>
      </w:r>
    </w:p>
    <w:p w:rsidR="0091160C" w:rsidRPr="00064789" w:rsidRDefault="0091160C" w:rsidP="003378D6">
      <w:pPr>
        <w:pStyle w:val="Heading2"/>
        <w:numPr>
          <w:ilvl w:val="0"/>
          <w:numId w:val="0"/>
        </w:numPr>
      </w:pPr>
      <w:r w:rsidRPr="00064789">
        <w:t>Estimating cost effectiv</w:t>
      </w:r>
      <w:r w:rsidR="007955A1" w:rsidRPr="00064789">
        <w:t>e</w:t>
      </w:r>
      <w:r w:rsidRPr="00064789">
        <w:t>ness</w:t>
      </w:r>
    </w:p>
    <w:p w:rsidR="00454436" w:rsidRPr="00064789" w:rsidRDefault="0053415A" w:rsidP="008D3B31">
      <w:pPr>
        <w:spacing w:line="480" w:lineRule="auto"/>
      </w:pPr>
      <w:bookmarkStart w:id="2" w:name="_Toc316637315"/>
      <w:r>
        <w:t>The adoption decision, defined as</w:t>
      </w:r>
      <w:r w:rsidR="00777CF9" w:rsidRPr="00064789">
        <w:t xml:space="preserve"> the strategy that is deemed most cost effective, is calculated from the mean values of the costs and the QALYs of each strategy. S</w:t>
      </w:r>
      <w:r w:rsidR="00741A7A" w:rsidRPr="00064789">
        <w:t xml:space="preserve">catterplots of estimates produced by the </w:t>
      </w:r>
      <w:r>
        <w:t>probabilistic sensitivity analysis (</w:t>
      </w:r>
      <w:r w:rsidR="00741A7A" w:rsidRPr="00064789">
        <w:t>PSA</w:t>
      </w:r>
      <w:r>
        <w:t>)</w:t>
      </w:r>
      <w:r w:rsidR="00741A7A" w:rsidRPr="00064789">
        <w:t xml:space="preserve"> provide an </w:t>
      </w:r>
      <w:r w:rsidR="00777CF9" w:rsidRPr="00064789">
        <w:t>indication of uncertainty surrounding the adoption decision</w:t>
      </w:r>
      <w:r w:rsidR="00741A7A" w:rsidRPr="00064789">
        <w:t xml:space="preserve">.  </w:t>
      </w:r>
      <w:r w:rsidR="00777CF9" w:rsidRPr="00064789">
        <w:t xml:space="preserve">A point in the north-west quadrant indicates that the </w:t>
      </w:r>
      <w:r w:rsidR="00741A7A" w:rsidRPr="00064789">
        <w:t xml:space="preserve">TTE </w:t>
      </w:r>
      <w:r w:rsidR="00777CF9" w:rsidRPr="00064789">
        <w:t xml:space="preserve">Strategy </w:t>
      </w:r>
      <w:r w:rsidR="00741A7A" w:rsidRPr="00064789">
        <w:t xml:space="preserve">is both more costly and less effective than the </w:t>
      </w:r>
      <w:r w:rsidR="00777CF9" w:rsidRPr="00064789">
        <w:t>N</w:t>
      </w:r>
      <w:r w:rsidR="00741A7A" w:rsidRPr="00064789">
        <w:t xml:space="preserve">o TTE </w:t>
      </w:r>
      <w:r w:rsidR="00777CF9" w:rsidRPr="00064789">
        <w:t>Strategy</w:t>
      </w:r>
      <w:r w:rsidR="00741A7A" w:rsidRPr="00064789">
        <w:t xml:space="preserve">, and </w:t>
      </w:r>
      <w:r w:rsidR="00E92AF8" w:rsidRPr="00064789">
        <w:t xml:space="preserve">so </w:t>
      </w:r>
      <w:r w:rsidR="00741A7A" w:rsidRPr="00064789">
        <w:t xml:space="preserve">ruled out by dominance. </w:t>
      </w:r>
      <w:r w:rsidR="00777CF9" w:rsidRPr="00064789">
        <w:t xml:space="preserve">A point </w:t>
      </w:r>
      <w:r w:rsidR="00741A7A" w:rsidRPr="00064789">
        <w:t>in the no</w:t>
      </w:r>
      <w:r w:rsidR="00777CF9" w:rsidRPr="00064789">
        <w:t>rth-</w:t>
      </w:r>
      <w:r w:rsidR="00741A7A" w:rsidRPr="00064789">
        <w:t xml:space="preserve">east quadrant indicates </w:t>
      </w:r>
      <w:r w:rsidR="00777CF9" w:rsidRPr="00064789">
        <w:t>that the TTE Strategy is both more expensive and more clinically effective than the No TTE Strategy</w:t>
      </w:r>
      <w:r w:rsidR="00064789" w:rsidRPr="00064789">
        <w:t xml:space="preserve">, and consideration is given to whether the ICER, the ratio of additional cost to additional benefit, is below a maximum acceptable incremental cost effectiveness ratio (MAICER). </w:t>
      </w:r>
      <w:r w:rsidR="00777CF9" w:rsidRPr="00064789">
        <w:t xml:space="preserve">Scatterplots where </w:t>
      </w:r>
      <w:r w:rsidR="00E92AF8" w:rsidRPr="00064789">
        <w:t xml:space="preserve">the scatter covers more than one quadrant indicate some level of decision uncertainty, as different quadrants suggest different decisions. </w:t>
      </w:r>
      <w:r w:rsidR="00E92AF8" w:rsidRPr="00064789">
        <w:fldChar w:fldCharType="begin" w:fldLock="1"/>
      </w:r>
      <w:r w:rsidR="00B54241">
        <w:instrText>ADDIN CSL_CITATION { "citationItems" : [ { "id" : "ITEM-1", "itemData" : { "author" : [ { "dropping-particle" : "", "family" : "Drummond", "given" : "M F", "non-dropping-particle" : "", "parse-names" : false, "suffix" : "" }, { "dropping-particle" : "", "family" : "Schulpher", "given" : "M J", "non-dropping-particle" : "", "parse-names" : false, "suffix" : "" }, { "dropping-particle" : "", "family" : "Torrance", "given" : "G W", "non-dropping-particle" : "", "parse-names" : false, "suffix" : "" }, { "dropping-particle" : "", "family" : "O'Brien", "given" : "B J", "non-dropping-particle" : "", "parse-names" : false, "suffix" : "" }, { "dropping-particle" : "", "family" : "Stoddart", "given" : "G L", "non-dropping-particle" : "", "parse-names" : false, "suffix" : "" } ], "edition" : "Third Edit", "id" : "ITEM-1", "issued" : { "date-parts" : [ [ "2005" ] ] }, "publisher" : "OUP", "publisher-place" : "Oxford", "title" : "Methods for the Economic Evaluation of Health Care Programmes", "type" : "book" }, "uris" : [ "http://www.mendeley.com/documents/?uuid=aac90d01-4339-4a9e-bc13-456899d406d3" ] } ], "mendeley" : { "previouslyFormattedCitation" : "[16]" }, "properties" : { "noteIndex" : 0 }, "schema" : "https://github.com/citation-style-language/schema/raw/master/csl-citation.json" }</w:instrText>
      </w:r>
      <w:r w:rsidR="00E92AF8" w:rsidRPr="00064789">
        <w:fldChar w:fldCharType="separate"/>
      </w:r>
      <w:r w:rsidR="00B54241" w:rsidRPr="00B54241">
        <w:rPr>
          <w:noProof/>
        </w:rPr>
        <w:t>[16]</w:t>
      </w:r>
      <w:r w:rsidR="00E92AF8" w:rsidRPr="00064789">
        <w:fldChar w:fldCharType="end"/>
      </w:r>
    </w:p>
    <w:p w:rsidR="00270FD8" w:rsidRPr="00064789" w:rsidRDefault="00AB2D8E" w:rsidP="003378D6">
      <w:pPr>
        <w:pStyle w:val="Heading2"/>
        <w:numPr>
          <w:ilvl w:val="0"/>
          <w:numId w:val="0"/>
        </w:numPr>
      </w:pPr>
      <w:r w:rsidRPr="00064789">
        <w:t>Deterministic</w:t>
      </w:r>
      <w:r w:rsidR="00270FD8" w:rsidRPr="00064789">
        <w:t xml:space="preserve"> sensitivity analyses</w:t>
      </w:r>
    </w:p>
    <w:p w:rsidR="00454436" w:rsidRPr="00064789" w:rsidRDefault="00DF7E46" w:rsidP="008D3B31">
      <w:pPr>
        <w:spacing w:line="480" w:lineRule="auto"/>
      </w:pPr>
      <w:r w:rsidRPr="00064789">
        <w:lastRenderedPageBreak/>
        <w:t>S</w:t>
      </w:r>
      <w:r w:rsidR="00454436" w:rsidRPr="00064789">
        <w:t xml:space="preserve">ensitivity analyses were </w:t>
      </w:r>
      <w:r w:rsidRPr="00064789">
        <w:t xml:space="preserve">also </w:t>
      </w:r>
      <w:r w:rsidR="00454436" w:rsidRPr="00064789">
        <w:t>undertaken on the joint uncertainty in the sensitivity and specificity of TTE in detecting ABN.</w:t>
      </w:r>
      <w:r w:rsidR="001138A7" w:rsidRPr="00064789">
        <w:t xml:space="preserve"> The results for the joint uncertainty for</w:t>
      </w:r>
      <w:r w:rsidR="00345E19" w:rsidRPr="00064789">
        <w:t xml:space="preserve"> three</w:t>
      </w:r>
      <w:r w:rsidR="001138A7" w:rsidRPr="00064789">
        <w:t xml:space="preserve"> scenarios are presented in the main article. The </w:t>
      </w:r>
      <w:proofErr w:type="gramStart"/>
      <w:r w:rsidR="001138A7" w:rsidRPr="00064789">
        <w:t>remainder of these analyses</w:t>
      </w:r>
      <w:r w:rsidR="001B457D" w:rsidRPr="00064789">
        <w:t xml:space="preserve"> are</w:t>
      </w:r>
      <w:proofErr w:type="gramEnd"/>
      <w:r w:rsidR="001B457D" w:rsidRPr="00064789">
        <w:t xml:space="preserve"> presented in the</w:t>
      </w:r>
      <w:r w:rsidR="001138A7" w:rsidRPr="00064789">
        <w:t xml:space="preserve"> </w:t>
      </w:r>
      <w:r w:rsidR="001B457D" w:rsidRPr="00064789">
        <w:t xml:space="preserve">online </w:t>
      </w:r>
      <w:r w:rsidR="001138A7" w:rsidRPr="00064789">
        <w:t>appendix.</w:t>
      </w:r>
    </w:p>
    <w:p w:rsidR="0005390C" w:rsidRPr="00064789" w:rsidRDefault="00DF4463" w:rsidP="003378D6">
      <w:pPr>
        <w:pStyle w:val="Heading1"/>
        <w:numPr>
          <w:ilvl w:val="0"/>
          <w:numId w:val="0"/>
        </w:numPr>
      </w:pPr>
      <w:bookmarkStart w:id="3" w:name="OLE_LINK1"/>
      <w:bookmarkStart w:id="4" w:name="OLE_LINK2"/>
      <w:bookmarkEnd w:id="2"/>
      <w:r w:rsidRPr="00064789">
        <w:t>Results</w:t>
      </w:r>
    </w:p>
    <w:p w:rsidR="00056C3D" w:rsidRPr="0031099C" w:rsidRDefault="00F309FB" w:rsidP="00F309FB">
      <w:pPr>
        <w:spacing w:line="480" w:lineRule="auto"/>
      </w:pPr>
      <w:r>
        <w:fldChar w:fldCharType="begin"/>
      </w:r>
      <w:r>
        <w:instrText xml:space="preserve"> REF _Ref349291846 \h </w:instrText>
      </w:r>
      <w:r>
        <w:fldChar w:fldCharType="separate"/>
      </w:r>
      <w:r w:rsidR="00B66501" w:rsidRPr="00F309FB">
        <w:t xml:space="preserve">Table </w:t>
      </w:r>
      <w:r w:rsidR="00B66501">
        <w:rPr>
          <w:noProof/>
        </w:rPr>
        <w:t>2</w:t>
      </w:r>
      <w:r>
        <w:fldChar w:fldCharType="end"/>
      </w:r>
      <w:r>
        <w:t xml:space="preserve"> </w:t>
      </w:r>
      <w:r w:rsidR="0083066E" w:rsidRPr="00064789">
        <w:t xml:space="preserve">presents some summary statistics of simulated patient outcomes </w:t>
      </w:r>
      <w:r w:rsidR="00FE3BA1" w:rsidRPr="00064789">
        <w:t>for the TTE Strategy and the No TTE Strategy, where the patient population is of 65 year old females with an initial CHADS</w:t>
      </w:r>
      <w:r w:rsidR="00FE3BA1" w:rsidRPr="00064789">
        <w:rPr>
          <w:vertAlign w:val="subscript"/>
        </w:rPr>
        <w:t>2</w:t>
      </w:r>
      <w:r w:rsidR="00FE3BA1" w:rsidRPr="00064789">
        <w:t xml:space="preserve"> score of 0, and the OAC is </w:t>
      </w:r>
      <w:r w:rsidR="00A80926">
        <w:t>assumed to be</w:t>
      </w:r>
      <w:r w:rsidR="00FE3BA1" w:rsidRPr="00064789">
        <w:t xml:space="preserve"> warfarin, </w:t>
      </w:r>
      <w:proofErr w:type="spellStart"/>
      <w:r w:rsidR="00FE3BA1" w:rsidRPr="00064789">
        <w:t>rivaroxaban</w:t>
      </w:r>
      <w:proofErr w:type="spellEnd"/>
      <w:r w:rsidR="00FE3BA1" w:rsidRPr="00064789">
        <w:t xml:space="preserve">, or </w:t>
      </w:r>
      <w:proofErr w:type="spellStart"/>
      <w:r w:rsidR="00FE3BA1" w:rsidRPr="00064789">
        <w:t>dabigatran</w:t>
      </w:r>
      <w:proofErr w:type="spellEnd"/>
      <w:r w:rsidR="00523D67" w:rsidRPr="00064789">
        <w:t>.</w:t>
      </w:r>
      <w:r w:rsidR="0083066E" w:rsidRPr="00064789">
        <w:t xml:space="preserve"> </w:t>
      </w:r>
      <w:r w:rsidR="006E14F1" w:rsidRPr="00064789">
        <w:fldChar w:fldCharType="begin"/>
      </w:r>
      <w:r w:rsidR="006E14F1" w:rsidRPr="00064789">
        <w:instrText xml:space="preserve"> REF _Ref345417087 \h </w:instrText>
      </w:r>
      <w:r w:rsidR="00064789">
        <w:instrText xml:space="preserve"> \* MERGEFORMAT </w:instrText>
      </w:r>
      <w:r w:rsidR="006E14F1" w:rsidRPr="00064789">
        <w:fldChar w:fldCharType="separate"/>
      </w:r>
      <w:r w:rsidR="00B66501" w:rsidRPr="0031099C">
        <w:t xml:space="preserve">Figure </w:t>
      </w:r>
      <w:r w:rsidR="00B66501">
        <w:rPr>
          <w:noProof/>
        </w:rPr>
        <w:t>2</w:t>
      </w:r>
      <w:r w:rsidR="006E14F1" w:rsidRPr="00064789">
        <w:fldChar w:fldCharType="end"/>
      </w:r>
      <w:r w:rsidR="006E14F1" w:rsidRPr="00064789">
        <w:t xml:space="preserve"> </w:t>
      </w:r>
      <w:r w:rsidR="0083066E" w:rsidRPr="00064789">
        <w:t xml:space="preserve">show the PSA scatterplots where the </w:t>
      </w:r>
      <w:r w:rsidR="006E14F1" w:rsidRPr="00064789">
        <w:t xml:space="preserve">OAC is </w:t>
      </w:r>
      <w:proofErr w:type="gramStart"/>
      <w:r w:rsidR="0083066E" w:rsidRPr="00064789">
        <w:t>either warfarin</w:t>
      </w:r>
      <w:proofErr w:type="gramEnd"/>
      <w:r w:rsidR="0083066E" w:rsidRPr="00064789">
        <w:t xml:space="preserve"> (a</w:t>
      </w:r>
      <w:r w:rsidR="00FE3BA1" w:rsidRPr="00064789">
        <w:t xml:space="preserve">), </w:t>
      </w:r>
      <w:proofErr w:type="spellStart"/>
      <w:r w:rsidR="00FE3BA1" w:rsidRPr="00064789">
        <w:t>rivaroxaban</w:t>
      </w:r>
      <w:proofErr w:type="spellEnd"/>
      <w:r w:rsidR="00FE3BA1" w:rsidRPr="00064789">
        <w:t xml:space="preserve"> (b), or </w:t>
      </w:r>
      <w:proofErr w:type="spellStart"/>
      <w:r w:rsidR="00FE3BA1" w:rsidRPr="00064789">
        <w:t>dabigatran</w:t>
      </w:r>
      <w:proofErr w:type="spellEnd"/>
      <w:r w:rsidR="00FE3BA1" w:rsidRPr="00064789">
        <w:t xml:space="preserve"> (c</w:t>
      </w:r>
      <w:r w:rsidR="0083066E" w:rsidRPr="00064789">
        <w:t>).</w:t>
      </w:r>
      <w:r w:rsidR="00CB6D0B" w:rsidRPr="00CB6D0B">
        <w:t xml:space="preserve"> </w:t>
      </w:r>
      <w:r w:rsidR="00CB6D0B">
        <w:fldChar w:fldCharType="begin"/>
      </w:r>
      <w:r w:rsidR="00CB6D0B">
        <w:instrText xml:space="preserve"> REF _Ref349291846 \h </w:instrText>
      </w:r>
      <w:r w:rsidR="00CB6D0B">
        <w:fldChar w:fldCharType="separate"/>
      </w:r>
      <w:proofErr w:type="gramStart"/>
      <w:r w:rsidR="00B66501" w:rsidRPr="00F309FB">
        <w:t xml:space="preserve">Table </w:t>
      </w:r>
      <w:r w:rsidR="00B66501">
        <w:rPr>
          <w:noProof/>
        </w:rPr>
        <w:t>2</w:t>
      </w:r>
      <w:r w:rsidR="00CB6D0B">
        <w:fldChar w:fldCharType="end"/>
      </w:r>
      <w:r>
        <w:t xml:space="preserve"> </w:t>
      </w:r>
      <w:r w:rsidR="00CB6D0B">
        <w:t xml:space="preserve">also </w:t>
      </w:r>
      <w:r w:rsidR="0083066E" w:rsidRPr="00064789">
        <w:t xml:space="preserve">shows the </w:t>
      </w:r>
      <w:r w:rsidR="006E14F1" w:rsidRPr="00064789">
        <w:t>mean cost</w:t>
      </w:r>
      <w:r w:rsidR="00FE3BA1" w:rsidRPr="00064789">
        <w:t>s</w:t>
      </w:r>
      <w:r w:rsidR="006E14F1" w:rsidRPr="00064789">
        <w:t xml:space="preserve"> and mean</w:t>
      </w:r>
      <w:proofErr w:type="gramEnd"/>
      <w:r w:rsidR="006E14F1" w:rsidRPr="00064789">
        <w:t xml:space="preserve"> QALY</w:t>
      </w:r>
      <w:r w:rsidR="00FE3BA1" w:rsidRPr="00064789">
        <w:t>s</w:t>
      </w:r>
      <w:r w:rsidR="006E14F1" w:rsidRPr="00064789">
        <w:t xml:space="preserve"> </w:t>
      </w:r>
      <w:r w:rsidR="00FE3BA1" w:rsidRPr="00064789">
        <w:t xml:space="preserve">of the No TTE Strategy and the TTE Strategy, and the ICER comparing these strategies. </w:t>
      </w:r>
      <w:r w:rsidR="006E14F1" w:rsidRPr="00064789">
        <w:t>Results for other patient groups are included in the appendix.</w:t>
      </w:r>
    </w:p>
    <w:p w:rsidR="00A80926" w:rsidRDefault="00B54241" w:rsidP="00F309FB">
      <w:pPr>
        <w:spacing w:line="480" w:lineRule="auto"/>
        <w:jc w:val="center"/>
      </w:pPr>
      <w:r>
        <w:t>[</w:t>
      </w:r>
      <w:r>
        <w:fldChar w:fldCharType="begin"/>
      </w:r>
      <w:r>
        <w:instrText xml:space="preserve"> REF _Ref349291846 \h </w:instrText>
      </w:r>
      <w:r>
        <w:fldChar w:fldCharType="separate"/>
      </w:r>
      <w:r w:rsidR="00B66501" w:rsidRPr="00F309FB">
        <w:t xml:space="preserve">Table </w:t>
      </w:r>
      <w:r w:rsidR="00B66501">
        <w:rPr>
          <w:noProof/>
        </w:rPr>
        <w:t>2</w:t>
      </w:r>
      <w:r>
        <w:fldChar w:fldCharType="end"/>
      </w:r>
      <w:r>
        <w:t xml:space="preserve"> </w:t>
      </w:r>
      <w:r w:rsidR="00F309FB">
        <w:t>about here]</w:t>
      </w:r>
    </w:p>
    <w:p w:rsidR="00B54241" w:rsidRDefault="00B54241" w:rsidP="00F309FB">
      <w:pPr>
        <w:spacing w:line="480" w:lineRule="auto"/>
        <w:jc w:val="center"/>
      </w:pPr>
      <w:r>
        <w:t>[</w:t>
      </w:r>
      <w:r>
        <w:fldChar w:fldCharType="begin"/>
      </w:r>
      <w:r>
        <w:instrText xml:space="preserve"> REF _Ref345417087 \h </w:instrText>
      </w:r>
      <w:r>
        <w:fldChar w:fldCharType="separate"/>
      </w:r>
      <w:r w:rsidR="00B66501" w:rsidRPr="0031099C">
        <w:t xml:space="preserve">Figure </w:t>
      </w:r>
      <w:r w:rsidR="00B66501">
        <w:rPr>
          <w:noProof/>
        </w:rPr>
        <w:t>2</w:t>
      </w:r>
      <w:r>
        <w:fldChar w:fldCharType="end"/>
      </w:r>
      <w:r>
        <w:t xml:space="preserve"> about here</w:t>
      </w:r>
    </w:p>
    <w:p w:rsidR="00273A34" w:rsidRDefault="00B54241" w:rsidP="008D3B31">
      <w:pPr>
        <w:spacing w:line="480" w:lineRule="auto"/>
      </w:pPr>
      <w:r>
        <w:fldChar w:fldCharType="begin"/>
      </w:r>
      <w:r>
        <w:instrText xml:space="preserve"> REF _Ref349291846 \h </w:instrText>
      </w:r>
      <w:r>
        <w:fldChar w:fldCharType="separate"/>
      </w:r>
      <w:r w:rsidR="00B66501" w:rsidRPr="00F309FB">
        <w:t xml:space="preserve">Table </w:t>
      </w:r>
      <w:r w:rsidR="00B66501">
        <w:rPr>
          <w:noProof/>
        </w:rPr>
        <w:t>2</w:t>
      </w:r>
      <w:r>
        <w:fldChar w:fldCharType="end"/>
      </w:r>
      <w:r w:rsidR="00605BB7" w:rsidRPr="00064789">
        <w:t xml:space="preserve"> </w:t>
      </w:r>
      <w:r w:rsidR="006E14F1" w:rsidRPr="00064789">
        <w:t xml:space="preserve">indicates that, irrespective of the OAC, using TTE in this way reduces the proportion of deaths caused by stroke, but increases the proportion of deaths caused by </w:t>
      </w:r>
      <w:r w:rsidR="0053415A">
        <w:t xml:space="preserve">major </w:t>
      </w:r>
      <w:r w:rsidR="006E14F1" w:rsidRPr="00064789">
        <w:t>bleed.</w:t>
      </w:r>
      <w:r w:rsidR="00FE3BA1" w:rsidRPr="00064789">
        <w:t xml:space="preserve"> On average, the scenarios not using TTE are estimated to result in a lower rate of dependent and independent strokes, and a higher rate of major bleeding events, including intracranial </w:t>
      </w:r>
      <w:proofErr w:type="spellStart"/>
      <w:r w:rsidR="00FE3BA1" w:rsidRPr="00064789">
        <w:t>haemorrhages</w:t>
      </w:r>
      <w:proofErr w:type="spellEnd"/>
      <w:r w:rsidR="00FE3BA1" w:rsidRPr="00064789">
        <w:t xml:space="preserve"> (ICHs). </w:t>
      </w:r>
      <w:r w:rsidR="006E14F1" w:rsidRPr="00064789">
        <w:t>For all OAC scenarios, the number of life</w:t>
      </w:r>
      <w:r w:rsidR="002D44B0" w:rsidRPr="00064789">
        <w:t xml:space="preserve"> </w:t>
      </w:r>
      <w:r w:rsidR="006E14F1" w:rsidRPr="00064789">
        <w:t xml:space="preserve">years is estimated to be slightly greater when </w:t>
      </w:r>
      <w:r w:rsidR="0053415A">
        <w:t xml:space="preserve">a </w:t>
      </w:r>
      <w:r w:rsidR="006E14F1" w:rsidRPr="00064789">
        <w:t xml:space="preserve">strategy incorporating TTE is used compared </w:t>
      </w:r>
      <w:r>
        <w:t>with</w:t>
      </w:r>
      <w:r w:rsidR="006E14F1" w:rsidRPr="00064789">
        <w:t xml:space="preserve"> the strategy without TTE, but these differences are relatively small</w:t>
      </w:r>
      <w:r>
        <w:t xml:space="preserve"> (approximately 0.1 life years)</w:t>
      </w:r>
      <w:r w:rsidR="00FE3BA1" w:rsidRPr="00064789">
        <w:t>.</w:t>
      </w:r>
      <w:r w:rsidR="006E14F1" w:rsidRPr="00064789">
        <w:t xml:space="preserve"> </w:t>
      </w:r>
    </w:p>
    <w:p w:rsidR="00920A0B" w:rsidRPr="00064789" w:rsidRDefault="00B54241" w:rsidP="00900CA4">
      <w:pPr>
        <w:spacing w:line="480" w:lineRule="auto"/>
      </w:pPr>
      <w:r>
        <w:fldChar w:fldCharType="begin"/>
      </w:r>
      <w:r>
        <w:instrText xml:space="preserve"> REF _Ref345417087 \h </w:instrText>
      </w:r>
      <w:r>
        <w:fldChar w:fldCharType="separate"/>
      </w:r>
      <w:r w:rsidR="00B66501" w:rsidRPr="0031099C">
        <w:t xml:space="preserve">Figure </w:t>
      </w:r>
      <w:r w:rsidR="00B66501">
        <w:rPr>
          <w:noProof/>
        </w:rPr>
        <w:t>2</w:t>
      </w:r>
      <w:r>
        <w:fldChar w:fldCharType="end"/>
      </w:r>
      <w:r w:rsidR="0053415A">
        <w:t xml:space="preserve"> </w:t>
      </w:r>
      <w:r w:rsidR="00F309FB">
        <w:t>and</w:t>
      </w:r>
      <w:r w:rsidR="00CB6D0B">
        <w:t xml:space="preserve"> </w:t>
      </w:r>
      <w:r w:rsidR="00CB6D0B">
        <w:fldChar w:fldCharType="begin"/>
      </w:r>
      <w:r w:rsidR="00CB6D0B">
        <w:instrText xml:space="preserve"> REF _Ref349291846 \h </w:instrText>
      </w:r>
      <w:r w:rsidR="00CB6D0B">
        <w:fldChar w:fldCharType="separate"/>
      </w:r>
      <w:r w:rsidR="00B66501" w:rsidRPr="00F309FB">
        <w:t xml:space="preserve">Table </w:t>
      </w:r>
      <w:r w:rsidR="00B66501">
        <w:rPr>
          <w:noProof/>
        </w:rPr>
        <w:t>2</w:t>
      </w:r>
      <w:r w:rsidR="00CB6D0B">
        <w:fldChar w:fldCharType="end"/>
      </w:r>
      <w:r>
        <w:t xml:space="preserve"> </w:t>
      </w:r>
      <w:r w:rsidR="005653D1" w:rsidRPr="00064789">
        <w:t>both suggest that the cost-effectiveness of the TTE strategy compared with the no TTE strategy depends on the OAC which would be prescribed.  Where the OAC is warfarin (</w:t>
      </w:r>
      <w:r>
        <w:fldChar w:fldCharType="begin"/>
      </w:r>
      <w:r>
        <w:instrText xml:space="preserve"> REF _Ref335141468 \h </w:instrText>
      </w:r>
      <w:r>
        <w:fldChar w:fldCharType="separate"/>
      </w:r>
      <w:r w:rsidR="00B66501" w:rsidRPr="0031099C">
        <w:t xml:space="preserve">Table </w:t>
      </w:r>
      <w:r w:rsidR="00B66501">
        <w:rPr>
          <w:noProof/>
        </w:rPr>
        <w:t>3</w:t>
      </w:r>
      <w:r>
        <w:fldChar w:fldCharType="end"/>
      </w:r>
      <w:r w:rsidR="005653D1" w:rsidRPr="00064789">
        <w:t>a), the ICER comparing the tw</w:t>
      </w:r>
      <w:r w:rsidR="00064789" w:rsidRPr="00064789">
        <w:t>o strategies is almost £40 000 per</w:t>
      </w:r>
      <w:r w:rsidR="005653D1" w:rsidRPr="00064789">
        <w:t xml:space="preserve"> QALY; where the OAC </w:t>
      </w:r>
      <w:r w:rsidR="0053415A">
        <w:t xml:space="preserve">is </w:t>
      </w:r>
      <w:proofErr w:type="spellStart"/>
      <w:r w:rsidR="005653D1" w:rsidRPr="00064789">
        <w:t>rivaroxaban</w:t>
      </w:r>
      <w:proofErr w:type="spellEnd"/>
      <w:r w:rsidR="005653D1" w:rsidRPr="00064789">
        <w:t xml:space="preserve"> (</w:t>
      </w:r>
      <w:r w:rsidR="00CB6D0B">
        <w:fldChar w:fldCharType="begin"/>
      </w:r>
      <w:r w:rsidR="00CB6D0B">
        <w:instrText xml:space="preserve"> REF _Ref349291846 \h </w:instrText>
      </w:r>
      <w:r w:rsidR="00CB6D0B">
        <w:fldChar w:fldCharType="separate"/>
      </w:r>
      <w:r w:rsidR="00B66501" w:rsidRPr="00F309FB">
        <w:t xml:space="preserve">Table </w:t>
      </w:r>
      <w:r w:rsidR="00B66501">
        <w:rPr>
          <w:noProof/>
        </w:rPr>
        <w:t>2</w:t>
      </w:r>
      <w:r w:rsidR="00CB6D0B">
        <w:fldChar w:fldCharType="end"/>
      </w:r>
      <w:r w:rsidR="005653D1" w:rsidRPr="00064789">
        <w:t xml:space="preserve">b), the </w:t>
      </w:r>
      <w:r w:rsidR="00064789" w:rsidRPr="00064789">
        <w:t xml:space="preserve">ICER reduces to around £23 000 per </w:t>
      </w:r>
      <w:r w:rsidR="005653D1" w:rsidRPr="00064789">
        <w:t xml:space="preserve">QALY, and where the OAC is </w:t>
      </w:r>
      <w:proofErr w:type="spellStart"/>
      <w:r w:rsidR="005653D1" w:rsidRPr="00064789">
        <w:t>dabigatran</w:t>
      </w:r>
      <w:proofErr w:type="spellEnd"/>
      <w:r w:rsidR="005653D1" w:rsidRPr="00064789">
        <w:t xml:space="preserve"> (</w:t>
      </w:r>
      <w:r w:rsidR="00CB6D0B">
        <w:fldChar w:fldCharType="begin"/>
      </w:r>
      <w:r w:rsidR="00CB6D0B">
        <w:instrText xml:space="preserve"> REF _Ref349291846 \h </w:instrText>
      </w:r>
      <w:r w:rsidR="00CB6D0B">
        <w:fldChar w:fldCharType="separate"/>
      </w:r>
      <w:r w:rsidR="00B66501" w:rsidRPr="00F309FB">
        <w:t xml:space="preserve">Table </w:t>
      </w:r>
      <w:r w:rsidR="00B66501">
        <w:rPr>
          <w:noProof/>
        </w:rPr>
        <w:t>2</w:t>
      </w:r>
      <w:r w:rsidR="00CB6D0B">
        <w:fldChar w:fldCharType="end"/>
      </w:r>
      <w:r w:rsidR="005653D1" w:rsidRPr="00064789">
        <w:t xml:space="preserve">c), the ICER reduces further to around £12 000 </w:t>
      </w:r>
      <w:r w:rsidR="00064789" w:rsidRPr="00064789">
        <w:t>per</w:t>
      </w:r>
      <w:r w:rsidR="005653D1" w:rsidRPr="00064789">
        <w:t xml:space="preserve"> QALY. </w:t>
      </w:r>
    </w:p>
    <w:p w:rsidR="00345E19" w:rsidRPr="00064789" w:rsidRDefault="00345E19" w:rsidP="00345E19">
      <w:pPr>
        <w:pStyle w:val="Heading2"/>
        <w:numPr>
          <w:ilvl w:val="0"/>
          <w:numId w:val="0"/>
        </w:numPr>
        <w:rPr>
          <w:rFonts w:eastAsia="Times New Roman"/>
          <w:lang w:eastAsia="en-GB"/>
        </w:rPr>
      </w:pPr>
      <w:r w:rsidRPr="00064789">
        <w:rPr>
          <w:rFonts w:eastAsia="Times New Roman"/>
          <w:lang w:eastAsia="en-GB"/>
        </w:rPr>
        <w:lastRenderedPageBreak/>
        <w:t>Deterministic sensitivity analyses</w:t>
      </w:r>
    </w:p>
    <w:p w:rsidR="00345E19" w:rsidRPr="00064789" w:rsidRDefault="00B54241" w:rsidP="00345E19">
      <w:pPr>
        <w:spacing w:line="480" w:lineRule="auto"/>
      </w:pPr>
      <w:r>
        <w:fldChar w:fldCharType="begin"/>
      </w:r>
      <w:r>
        <w:instrText xml:space="preserve"> REF _Ref335141468 \h </w:instrText>
      </w:r>
      <w:r>
        <w:fldChar w:fldCharType="separate"/>
      </w:r>
      <w:r w:rsidR="00B66501" w:rsidRPr="0031099C">
        <w:t xml:space="preserve">Table </w:t>
      </w:r>
      <w:r w:rsidR="00B66501">
        <w:rPr>
          <w:noProof/>
        </w:rPr>
        <w:t>3</w:t>
      </w:r>
      <w:r>
        <w:fldChar w:fldCharType="end"/>
      </w:r>
      <w:r>
        <w:t xml:space="preserve"> </w:t>
      </w:r>
      <w:r w:rsidR="00345E19" w:rsidRPr="00064789">
        <w:t xml:space="preserve">shows how the </w:t>
      </w:r>
      <w:r>
        <w:t xml:space="preserve">estimated </w:t>
      </w:r>
      <w:r w:rsidR="00345E19" w:rsidRPr="00064789">
        <w:t>mean ICER depends on</w:t>
      </w:r>
      <w:r w:rsidR="00FE3BA1" w:rsidRPr="00064789">
        <w:t xml:space="preserve"> the</w:t>
      </w:r>
      <w:r w:rsidR="00345E19" w:rsidRPr="00064789">
        <w:t xml:space="preserve"> sensitivity and specificity of the technology, assuming all other values are held at their mean levels, where the OAC is </w:t>
      </w:r>
      <w:proofErr w:type="gramStart"/>
      <w:r w:rsidR="00345E19" w:rsidRPr="00064789">
        <w:t>either a) warfarin</w:t>
      </w:r>
      <w:proofErr w:type="gramEnd"/>
      <w:r w:rsidR="00345E19" w:rsidRPr="00064789">
        <w:t xml:space="preserve">, b) </w:t>
      </w:r>
      <w:proofErr w:type="spellStart"/>
      <w:r w:rsidR="00345E19" w:rsidRPr="00064789">
        <w:t>rivaroxaban</w:t>
      </w:r>
      <w:proofErr w:type="spellEnd"/>
      <w:r w:rsidR="00345E19" w:rsidRPr="00064789">
        <w:t xml:space="preserve">, or c) </w:t>
      </w:r>
      <w:proofErr w:type="spellStart"/>
      <w:r w:rsidR="00345E19" w:rsidRPr="00064789">
        <w:t>dabigatran</w:t>
      </w:r>
      <w:proofErr w:type="spellEnd"/>
      <w:r w:rsidR="00345E19" w:rsidRPr="00064789">
        <w:t>. If TTE had perfect sensitivity and specificity, then the additional cost per QALY is estimated to range from around £1,800/QALY for warfarin (a) to</w:t>
      </w:r>
      <w:r w:rsidR="0053415A">
        <w:t xml:space="preserve"> £1,100/QALY for </w:t>
      </w:r>
      <w:proofErr w:type="spellStart"/>
      <w:r w:rsidR="0053415A">
        <w:t>dabigatran</w:t>
      </w:r>
      <w:proofErr w:type="spellEnd"/>
      <w:r w:rsidR="0053415A">
        <w:t xml:space="preserve"> (c)</w:t>
      </w:r>
      <w:r w:rsidR="00345E19" w:rsidRPr="00064789">
        <w:t xml:space="preserve"> </w:t>
      </w:r>
      <w:r w:rsidR="0053415A" w:rsidRPr="00064789">
        <w:fldChar w:fldCharType="begin" w:fldLock="1"/>
      </w:r>
      <w:r w:rsidR="0053415A">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"dropping-particle" : "", "family" : "Providencia", "given" : "R", "non-dropping-particle" : "", "parse-names" : false, "suffix" : "" }, { "dropping-particle" : "", "family" : "Botelho", "given" : "A", "non-dropping-particle" : "", "parse-names" : false, "suffix" : "" }, { "dropping-particle" : "", "family" : "Trigo", "given" : "J", "non-dropping-particle" : "", "parse-names" : false, "suffix" : "" }, { "dropping-particle" : "", "family" : "Quintal", "given" : "N", "non-dropping-particle" : "", "parse-names" : false, "suffix" : "" }, { "dropping-particle" : "", "family" : "Nascimento", "given" : "J", "non-dropping-particle" : "", "parse-names" : false, "suffix" : "" }, { "dropping-particle" : "", "family" : "Mota", "given" : "P", "non-dropping-particle" : "", "parse-names" : false, "suffix" : "" }, { "dropping-particle" : "", "family" : "Leitao-Marques", "given" : "A", "non-dropping-particle" : "", "parse-names" : false, "suffix" : ""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"[6]" }, "properties" : { "noteIndex" : 0 }, "schema" : "https://github.com/citation-style-language/schema/raw/master/csl-citation.json" }</w:instrText>
      </w:r>
      <w:r w:rsidR="0053415A" w:rsidRPr="00064789">
        <w:fldChar w:fldCharType="separate"/>
      </w:r>
      <w:r w:rsidR="0053415A" w:rsidRPr="00DF52E6">
        <w:rPr>
          <w:noProof/>
        </w:rPr>
        <w:t>[6]</w:t>
      </w:r>
      <w:r w:rsidR="0053415A" w:rsidRPr="00064789">
        <w:fldChar w:fldCharType="end"/>
      </w:r>
      <w:r w:rsidR="0053415A">
        <w:t>.</w:t>
      </w:r>
      <w:r w:rsidR="0053415A" w:rsidRPr="00064789">
        <w:t xml:space="preserve"> </w:t>
      </w:r>
      <w:r w:rsidR="00345E19" w:rsidRPr="00064789">
        <w:t xml:space="preserve">However, due to the less than perfect specificity of TTE, estimated to be around 0.35, and the increased number of false positives predicted to be treated as a result of this, the ICERs </w:t>
      </w:r>
      <w:r w:rsidR="00FE3BA1" w:rsidRPr="00064789">
        <w:t xml:space="preserve">increase </w:t>
      </w:r>
      <w:r>
        <w:t>to</w:t>
      </w:r>
      <w:r w:rsidR="00FE3BA1" w:rsidRPr="00064789">
        <w:t xml:space="preserve"> </w:t>
      </w:r>
      <w:r w:rsidR="00345E19" w:rsidRPr="00064789">
        <w:t xml:space="preserve">around £27,000-£59,000/QALY for warfarin (a), £18,000-£29,000 for </w:t>
      </w:r>
      <w:proofErr w:type="spellStart"/>
      <w:r w:rsidR="00345E19" w:rsidRPr="00064789">
        <w:t>rivaroxaban</w:t>
      </w:r>
      <w:proofErr w:type="spellEnd"/>
      <w:r w:rsidR="00345E19" w:rsidRPr="00064789">
        <w:t xml:space="preserve"> (b), and £10,000-£14,000 for </w:t>
      </w:r>
      <w:proofErr w:type="spellStart"/>
      <w:r w:rsidR="00345E19" w:rsidRPr="00064789">
        <w:t>dabigatran</w:t>
      </w:r>
      <w:proofErr w:type="spellEnd"/>
      <w:r w:rsidR="00FE3BA1" w:rsidRPr="00064789">
        <w:t xml:space="preserve"> (c)</w:t>
      </w:r>
      <w:r w:rsidR="00345E19" w:rsidRPr="00064789">
        <w:t xml:space="preserve">. As the ICER is a ratio, and the absolute differences in QALYs between strategies with and without TTE are small, the ICERs are shown to be highly sensitive to the values of sensitivity and specificity assumed for some scenarios. </w:t>
      </w:r>
    </w:p>
    <w:bookmarkEnd w:id="3"/>
    <w:bookmarkEnd w:id="4"/>
    <w:p w:rsidR="00D324CF" w:rsidRPr="00064789" w:rsidRDefault="00D324CF" w:rsidP="00D324CF">
      <w:pPr>
        <w:pStyle w:val="Heading2"/>
        <w:numPr>
          <w:ilvl w:val="0"/>
          <w:numId w:val="0"/>
        </w:numPr>
        <w:rPr>
          <w:rFonts w:eastAsia="Times New Roman"/>
          <w:lang w:eastAsia="en-GB"/>
        </w:rPr>
      </w:pPr>
      <w:r w:rsidRPr="00064789">
        <w:rPr>
          <w:rFonts w:eastAsia="Times New Roman"/>
          <w:lang w:eastAsia="en-GB"/>
        </w:rPr>
        <w:t>Overview of results for other scenarios</w:t>
      </w:r>
    </w:p>
    <w:p w:rsidR="00D324CF" w:rsidRPr="00064789" w:rsidRDefault="00D324CF" w:rsidP="00D324CF">
      <w:pPr>
        <w:spacing w:line="480" w:lineRule="auto"/>
      </w:pPr>
      <w:r w:rsidRPr="00064789">
        <w:t xml:space="preserve">The </w:t>
      </w:r>
      <w:r w:rsidR="004F29CD" w:rsidRPr="00064789">
        <w:t xml:space="preserve">full </w:t>
      </w:r>
      <w:r w:rsidRPr="00064789">
        <w:t xml:space="preserve">results for </w:t>
      </w:r>
      <w:r w:rsidR="00B54241">
        <w:t xml:space="preserve">the </w:t>
      </w:r>
      <w:r w:rsidRPr="00064789">
        <w:t xml:space="preserve">10 scenarios considered are presented in the online appendix. A brief summary, indicating whether the results suggest TTE appears </w:t>
      </w:r>
      <w:r w:rsidR="004F29CD" w:rsidRPr="00064789">
        <w:t xml:space="preserve">cost-effective </w:t>
      </w:r>
      <w:r w:rsidRPr="00064789">
        <w:t xml:space="preserve">at MAICERs of £20,000 /QALY or £30,000/QALY, is shown in </w:t>
      </w:r>
      <w:r w:rsidR="00B54241">
        <w:fldChar w:fldCharType="begin"/>
      </w:r>
      <w:r w:rsidR="00B54241">
        <w:instrText xml:space="preserve"> REF _Ref335142114 \h </w:instrText>
      </w:r>
      <w:r w:rsidR="00B54241">
        <w:fldChar w:fldCharType="separate"/>
      </w:r>
      <w:r w:rsidR="00B66501" w:rsidRPr="0031099C">
        <w:t xml:space="preserve">Table </w:t>
      </w:r>
      <w:r w:rsidR="00B66501">
        <w:rPr>
          <w:noProof/>
        </w:rPr>
        <w:t>4</w:t>
      </w:r>
      <w:r w:rsidR="00B54241">
        <w:fldChar w:fldCharType="end"/>
      </w:r>
      <w:r w:rsidR="00B54241">
        <w:t xml:space="preserve">. </w:t>
      </w:r>
      <w:r w:rsidRPr="00064789">
        <w:t xml:space="preserve">These results suggest that the addition of TTE to help make the decision whether to prescribe an OAC </w:t>
      </w:r>
      <w:r w:rsidR="00B54241">
        <w:t xml:space="preserve">is </w:t>
      </w:r>
      <w:r w:rsidRPr="00064789">
        <w:t xml:space="preserve">more expensive and less effective than not using TTE in </w:t>
      </w:r>
      <w:r w:rsidR="004F29CD" w:rsidRPr="00064789">
        <w:t xml:space="preserve">patients </w:t>
      </w:r>
      <w:r w:rsidRPr="00064789">
        <w:t xml:space="preserve">aged 50 years. </w:t>
      </w:r>
      <w:proofErr w:type="gramStart"/>
      <w:r w:rsidRPr="00064789">
        <w:t xml:space="preserve">In </w:t>
      </w:r>
      <w:r w:rsidR="004F29CD" w:rsidRPr="00064789">
        <w:t xml:space="preserve"> patients</w:t>
      </w:r>
      <w:proofErr w:type="gramEnd"/>
      <w:r w:rsidR="004F29CD" w:rsidRPr="00064789">
        <w:t xml:space="preserve"> </w:t>
      </w:r>
      <w:r w:rsidRPr="00064789">
        <w:t xml:space="preserve">aged 65 years, the strategy using TTE appears cost-effective and conventional willingness-to-pay thresholds of between £20,000 and £30,000/QALY for </w:t>
      </w:r>
      <w:proofErr w:type="spellStart"/>
      <w:r w:rsidRPr="00064789">
        <w:t>dabigatran</w:t>
      </w:r>
      <w:proofErr w:type="spellEnd"/>
      <w:r w:rsidRPr="00064789">
        <w:t xml:space="preserve">, and possibly for </w:t>
      </w:r>
      <w:proofErr w:type="spellStart"/>
      <w:r w:rsidRPr="00064789">
        <w:t>rivaroxaban</w:t>
      </w:r>
      <w:proofErr w:type="spellEnd"/>
      <w:r w:rsidRPr="00064789">
        <w:t xml:space="preserve">. The cost-effectiveness of the strategy appears slightly more </w:t>
      </w:r>
      <w:proofErr w:type="spellStart"/>
      <w:r w:rsidRPr="00064789">
        <w:t>favourable</w:t>
      </w:r>
      <w:proofErr w:type="spellEnd"/>
      <w:r w:rsidRPr="00064789">
        <w:t xml:space="preserve"> for female than for male patients, but the choice of OAC and patient age appear to have much greater influence.</w:t>
      </w:r>
    </w:p>
    <w:p w:rsidR="0005390C" w:rsidRPr="00064789" w:rsidRDefault="00F15320" w:rsidP="003378D6">
      <w:pPr>
        <w:pStyle w:val="Heading1"/>
        <w:numPr>
          <w:ilvl w:val="0"/>
          <w:numId w:val="0"/>
        </w:numPr>
      </w:pPr>
      <w:r w:rsidRPr="00064789">
        <w:t>Discussion</w:t>
      </w:r>
    </w:p>
    <w:p w:rsidR="00D20CA0" w:rsidRPr="00064789" w:rsidRDefault="008C662C" w:rsidP="008D3B31">
      <w:pPr>
        <w:spacing w:line="480" w:lineRule="auto"/>
      </w:pPr>
      <w:r>
        <w:t xml:space="preserve">In this study, we have shown that using TTE to inform the decision whether to prescribe a newer OAC to newly diagnosed AF patients may be a clinically and cost- effective strategy. </w:t>
      </w:r>
      <w:r w:rsidR="00D20CA0" w:rsidRPr="00064789">
        <w:t xml:space="preserve">Prior to producing this model, a systematic literature review was conducted to identify, </w:t>
      </w:r>
      <w:proofErr w:type="spellStart"/>
      <w:r w:rsidR="00D20CA0" w:rsidRPr="00064789">
        <w:t>summarise</w:t>
      </w:r>
      <w:proofErr w:type="spellEnd"/>
      <w:r w:rsidR="00D20CA0" w:rsidRPr="00064789">
        <w:t xml:space="preserve"> and appraise existing economic studies for evaluating the cost-effectiveness of TTE in patients with AF</w:t>
      </w:r>
      <w:r>
        <w:t xml:space="preserve"> </w:t>
      </w:r>
      <w:r>
        <w:lastRenderedPageBreak/>
        <w:t xml:space="preserve">and we </w:t>
      </w:r>
      <w:r w:rsidR="00D20CA0" w:rsidRPr="00064789">
        <w:t>identified no economic evaluations of</w:t>
      </w:r>
      <w:r w:rsidR="007A14AB">
        <w:t xml:space="preserve"> the use of</w:t>
      </w:r>
      <w:r w:rsidR="00D20CA0" w:rsidRPr="00064789">
        <w:t xml:space="preserve"> TTE in AF patients</w:t>
      </w:r>
      <w:r>
        <w:t>. Thus</w:t>
      </w:r>
      <w:r w:rsidR="0053415A">
        <w:t xml:space="preserve"> we believe </w:t>
      </w:r>
      <w:r w:rsidR="00D20CA0" w:rsidRPr="00064789">
        <w:t>this is the first</w:t>
      </w:r>
      <w:r>
        <w:t xml:space="preserve"> such economic evaluation</w:t>
      </w:r>
      <w:r w:rsidR="00D20CA0" w:rsidRPr="00064789">
        <w:t xml:space="preserve">.  </w:t>
      </w:r>
    </w:p>
    <w:p w:rsidR="00E36870" w:rsidRPr="00064789" w:rsidRDefault="00DF7E46" w:rsidP="008D3B31">
      <w:pPr>
        <w:spacing w:line="480" w:lineRule="auto"/>
      </w:pPr>
      <w:r w:rsidRPr="00064789">
        <w:t xml:space="preserve">The </w:t>
      </w:r>
      <w:r w:rsidR="00407CD7" w:rsidRPr="00064789">
        <w:t>model has a range of limitations</w:t>
      </w:r>
      <w:r w:rsidR="00D20CA0" w:rsidRPr="00064789">
        <w:t xml:space="preserve"> and a number of a</w:t>
      </w:r>
      <w:r w:rsidR="00E36870" w:rsidRPr="00064789">
        <w:t>ssumptions have</w:t>
      </w:r>
      <w:r w:rsidR="00A11AEA" w:rsidRPr="00064789">
        <w:t xml:space="preserve"> been made within the </w:t>
      </w:r>
      <w:proofErr w:type="spellStart"/>
      <w:r w:rsidR="00A11AEA" w:rsidRPr="00064789">
        <w:t>mode</w:t>
      </w:r>
      <w:r w:rsidR="00620AA2" w:rsidRPr="00064789">
        <w:t>l</w:t>
      </w:r>
      <w:r w:rsidR="00A11AEA" w:rsidRPr="00064789">
        <w:t>l</w:t>
      </w:r>
      <w:r w:rsidR="00407CD7" w:rsidRPr="00064789">
        <w:t>ing</w:t>
      </w:r>
      <w:proofErr w:type="spellEnd"/>
      <w:r w:rsidR="00407CD7" w:rsidRPr="00064789">
        <w:t>. For example,</w:t>
      </w:r>
      <w:r w:rsidR="00654FFC" w:rsidRPr="00064789">
        <w:t xml:space="preserve"> only the CHADS</w:t>
      </w:r>
      <w:r w:rsidR="00654FFC" w:rsidRPr="00064789">
        <w:rPr>
          <w:vertAlign w:val="subscript"/>
        </w:rPr>
        <w:t>2</w:t>
      </w:r>
      <w:r w:rsidR="00654FFC" w:rsidRPr="00064789">
        <w:t xml:space="preserve"> clinical risk prediction tool was used as the baseline strategy. An alternative to this tool is </w:t>
      </w:r>
      <w:r w:rsidR="008C662C">
        <w:t xml:space="preserve">the </w:t>
      </w:r>
      <w:r w:rsidR="00654FFC" w:rsidRPr="00064789">
        <w:t>CHA</w:t>
      </w:r>
      <w:r w:rsidR="00654FFC" w:rsidRPr="00064789">
        <w:rPr>
          <w:vertAlign w:val="subscript"/>
        </w:rPr>
        <w:t>2</w:t>
      </w:r>
      <w:r w:rsidR="00654FFC" w:rsidRPr="00064789">
        <w:t>DS</w:t>
      </w:r>
      <w:r w:rsidR="00654FFC" w:rsidRPr="00064789">
        <w:rPr>
          <w:vertAlign w:val="subscript"/>
        </w:rPr>
        <w:t>2</w:t>
      </w:r>
      <w:r w:rsidR="00654FFC" w:rsidRPr="00064789">
        <w:t>-VASc</w:t>
      </w:r>
      <w:r w:rsidR="008C662C">
        <w:t xml:space="preserve"> score</w:t>
      </w:r>
      <w:r w:rsidR="00654FFC" w:rsidRPr="00064789">
        <w:t>, which is considered to be better at distinguishing low risk from very low risk patients</w:t>
      </w:r>
      <w:r w:rsidR="00253316" w:rsidRPr="00064789">
        <w:t xml:space="preserve">, and is the only such tool recommended in the 2012 focused update of the ESC guidelines.  </w:t>
      </w:r>
      <w:r w:rsidR="00584E3F">
        <w:fldChar w:fldCharType="begin" w:fldLock="1"/>
      </w:r>
      <w:r w:rsidR="00B54241">
        <w:instrText>ADDIN CSL_CITATION { "citationItems" : [ { "id" : "ITEM-1", "itemData" : { "DOI" : "ehq278 [pii]\n10.1093/eurheartj/ehq278", "ISBN" : "1522-9645 (Electronic)\n0195-668X (Linking)", "author" : [ { "dropping-particle" : "", "family" : "Camm", "given" : "A J", "non-dropping-particle" : "", "parse-names" : false, "suffix" : "" }, { "dropping-particle" : "", "family" : "Kirchhof", "given" : "P", "non-dropping-particle" : "", "parse-names" : false, "suffix" : "" }, { "dropping-particle" : "", "family" : "Lip", "given" : "G Y", "non-dropping-particle" : "", "parse-names" : false, "suffix" : "" }, { "dropping-particle" : "", "family" : "Schotten", "given" : "U", "non-dropping-particle" : "", "parse-names" : false, "suffix" : "" }, { "dropping-particle" : "", "family" : "Savelieva", "given" : "I", "non-dropping-particle" : "", "parse-names" : false, "suffix" : "" }, { "dropping-particle" : "", "family" : "Ernst", "given" : "S", "non-dropping-particle" : "", "parse-names" : false, "suffix" : "" }, { "dropping-particle" : "", "family" : "Gelder", "given" : "I C", "non-dropping-particle" : "Van", "parse-names" : false, "suffix" : "" }, { "dropping-particle" : "", "family" : "Al-Attar", "given" : "N", "non-dropping-particle" : "", "parse-names" : false, "suffix" : "" }, { "dropping-particle" : "", "family" : "Hindricks", "given" : "G", "non-dropping-particle" : "", "parse-names" : false, "suffix" : "" }, { "dropping-particle" : "", "family" : "Prendergast", "given" : "B", "non-dropping-particle" : "", "parse-names" : false, "suffix" : "" }, { "dropping-particle" : "", "family" : "Heidbuchel", "given" : "H", "non-dropping-particle" : "", "parse-names" : false, "suffix" : "" }, { "dropping-particle" : "", "family" : "Alfieri", "given" : "O", "non-dropping-particle" : "", "parse-names" : false, "suffix" : "" }, { "dropping-particle" : "", "family" : "Angelini", "given" : "A", "non-dropping-particle" : "", "parse-names" : false, "suffix" : "" }, { "dropping-particle" : "", "family" : "Atar", "given" : "D", "non-dropping-particle" : "", "parse-names" : false, "suffix" : "" }, { "dropping-particle" : "", "family" : "Colonna", "given" : "P", "non-dropping-particle" : "", "parse-names" : false, "suffix" : "" }, { "dropping-particle" : "", "family" : "Caterina", "given" : "R", "non-dropping-particle" : "De", "parse-names" : false, "suffix" : "" }, { "dropping-particle" : "", "family" : "Sutter", "given" : "J", "non-dropping-particle" : "De", "parse-names" : false, "suffix" : "" }, { "dropping-particle" : "", "family" : "Goette", "given" : "A", "non-dropping-particle" : "", "parse-names" : false, "suffix" : "" }, { "dropping-particle" : "", "family" : "Gorenek", "given" : "B", "non-dropping-particle" : "", "parse-names" : false, "suffix" : "" }, { "dropping-particle" : "", "family" : "Heldal", "given" : "M", "non-dropping-particle" : "", "parse-names" : false, "suffix" : "" }, { "dropping-particle" : "", "family" : "Hohloser", "given" : "S H", "non-dropping-particle" : "", "parse-names" : false, "suffix" : "" }, { "dropping-particle" : "", "family" : "Kolh", "given" : "P", "non-dropping-particle" : "", "parse-names" : false, "suffix" : "" }, { "dropping-particle" : "", "family" : "Heuzey", "given" : "J Y", "non-dropping-particle" : "Le", "parse-names" : false, "suffix" : "" }, { "dropping-particle" : "", "family" : "Ponikowski", "given" : "P", "non-dropping-particle" : "", "parse-names" : false, "suffix" : "" }, { "dropping-particle" : "", "family" : "Rutten", "given" : "F H", "non-dropping-particle" : "", "parse-names" : false, "suffix" : "" } ], "container-title" : "Eur Heart J", "edition" : "2010/08/31", "id" : "ITEM-1", "issue" : "19", "issued" : { "date-parts" : [ [ "2010" ] ] }, "note" : "European Heart Rhythm Association\nEuropean Association for Cardio-Thoracic Surgery\nCamm, A John\nKirchhof, Paulus\nLip, Gregory Y H\nSchotten, Ulrich\nSavelieva, Irene\nErnst, Sabine\nVan Gelder, Isabelle C\nAl-Attar, Nawwar\nHindricks, Gerhard\nPrendergast, Bernard\nHeidbuchel, Hein\nAlfieri, Ottavio\nAngelini, Annalisa\nAtar, Dan\nColonna, Paolo\nDe Caterina, Raffaele\nDe Sutter, Johan\nGoette, Andreas\nGorenek, Bulent\nHeldal, Magnus\nHohloser, Stefan H\nKolh, Philippe\nLe Heuzey, Jean-Yves\nPonikowski, Piotr\nRutten, Frans H\nPractice Guideline\nEngland\nEuropean heart journal\nEur Heart J. 2010 Oct;31(19):2369-429. Epub 2010 Aug 29.", "page" : "2369-2429", "title" : "Guidelines for the management of atrial fibrillation: the Task Force for the Management of Atrial Fibrillation of the European Society of Cardiology (ESC)", "type" : "article-journal", "volume" : "31" }, "uris" : [ "http://www.mendeley.com/documents/?uuid=cd676823-b526-432d-ab86-77564884dbcb" ] }, { "id" : "ITEM-2", "itemData" : { "DOI" : "10.1093/eurheartj/ehs253", "author" : [ { "dropping-particle" : "", "family" : "Camm", "given" : "A John", "non-dropping-particle" : "", "parse-names" : false, "suffix" : "" }, { "dropping-particle" : "", "family" : "Lip", "given" : "Gregory Y H", "non-dropping-particle" : "", "parse-names" : false, "suffix" : "" }, { "dropping-particle" : "", "family" : "Caterina", "given" : "Raffaele", "non-dropping-particle" : "De", "parse-names" : false, "suffix" : "" }, { "dropping-particle" : "", "family" : "Savelieva", "given" : "Irene", "non-dropping-particle" : "", "parse-names" : false, "suffix" : "" }, { "dropping-particle" : "", "family" : "Atar", "given" : "Dan", "non-dropping-particle" : "", "parse-names" : false, "suffix" : "" }, { "dropping-particle" : "", "family" : "Hohnloser", "given" : "Stefan H", "non-dropping-particle" : "", "parse-names" : false, "suffix" : "" }, { "dropping-particle" : "", "family" : "Hindricks", "given" : "Gerhard", "non-dropping-particle" : "", "parse-names" : false, "suffix" : "" }, { "dropping-particle" : "", "family" : "Kirchhof", "given" : "Paulus", "non-dropping-particle" : "", "parse-names" : false, "suffix" : "" }, { "dropping-particle" : "", "family" : "Bax", "given" : "Jeroen J", "non-dropping-particle" : "", "parse-names" : false, "suffix" : "" }, { "dropping-particle" : "", "family" : "Baumgartner", "given" : "Helmut", "non-dropping-particle" : "", "parse-names" : false, "suffix" : "" }, { "dropping-particle" : "", "family" : "Ceconi", "given" : "Claudio", "non-dropping-particle" : "", "parse-names" : false, "suffix" : "" }, { "dropping-particle" : "", "family" : "Dean", "given" : "Veronica", "non-dropping-particle" : "", "parse-names" : false, "suffix" : "" }, { "dropping-particle" : "", "family" : "Deaton", "given" : "Christi", "non-dropping-particle" : "", "parse-names" : false, "suffix" : "" }, { "dropping-particle" : "", "family" : "Fagard", "given" : "Robert", "non-dropping-particle" : "", "parse-names" : false, "suffix" : "" }, { "dropping-particle" : "", "family" : "Funck-Brentano", "given" : "Christian", "non-dropping-particle" : "", "parse-names" : false, "suffix" : "" }, { "dropping-particle" : "", "family" : "Hasdai", "given" : "David", "non-dropping-particle" : "", "parse-names" : false, "suffix" : "" }, { "dropping-particle" : "", "family" : "Hoes", "given" : "Arno", "non-dropping-particle" : "", "parse-names" : false, "suffix" : "" }, { "dropping-particle" : "", "family" : "Knuuti", "given" : "Juhani", "non-dropping-particle" : "", "parse-names" : false, "suffix" : "" }, { "dropping-particle" : "", "family" : "Kolh", "given" : "Philippe", "non-dropping-particle" : "", "parse-names" : false, "suffix" : "" }, { "dropping-particle" : "", "family" : "McDonagh", "given" : "Theresa", "non-dropping-particle" : "", "parse-names" : false, "suffix" : "" }, { "dropping-particle" : "", "family" : "Moulin", "given" : "Cyril", "non-dropping-particle" : "", "parse-names" : false, "suffix" : "" }, { "dropping-particle" : "", "family" : "Popescu", "given" : "Bogdan A", "non-dropping-particle" : "", "parse-names" : false, "suffix" : "" }, { "dropping-particle" : "", "family" : "Reiner", "given" : "Zeljko", "non-dropping-particle" : "", "parse-names" : false, "suffix" : "" }, { "dropping-particle" : "", "family" : "Sechtem", "given" : "Udo", "non-dropping-particle" : "", "parse-names" : false, "suffix" : "" }, { "dropping-particle" : "", "family" : "Sirnes", "given" : "Per Anton", "non-dropping-particle" : "", "parse-names" : false, "suffix" : "" }, { "dropping-particle" : "", "family" : "Tendera", "given" : "Michal", "non-dropping-particle" : "", "parse-names" : false, "suffix" : "" }, { "dropping-particle" : "", "family" : "Torbicki", "given" : "Adam", "non-dropping-particle" : "", "parse-names" : false, "suffix" : "" }, { "dropping-particle" : "", "family" : "Vahanian", "given" : "Alec", "non-dropping-particle" : "", "parse-names" : false, "suffix" : "" }, { "dropping-particle" : "", "family" : "Windecker", "given" : "Stephan", "non-dropping-particle" : "", "parse-names" : false, "suffix" : "" }, { "dropping-particle" : "", "family" : "Vardas", "given" : "Panos", "non-dropping-particle" : "", "parse-names" : false, "suffix" : "" }, { "dropping-particle" : "", "family" : "Al-Attar", "given" : "Nawwar", "non-dropping-particle" : "", "parse-names" : false, "suffix" : "" }, { "dropping-particle" : "", "family" : "Alfieri", "given" : "Ottavio", "non-dropping-particle" : "", "parse-names" : false, "suffix" : "" }, { "dropping-particle" : "", "family" : "Angelini", "given" : "Annalisa", "non-dropping-particle" : "", "parse-names" : false, "suffix" : "" }, { "dropping-particle" : "", "family" : "Bl\u00f6mstrom-Lundqvist", "given" : "Carina", "non-dropping-particle" : "", "parse-names" : false, "suffix" : "" }, { "dropping-particle" : "", "family" : "Colonna", "given" : "Paolo", "non-dropping-particle" : "", "parse-names" : false, "suffix" : "" }, { "dropping-particle" : "", "family" : "Sutter", "given" : "Johan", "non-dropping-particle" : "De", "parse-names" : false, "suffix" : "" }, { "dropping-particle" : "", "family" : "Ernst", "given" : "Sabine", "non-dropping-particle" : "", "parse-names" : false, "suffix" : "" }, { "dropping-particle" : "", "family" : "Goette", "given" : "Andreas", "non-dropping-particle" : "", "parse-names" : false, "suffix" : "" }, { "dropping-particle" : "", "family" : "Gorenek", "given" : "Bulent", "non-dropping-particle" : "", "parse-names" : false, "suffix" : "" }, { "dropping-particle" : "", "family" : "Hatala", "given" : "Robert", "non-dropping-particle" : "", "parse-names" : false, "suffix" : "" }, { "dropping-particle" : "", "family" : "Heidb\u00fcchel", "given" : "Hein", "non-dropping-particle" : "", "parse-names" : false, "suffix" : "" }, { "dropping-particle" : "", "family" : "Heldal", "given" : "Magnus", "non-dropping-particle" : "", "parse-names" : false, "suffix" : "" }, { "dropping-particle" : "", "family" : "Kristensen", "given" : "Steen Dalby", "non-dropping-particle" : "", "parse-names" : false, "suffix" : "" }, { "dropping-particle" : "", "family" : "Heuzey", "given" : "Jean-Yves", "non-dropping-particle" : "Le", "parse-names" : false, "suffix" : "" }, { "dropping-particle" : "", "family" : "Mavrakis", "given" : "Hercules", "non-dropping-particle" : "", "parse-names" : false, "suffix" : "" }, { "dropping-particle" : "", "family" : "Mont", "given" : "Llu\u00eds", "non-dropping-particle" : "", "parse-names" : false, "suffix" : "" }, { "dropping-particle" : "", "family" : "Filardi", "given" : "Pasquale Perrone", "non-dropping-particle" : "", "parse-names" : false, "suffix" : "" }, { "dropping-particle" : "", "family" : "Ponikowski", "given" : "Piotr", "non-dropping-particle" : "", "parse-names" : false, "suffix" : "" }, { "dropping-particle" : "", "family" : "Prendergast", "given" : "Bernard", "non-dropping-particle" : "", "parse-names" : false, "suffix" : "" }, { "dropping-particle" : "", "family" : "Rutten", "given" : "Frans H", "non-dropping-particle" : "", "parse-names" : false, "suffix" : "" }, { "dropping-particle" : "", "family" : "Schotten", "given" : "Ulrich", "non-dropping-particle" : "", "parse-names" : false, "suffix" : "" }, { "dropping-particle" : "", "family" : "Gelder", "given" : "Isabelle C", "non-dropping-particle" : "Van", "parse-names" : false, "suffix" : "" }, { "dropping-particle" : "", "family" : "Verheugt", "given" : "Freek W A", "non-dropping-particle" : "", "parse-names" : false, "suffix" : "" } ], "container-title" : "European heart journal", "id" : "ITEM-2", "issued" : { "date-parts" : [ [ "2012", "8", "24" ] ] }, "title" : "2012 focused update of the ESC Guidelines for the management of atrial fibrillation: An update of the 2010 ESC Guidelines for the management of atrial fibrillation * Developed with the special contribution of the European Heart Rhythm Association.", "type" : "article-journal" }, "uris" : [ "http://www.mendeley.com/documents/?uuid=b1c54c22-03a5-4544-aad4-168ae22402e0" ] }, { "id" : "ITEM-3", "itemData" : { "DOI" : "chest.09-1584 [pii]\n10.1378/chest.09-1584", "ISBN" : "1931-3543 (Electronic)\n0012-3692 (Linking)", "abstract" : "BACKGROUND: Contemporary clinical risk stratification schemata for predicting stroke and thromboembolism (TE) in patients with atrial fibrillation (AF) are largely derived from risk factors identified from trial cohorts. Thus, many potential risk factors have not been included. METHODS: We refined the 2006 Birmingham/National Institute for Health and Clinical Excellence (NICE) stroke risk stratification schema into a risk factor-based approach by reclassifying and/or incorporating additional new risk factors where relevant. This schema was then compared with existing stroke risk stratification schema in a real-world cohort of patients with AF (n = 1,084) from the Euro Heart Survey for AF. RESULTS: Risk categorization differed widely between the different schemes compared. Patients classified as high risk ranged from 10.2% with the Framingham schema to 75.7% with the Birmingham 2009 schema. The classic CHADS(2) (Congestive heart failure, Hypertension, Age &gt; 75, Diabetes, prior Stroke/transient ischemic attack) schema categorized the largest proportion (61.9%) into the intermediate-risk strata, whereas the Birmingham 2009 schema classified 15.1% into this category. The Birmingham 2009 schema classified only 9.2% as low risk, whereas the Framingham scheme categorized 48.3% as low risk. Calculated C-statistics suggested modest predictive value of all schema for TE. The Birmingham 2009 schema fared marginally better (C-statistic, 0.606) than CHADS(2). However, those classified as low risk by the Birmingham 2009 and NICE schema were truly low risk with no TE events recorded, whereas TE events occurred in 1.4% of low-risk CHADS(2) subjects. When expressed as a scoring system, the Birmingham 2009 schema (CHA(2)DS(2)-VASc acronym) showed an increase in TE rate with increasing scores (P value for trend = .003). CONCLUSIONS: Our novel, simple stroke risk stratification schema, based on a risk factor approach, provides some improvement in predictive value for TE over the CHADS(2) schema, with low event rates in low-risk subjects and the classification of only a small proportion of subjects into the intermediate-risk category. This schema could improve our approach to stroke risk stratification in patients with AF.", "author" : [ { "dropping-particle" : "", "family" : "Lip", "given" : "G Y", "non-dropping-particle" : "", "parse-names" : false, "suffix" : "" }, { "dropping-particle" : "", "family" : "Nieuwlaat", "given" : "R", "non-dropping-particle" : "", "parse-names" : false, "suffix" : "" }, { "dropping-particle" : "", "family" : "Pisters", "given" : "R", "non-dropping-particle" : "", "parse-names" : false, "suffix" : "" }, { "dropping-particle" : "", "family" : "Lane", "given" : "D A", "non-dropping-particle" : "", "parse-names" : false, "suffix" : "" }, { "dropping-particle" : "", "family" : "Crijns", "given" : "H J", "non-dropping-particle" : "", "parse-names" : false, "suffix" : "" } ], "container-title" : "Chest", "edition" : "2009/09/19", "id" : "ITEM-3", "issue" : "2", "issued" : { "date-parts" : [ [ "2010" ] ] }, "note" : "Lip, Gregory Y H\nNieuwlaat, Robby\nPisters, Ron\nLane, Deirdre A\nCrijns, Harry J G M\nComparative Study\nMulticenter Study\nResearch Support, Non-U.S. Gov't\nUnited States\nChest\nChest. 2010 Feb;137(2):263-72. Epub 2009 Sep 17.", "page" : "263-272", "title" : "Refining clinical risk stratification for predicting stroke and thromboembolism in atrial fibrillation using a novel risk factor-based approach: the euro heart survey on atrial fibrillation", "type" : "article-journal", "volume" : "137" }, "uris" : [ "http://www.mendeley.com/documents/?uuid=92bcf70e-0108-4a10-8609-688b47a2f142" ] }, { "id" : "ITEM-4", "itemData" : { "DOI" : "10.1136/bmj.d124", "author" : [ { "dropping-particle" : "", "family" : "Olesen", "given" : "J. B.", "non-dropping-particle" : "", "parse-names" : false, "suffix" : "" }, { "dropping-particle" : "", "family" : "Lip", "given" : "G. Y. H.", "non-dropping-particle" : "", "parse-names" : false, "suffix" : "" }, { "dropping-particle" : "", "family" : "Hansen", "given" : "M. L.", "non-dropping-particle" : "", "parse-names" : false, "suffix" : "" }, { "dropping-particle" : "", "family" : "Hansen", "given" : "P. R.", "non-dropping-particle" : "", "parse-names" : false, "suffix" : "" }, { "dropping-particle" : "", "family" : "Tolstrup", "given" : "J. S.", "non-dropping-particle" : "", "parse-names" : false, "suffix" : "" }, { "dropping-particle" : "", "family" : "Lindhardsen", "given" : "J.", "non-dropping-particle" : "", "parse-names" : false, "suffix" : "" }, { "dropping-particle" : "", "family" : "Selmer", "given" : "C.", "non-dropping-particle" : "", "parse-names" : false, "suffix" : "" }, { "dropping-particle" : "", "family" : "Ahlehoff", "given" : "O.", "non-dropping-particle" : "", "parse-names" : false, "suffix" : "" }, { "dropping-particle" : "", "family" : "Olsen", "given" : "A.-M. S.", "non-dropping-particle" : "", "parse-names" : false, "suffix" : "" }, { "dropping-particle" : "", "family" : "Gislason", "given" : "G. H.", "non-dropping-particle" : "", "parse-names" : false, "suffix" : "" }, { "dropping-particle" : "", "family" : "Torp-Pedersen", "given" : "C.", "non-dropping-particle" : "", "parse-names" : false, "suffix" : "" } ], "container-title" : "BMJ", "id" : "ITEM-4", "issue" : "jan31 1", "issued" : { "date-parts" : [ [ "2011", "1", "31" ] ] }, "page" : "d124-d124", "title" : "Validation of risk stratification schemes for predicting stroke and thromboembolism in patients with atrial fibrillation: nationwide cohort study", "type" : "article-journal", "volume" : "342" }, "uris" : [ "http://www.mendeley.com/documents/?uuid=e7acb522-90d8-4de8-b521-91eaca2b57fc" ] } ], "mendeley" : { "previouslyFormattedCitation" : "[3,4,17,18]" }, "properties" : { "noteIndex" : 0 }, "schema" : "https://github.com/citation-style-language/schema/raw/master/csl-citation.json" }</w:instrText>
      </w:r>
      <w:r w:rsidR="00584E3F">
        <w:fldChar w:fldCharType="separate"/>
      </w:r>
      <w:r w:rsidR="00B54241" w:rsidRPr="00B54241">
        <w:rPr>
          <w:noProof/>
        </w:rPr>
        <w:t>[3,4,17,18]</w:t>
      </w:r>
      <w:r w:rsidR="00584E3F">
        <w:fldChar w:fldCharType="end"/>
      </w:r>
      <w:r w:rsidR="00654FFC" w:rsidRPr="00064789">
        <w:t xml:space="preserve"> CHA</w:t>
      </w:r>
      <w:r w:rsidR="00654FFC" w:rsidRPr="00064789">
        <w:rPr>
          <w:vertAlign w:val="subscript"/>
        </w:rPr>
        <w:t>2</w:t>
      </w:r>
      <w:r w:rsidR="00654FFC" w:rsidRPr="00064789">
        <w:t>DS</w:t>
      </w:r>
      <w:r w:rsidR="00654FFC" w:rsidRPr="00064789">
        <w:rPr>
          <w:vertAlign w:val="subscript"/>
        </w:rPr>
        <w:t>2</w:t>
      </w:r>
      <w:r w:rsidR="00654FFC" w:rsidRPr="00064789">
        <w:t xml:space="preserve">-VASc was not used in these analyses as the recent NICE recommendations for the use of </w:t>
      </w:r>
      <w:proofErr w:type="spellStart"/>
      <w:r w:rsidR="00654FFC" w:rsidRPr="00064789">
        <w:t>dabigatran</w:t>
      </w:r>
      <w:proofErr w:type="spellEnd"/>
      <w:r w:rsidR="00654FFC" w:rsidRPr="00064789">
        <w:t xml:space="preserve"> and </w:t>
      </w:r>
      <w:proofErr w:type="spellStart"/>
      <w:r w:rsidR="00654FFC" w:rsidRPr="00064789">
        <w:t>rivaroxaban</w:t>
      </w:r>
      <w:proofErr w:type="spellEnd"/>
      <w:r w:rsidR="00654FFC" w:rsidRPr="00064789">
        <w:t xml:space="preserve"> both map onto specific CHADS</w:t>
      </w:r>
      <w:r w:rsidR="00654FFC" w:rsidRPr="00064789">
        <w:rPr>
          <w:vertAlign w:val="subscript"/>
        </w:rPr>
        <w:t>2</w:t>
      </w:r>
      <w:r w:rsidR="00654FFC" w:rsidRPr="00064789">
        <w:t xml:space="preserve"> risk scores, but not specific CHA</w:t>
      </w:r>
      <w:r w:rsidR="00654FFC" w:rsidRPr="00064789">
        <w:rPr>
          <w:vertAlign w:val="subscript"/>
        </w:rPr>
        <w:t>2</w:t>
      </w:r>
      <w:r w:rsidR="00654FFC" w:rsidRPr="00064789">
        <w:t>DS</w:t>
      </w:r>
      <w:r w:rsidR="00654FFC" w:rsidRPr="00064789">
        <w:rPr>
          <w:vertAlign w:val="subscript"/>
        </w:rPr>
        <w:t>2</w:t>
      </w:r>
      <w:r w:rsidR="00654FFC" w:rsidRPr="00064789">
        <w:t>-VASc risk scores.</w:t>
      </w:r>
      <w:r w:rsidR="00DB7C63" w:rsidRPr="00064789">
        <w:t xml:space="preserve"> </w:t>
      </w:r>
      <w:r w:rsidR="002F05E5" w:rsidRPr="00064789">
        <w:fldChar w:fldCharType="begin" w:fldLock="1"/>
      </w:r>
      <w:r w:rsidR="00B54241">
        <w:instrText>ADDIN CSL_CITATION { "citationItems" : [ { "id" : "ITEM-1", "itemData" : { "URL" : "http://www.nice.org.uk/nicemedia/live/13677/58470/58470.pdf", "accessed" : { "date-parts" : [ [ "2012", "9", "28" ] ] }, "author" : [ { "dropping-particle" : "", "family" : "NICE", "given" : "", "non-dropping-particle" : "", "parse-names" : false, "suffix" : "" } ], "container-title" : "NICE technology appraisal guidance 249", "id" : "ITEM-1", "issued" : { "date-parts" : [ [ "2012" ] ] }, "title" : "Dabigatran etexilate for the prevention of stroke and systemic embolism in atrial fibrillation", "type" : "webpage" }, "uris" : [ "http://www.mendeley.com/documents/?uuid=1f78d015-fd6c-4f3b-b09e-077ac1e728f2" ] }, { "id" : "ITEM-2", "itemData" : { "URL" : "http://www.nice.org.uk/nicemedia/live/13746/59295/59295.pdf", "accessed" : { "date-parts" : [ [ "2012", "9", "28" ] ] }, "author" : [ { "dropping-particle" : "", "family" : "NICE", "given" : "", "non-dropping-particle" : "", "parse-names" : false, "suffix" : "" } ], "container-title" : "NICE technology appraisal guidance 256", "id" : "ITEM-2", "issued" : { "date-parts" : [ [ "2012" ] ] }, "title" : "Rivaroxaban for the prevention of stroke and systemic embolism in people with atrial fibrillation", "type" : "webpage" }, "uris" : [ "http://www.mendeley.com/documents/?uuid=86ddf2af-d98e-4b46-8879-5fa584445e05" ] } ], "mendeley" : { "previouslyFormattedCitation" : "[11,12]" }, "properties" : { "noteIndex" : 0 }, "schema" : "https://github.com/citation-style-language/schema/raw/master/csl-citation.json" }</w:instrText>
      </w:r>
      <w:r w:rsidR="002F05E5" w:rsidRPr="00064789">
        <w:fldChar w:fldCharType="separate"/>
      </w:r>
      <w:r w:rsidR="00B54241" w:rsidRPr="00B54241">
        <w:rPr>
          <w:noProof/>
        </w:rPr>
        <w:t>[11,12]</w:t>
      </w:r>
      <w:r w:rsidR="002F05E5" w:rsidRPr="00064789">
        <w:fldChar w:fldCharType="end"/>
      </w:r>
      <w:r w:rsidR="00654FFC" w:rsidRPr="00064789">
        <w:t xml:space="preserve"> </w:t>
      </w:r>
      <w:proofErr w:type="gramStart"/>
      <w:r w:rsidR="00E36870" w:rsidRPr="00064789">
        <w:t>The</w:t>
      </w:r>
      <w:proofErr w:type="gramEnd"/>
      <w:r w:rsidR="00E36870" w:rsidRPr="00064789">
        <w:t xml:space="preserve"> dose of </w:t>
      </w:r>
      <w:proofErr w:type="spellStart"/>
      <w:r w:rsidR="00E36870" w:rsidRPr="00064789">
        <w:t>dabigatran</w:t>
      </w:r>
      <w:proofErr w:type="spellEnd"/>
      <w:r w:rsidR="00E36870" w:rsidRPr="00064789">
        <w:t xml:space="preserve"> was </w:t>
      </w:r>
      <w:r w:rsidR="006C6A8E" w:rsidRPr="00064789">
        <w:t>fixed</w:t>
      </w:r>
      <w:r w:rsidR="00E36870" w:rsidRPr="00064789">
        <w:t xml:space="preserve"> at 150mg twice daily, rather than allowing some patients to receive a lower dose of 110mg twice </w:t>
      </w:r>
      <w:r w:rsidR="00407CD7" w:rsidRPr="00064789">
        <w:t>daily</w:t>
      </w:r>
      <w:r w:rsidR="004850ED" w:rsidRPr="00064789">
        <w:t>.</w:t>
      </w:r>
      <w:r w:rsidR="00407CD7" w:rsidRPr="00064789">
        <w:t xml:space="preserve"> </w:t>
      </w:r>
      <w:r w:rsidR="00E36870" w:rsidRPr="00064789">
        <w:t xml:space="preserve">The stroke risk associated with patients with </w:t>
      </w:r>
      <w:r w:rsidR="002148A0" w:rsidRPr="00064789">
        <w:t xml:space="preserve">LA ABN </w:t>
      </w:r>
      <w:r w:rsidR="006C6A8E" w:rsidRPr="00064789">
        <w:t xml:space="preserve">was </w:t>
      </w:r>
      <w:r w:rsidR="00E36870" w:rsidRPr="00064789">
        <w:t xml:space="preserve">assumed </w:t>
      </w:r>
      <w:r w:rsidR="00570EFD" w:rsidRPr="00064789">
        <w:t xml:space="preserve">not </w:t>
      </w:r>
      <w:r w:rsidR="00620AA2" w:rsidRPr="00064789">
        <w:t xml:space="preserve">to </w:t>
      </w:r>
      <w:r w:rsidR="00570EFD" w:rsidRPr="00064789">
        <w:t>change a</w:t>
      </w:r>
      <w:r w:rsidR="004850ED" w:rsidRPr="00064789">
        <w:t>s a patient ages</w:t>
      </w:r>
      <w:r w:rsidR="00407CD7" w:rsidRPr="00064789">
        <w:t>; i</w:t>
      </w:r>
      <w:r w:rsidR="00E36870" w:rsidRPr="00064789">
        <w:t>deally differential rates by age or by the number (and type) of abnormalities would be used but these data were not identified.</w:t>
      </w:r>
    </w:p>
    <w:p w:rsidR="00E36870" w:rsidRPr="00064789" w:rsidRDefault="000C4858" w:rsidP="008D3B31">
      <w:pPr>
        <w:spacing w:line="480" w:lineRule="auto"/>
      </w:pPr>
      <w:r w:rsidRPr="00064789">
        <w:t xml:space="preserve">Within the </w:t>
      </w:r>
      <w:r w:rsidR="00620AA2" w:rsidRPr="00064789">
        <w:t>study</w:t>
      </w:r>
      <w:r w:rsidRPr="00064789">
        <w:t xml:space="preserve"> used to </w:t>
      </w:r>
      <w:r w:rsidR="00C32E52" w:rsidRPr="00064789">
        <w:t xml:space="preserve">derive the </w:t>
      </w:r>
      <w:r w:rsidRPr="00064789">
        <w:t>s</w:t>
      </w:r>
      <w:r w:rsidR="00A11AEA" w:rsidRPr="00064789">
        <w:t>ensitivity and specificity of TT</w:t>
      </w:r>
      <w:r w:rsidRPr="00064789">
        <w:t xml:space="preserve">E, </w:t>
      </w:r>
      <w:proofErr w:type="spellStart"/>
      <w:r w:rsidRPr="00064789">
        <w:t>transoesophageal</w:t>
      </w:r>
      <w:proofErr w:type="spellEnd"/>
      <w:r w:rsidRPr="00064789">
        <w:t xml:space="preserve"> echocardiography (TOE), was </w:t>
      </w:r>
      <w:r w:rsidR="00F00EDF" w:rsidRPr="00064789">
        <w:t>assumed to be a perfect gold</w:t>
      </w:r>
      <w:r w:rsidRPr="00064789">
        <w:t xml:space="preserve"> standard</w:t>
      </w:r>
      <w:r w:rsidR="00C32E52" w:rsidRPr="00064789">
        <w:t>, and so our model also made this assumption.</w:t>
      </w:r>
      <w:r w:rsidRPr="00064789">
        <w:t xml:space="preserve"> </w:t>
      </w:r>
      <w:r w:rsidR="002F05E5" w:rsidRPr="00064789">
        <w:fldChar w:fldCharType="begin" w:fldLock="1"/>
      </w:r>
      <w:r w:rsidR="00B54241">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"dropping-particle" : "", "family" : "Providencia", "given" : "R", "non-dropping-particle" : "", "parse-names" : false, "suffix" : "" }, { "dropping-particle" : "", "family" : "Botelho", "given" : "A", "non-dropping-particle" : "", "parse-names" : false, "suffix" : "" }, { "dropping-particle" : "", "family" : "Trigo", "given" : "J", "non-dropping-particle" : "", "parse-names" : false, "suffix" : "" }, { "dropping-particle" : "", "family" : "Quintal", "given" : "N", "non-dropping-particle" : "", "parse-names" : false, "suffix" : "" }, { "dropping-particle" : "", "family" : "Nascimento", "given" : "J", "non-dropping-particle" : "", "parse-names" : false, "suffix" : "" }, { "dropping-particle" : "", "family" : "Mota", "given" : "P", "non-dropping-particle" : "", "parse-names" : false, "suffix" : "" }, { "dropping-particle" : "", "family" : "Leitao-Marques", "given" : "A", "non-dropping-particle" : "", "parse-names" : false, "suffix" : ""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"[6]" }, "properties" : { "noteIndex" : 0 }, "schema" : "https://github.com/citation-style-language/schema/raw/master/csl-citation.json" }</w:instrText>
      </w:r>
      <w:r w:rsidR="002F05E5" w:rsidRPr="00064789">
        <w:fldChar w:fldCharType="separate"/>
      </w:r>
      <w:r w:rsidR="00DF52E6" w:rsidRPr="00DF52E6">
        <w:rPr>
          <w:noProof/>
        </w:rPr>
        <w:t>[6]</w:t>
      </w:r>
      <w:r w:rsidR="002F05E5" w:rsidRPr="00064789">
        <w:fldChar w:fldCharType="end"/>
      </w:r>
      <w:r w:rsidRPr="00064789">
        <w:t xml:space="preserve"> </w:t>
      </w:r>
      <w:r w:rsidR="00F00EDF" w:rsidRPr="00064789">
        <w:t xml:space="preserve">Using TOE as the gold standard, </w:t>
      </w:r>
      <w:r w:rsidR="00407CD7" w:rsidRPr="00064789">
        <w:t>TTE was estimated to have a very high sensitivity but a specificity of only around 35</w:t>
      </w:r>
      <w:r w:rsidR="00620AA2" w:rsidRPr="00064789">
        <w:t xml:space="preserve"> </w:t>
      </w:r>
      <w:r w:rsidR="00407CD7" w:rsidRPr="00064789">
        <w:t xml:space="preserve">%. Within </w:t>
      </w:r>
      <w:r w:rsidR="00E36064" w:rsidRPr="00064789">
        <w:t xml:space="preserve">this </w:t>
      </w:r>
      <w:r w:rsidR="00407CD7" w:rsidRPr="00064789">
        <w:t>model, this low specificity results in</w:t>
      </w:r>
      <w:r w:rsidR="002148A0" w:rsidRPr="00064789">
        <w:t xml:space="preserve"> a considerable number of</w:t>
      </w:r>
      <w:r w:rsidR="00407CD7" w:rsidRPr="00064789">
        <w:t xml:space="preserve"> people effectively experiencing </w:t>
      </w:r>
      <w:r w:rsidR="006C6A8E" w:rsidRPr="00064789">
        <w:t xml:space="preserve">comparable </w:t>
      </w:r>
      <w:r w:rsidR="00407CD7" w:rsidRPr="00064789">
        <w:t xml:space="preserve">risks of bleed without </w:t>
      </w:r>
      <w:r w:rsidR="00D20CA0" w:rsidRPr="00064789">
        <w:t xml:space="preserve">the </w:t>
      </w:r>
      <w:r w:rsidR="00407CD7" w:rsidRPr="00064789">
        <w:t>increased benefits in terms of stroke risk reduction</w:t>
      </w:r>
      <w:r w:rsidR="00812600">
        <w:t xml:space="preserve"> that is</w:t>
      </w:r>
      <w:r w:rsidR="00D20CA0" w:rsidRPr="00064789">
        <w:t xml:space="preserve"> </w:t>
      </w:r>
      <w:r w:rsidR="00620AA2" w:rsidRPr="00064789">
        <w:t>estimated</w:t>
      </w:r>
      <w:r w:rsidR="00D20CA0" w:rsidRPr="00064789">
        <w:t xml:space="preserve"> in patients</w:t>
      </w:r>
      <w:r w:rsidR="00620AA2" w:rsidRPr="00064789">
        <w:t xml:space="preserve"> with a higher risk of stroke</w:t>
      </w:r>
      <w:r w:rsidR="00407CD7" w:rsidRPr="00064789">
        <w:t xml:space="preserve">. </w:t>
      </w:r>
      <w:r w:rsidR="00B24433" w:rsidRPr="00064789">
        <w:t xml:space="preserve">If TTE were found to be superior to TOE at identifying certain types of ABN which expose patients to increased stroke risks, then </w:t>
      </w:r>
      <w:r w:rsidR="00E36064" w:rsidRPr="00064789">
        <w:t>the true benefits of TTE in improving patient management would be underestimated</w:t>
      </w:r>
      <w:r w:rsidR="00B24433" w:rsidRPr="00064789">
        <w:t xml:space="preserve">. </w:t>
      </w:r>
      <w:r w:rsidR="00407CD7" w:rsidRPr="00064789">
        <w:t xml:space="preserve"> </w:t>
      </w:r>
      <w:r w:rsidR="00620AA2" w:rsidRPr="00064789">
        <w:t xml:space="preserve">The study used to derive sensitivity and specificity was relatively small, of fewer than 400 patients, and </w:t>
      </w:r>
      <w:r w:rsidR="00C32E52" w:rsidRPr="00064789">
        <w:t xml:space="preserve">also formed the basis of our estimates of the TPHR.  </w:t>
      </w:r>
      <w:r w:rsidR="002F05E5" w:rsidRPr="00064789">
        <w:fldChar w:fldCharType="begin" w:fldLock="1"/>
      </w:r>
      <w:r w:rsidR="00B54241">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"dropping-particle" : "", "family" : "Providencia", "given" : "R", "non-dropping-particle" : "", "parse-names" : false, "suffix" : "" }, { "dropping-particle" : "", "family" : "Botelho", "given" : "A", "non-dropping-particle" : "", "parse-names" : false, "suffix" : "" }, { "dropping-particle" : "", "family" : "Trigo", "given" : "J", "non-dropping-particle" : "", "parse-names" : false, "suffix" : "" }, { "dropping-particle" : "", "family" : "Quintal", "given" : "N", "non-dropping-particle" : "", "parse-names" : false, "suffix" : "" }, { "dropping-particle" : "", "family" : "Nascimento", "given" : "J", "non-dropping-particle" : "", "parse-names" : false, "suffix" : "" }, { "dropping-particle" : "", "family" : "Mota", "given" : "P", "non-dropping-particle" : "", "parse-names" : false, "suffix" : "" }, { "dropping-particle" : "", "family" : "Leitao-Marques", "given" : "A", "non-dropping-particle" : "", "parse-names" : false, "suffix" : ""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"[6]" }, "properties" : { "noteIndex" : 0 }, "schema" : "https://github.com/citation-style-language/schema/raw/master/csl-citation.json" }</w:instrText>
      </w:r>
      <w:r w:rsidR="002F05E5" w:rsidRPr="00064789">
        <w:fldChar w:fldCharType="separate"/>
      </w:r>
      <w:r w:rsidR="00DF52E6" w:rsidRPr="00DF52E6">
        <w:rPr>
          <w:noProof/>
        </w:rPr>
        <w:t>[6]</w:t>
      </w:r>
      <w:r w:rsidR="002F05E5" w:rsidRPr="00064789">
        <w:fldChar w:fldCharType="end"/>
      </w:r>
      <w:r w:rsidR="00F00EDF" w:rsidRPr="00064789">
        <w:t xml:space="preserve">  </w:t>
      </w:r>
      <w:r w:rsidR="00E36870" w:rsidRPr="00064789">
        <w:t>This has made the assessment of the benefits of TTE uncertain</w:t>
      </w:r>
      <w:r w:rsidR="00654FFC" w:rsidRPr="00064789">
        <w:t>.</w:t>
      </w:r>
      <w:r w:rsidR="00B56A7D" w:rsidRPr="00064789">
        <w:t xml:space="preserve"> </w:t>
      </w:r>
      <w:r w:rsidR="00570EFD" w:rsidRPr="00064789">
        <w:t xml:space="preserve">A further </w:t>
      </w:r>
      <w:r w:rsidR="00B56A7D" w:rsidRPr="00064789">
        <w:t xml:space="preserve">limitation is that </w:t>
      </w:r>
      <w:r w:rsidR="00B24433" w:rsidRPr="00064789">
        <w:t>t</w:t>
      </w:r>
      <w:r w:rsidR="00E36870" w:rsidRPr="00064789">
        <w:t xml:space="preserve">he risk of death </w:t>
      </w:r>
      <w:r w:rsidR="00E36870" w:rsidRPr="00064789">
        <w:lastRenderedPageBreak/>
        <w:t xml:space="preserve">unrelated to bleeding or stroke events was taken from </w:t>
      </w:r>
      <w:proofErr w:type="spellStart"/>
      <w:r w:rsidR="00E36870" w:rsidRPr="00064789">
        <w:t>lifetables</w:t>
      </w:r>
      <w:proofErr w:type="spellEnd"/>
      <w:r w:rsidR="00E36870" w:rsidRPr="00064789">
        <w:t xml:space="preserve"> and were not adjusted for the probability of bleeding or stroke mortality</w:t>
      </w:r>
      <w:r w:rsidR="00654FFC" w:rsidRPr="00064789">
        <w:t>.</w:t>
      </w:r>
      <w:r w:rsidR="002148A0" w:rsidRPr="00064789">
        <w:t xml:space="preserve"> </w:t>
      </w:r>
      <w:r w:rsidR="0009234A" w:rsidRPr="00064789">
        <w:fldChar w:fldCharType="begin" w:fldLock="1"/>
      </w:r>
      <w:r w:rsidR="00B54241">
        <w:instrText>ADDIN CSL_CITATION { "citationItems" : [ { "id" : "ITEM-1", "itemData" : { "author" : [ { "dropping-particle" : "", "family" : "ONS", "given" : "", "non-dropping-particle" : "", "parse-names" : false, "suffix" : "" } ], "id" : "ITEM-1", "issue" : "12 January", "issued" : { "date-parts" : [ [ "2011" ] ] }, "publisher" : "ONS", "publisher-place" : "Cardiff", "title" : "Interim Life Tables", "type" : "article", "volume" : "2012" }, "uris" : [ "http://www.mendeley.com/documents/?uuid=259139d0-3b10-43e3-97d9-041d472bd4a9" ] } ], "mendeley" : { "previouslyFormattedCitation" : "[19]" }, "properties" : { "noteIndex" : 0 }, "schema" : "https://github.com/citation-style-language/schema/raw/master/csl-citation.json" }</w:instrText>
      </w:r>
      <w:r w:rsidR="0009234A" w:rsidRPr="00064789">
        <w:fldChar w:fldCharType="separate"/>
      </w:r>
      <w:r w:rsidR="00B54241" w:rsidRPr="00B54241">
        <w:rPr>
          <w:noProof/>
        </w:rPr>
        <w:t>[19]</w:t>
      </w:r>
      <w:r w:rsidR="0009234A" w:rsidRPr="00064789">
        <w:fldChar w:fldCharType="end"/>
      </w:r>
    </w:p>
    <w:p w:rsidR="004850ED" w:rsidRPr="00064789" w:rsidRDefault="004850ED" w:rsidP="008D3B31">
      <w:pPr>
        <w:spacing w:line="480" w:lineRule="auto"/>
      </w:pPr>
      <w:r w:rsidRPr="00064789">
        <w:t xml:space="preserve">A key uncertainty is whether there are </w:t>
      </w:r>
      <w:r w:rsidR="006C6A8E" w:rsidRPr="00064789">
        <w:t xml:space="preserve">incidental </w:t>
      </w:r>
      <w:r w:rsidRPr="00064789">
        <w:t>benefits that are accrued from a TTE other than identifying</w:t>
      </w:r>
      <w:r w:rsidR="00253316" w:rsidRPr="00064789">
        <w:t xml:space="preserve"> some forms of</w:t>
      </w:r>
      <w:r w:rsidRPr="00064789">
        <w:t xml:space="preserve"> ABN. If these exist, and produce even small net QALY gains (&gt; 0.0033) then TTE would be cost effective in all scenarios</w:t>
      </w:r>
      <w:r w:rsidR="00621BC9" w:rsidRPr="00064789">
        <w:t>, assuming a cost of £66 per test</w:t>
      </w:r>
      <w:r w:rsidRPr="00064789">
        <w:t xml:space="preserve">. </w:t>
      </w:r>
      <w:r w:rsidR="006C6A8E" w:rsidRPr="00064789">
        <w:fldChar w:fldCharType="begin" w:fldLock="1"/>
      </w:r>
      <w:r w:rsidR="00B54241">
        <w:instrText>ADDIN CSL_CITATION { "citationItems" : [ { "id" : "ITEM-1", "itemData" : { "author" : [ { "dropping-particle" : "", "family" : "DoH", "given" : "", "non-dropping-particle" : "", "parse-names" : false, "suffix" : "" } ], "id" : "ITEM-1", "issue" : "12 January", "issued" : { "date-parts" : [ [ "2011" ] ] }, "publisher" : "Crown", "publisher-place" : "London", "title" : "NHS Reference Costs 2009-2010", "type" : "article", "volume" : "2012" }, "uris" : [ "http://www.mendeley.com/documents/?uuid=83ecf639-a58b-4bc0-9392-407007d1467d" ] } ], "mendeley" : { "previouslyFormattedCitation" : "[20]" }, "properties" : { "noteIndex" : 0 }, "schema" : "https://github.com/citation-style-language/schema/raw/master/csl-citation.json" }</w:instrText>
      </w:r>
      <w:r w:rsidR="006C6A8E" w:rsidRPr="00064789">
        <w:fldChar w:fldCharType="separate"/>
      </w:r>
      <w:r w:rsidR="00B54241" w:rsidRPr="00B54241">
        <w:rPr>
          <w:noProof/>
        </w:rPr>
        <w:t>[20]</w:t>
      </w:r>
      <w:r w:rsidR="006C6A8E" w:rsidRPr="00064789">
        <w:fldChar w:fldCharType="end"/>
      </w:r>
      <w:r w:rsidR="00A84F79" w:rsidRPr="00064789">
        <w:t xml:space="preserve"> </w:t>
      </w:r>
      <w:r w:rsidR="00F00EDF" w:rsidRPr="00064789">
        <w:t>As</w:t>
      </w:r>
      <w:r w:rsidR="00120CC0">
        <w:t xml:space="preserve"> </w:t>
      </w:r>
      <w:r w:rsidR="00B54241">
        <w:fldChar w:fldCharType="begin"/>
      </w:r>
      <w:r w:rsidR="00B54241">
        <w:instrText xml:space="preserve"> REF _Ref335141468 \h </w:instrText>
      </w:r>
      <w:r w:rsidR="00B54241">
        <w:fldChar w:fldCharType="separate"/>
      </w:r>
      <w:r w:rsidR="00B66501" w:rsidRPr="0031099C">
        <w:t xml:space="preserve">Table </w:t>
      </w:r>
      <w:r w:rsidR="00B66501">
        <w:rPr>
          <w:noProof/>
        </w:rPr>
        <w:t>3</w:t>
      </w:r>
      <w:r w:rsidR="00B54241">
        <w:fldChar w:fldCharType="end"/>
      </w:r>
      <w:r w:rsidR="00F00EDF" w:rsidRPr="00064789">
        <w:t xml:space="preserve">b indicates, the structural sensitivity analyses for this scenario indicate that even a diagnostic strategy with a joint sensitivity </w:t>
      </w:r>
      <w:r w:rsidR="00D62831" w:rsidRPr="00064789">
        <w:t xml:space="preserve">of one and </w:t>
      </w:r>
      <w:r w:rsidR="00F00EDF" w:rsidRPr="00064789">
        <w:t xml:space="preserve">specificity of zero </w:t>
      </w:r>
      <w:r w:rsidR="00621BC9" w:rsidRPr="00064789">
        <w:t xml:space="preserve">(i.e. prescribing everyone with </w:t>
      </w:r>
      <w:r w:rsidR="002B0A3A" w:rsidRPr="00064789">
        <w:t>the OAC</w:t>
      </w:r>
      <w:r w:rsidR="00621BC9" w:rsidRPr="00064789">
        <w:t xml:space="preserve">) </w:t>
      </w:r>
      <w:r w:rsidR="00F00EDF" w:rsidRPr="00064789">
        <w:t>may be cost effective</w:t>
      </w:r>
      <w:r w:rsidR="002B0A3A" w:rsidRPr="00064789">
        <w:t xml:space="preserve"> compared with treating no</w:t>
      </w:r>
      <w:r w:rsidR="00E60AF4" w:rsidRPr="00064789">
        <w:t>-</w:t>
      </w:r>
      <w:r w:rsidR="002B0A3A" w:rsidRPr="00064789">
        <w:t>one</w:t>
      </w:r>
      <w:r w:rsidR="00F00EDF" w:rsidRPr="00064789">
        <w:t xml:space="preserve">. The implications of this result </w:t>
      </w:r>
      <w:r w:rsidR="00D62831" w:rsidRPr="00064789">
        <w:t>require further research</w:t>
      </w:r>
      <w:r w:rsidR="00F00EDF" w:rsidRPr="00064789">
        <w:t xml:space="preserve">. </w:t>
      </w:r>
    </w:p>
    <w:p w:rsidR="0005390C" w:rsidRPr="00064789" w:rsidRDefault="0005390C" w:rsidP="003378D6">
      <w:pPr>
        <w:pStyle w:val="Heading2"/>
        <w:numPr>
          <w:ilvl w:val="0"/>
          <w:numId w:val="0"/>
        </w:numPr>
      </w:pPr>
      <w:r w:rsidRPr="00064789">
        <w:t>Implications for Research</w:t>
      </w:r>
    </w:p>
    <w:p w:rsidR="0061601D" w:rsidRPr="00064789" w:rsidRDefault="00F00EDF" w:rsidP="008D3B31">
      <w:pPr>
        <w:spacing w:line="480" w:lineRule="auto"/>
      </w:pPr>
      <w:r w:rsidRPr="00064789">
        <w:t xml:space="preserve">For some scenarios </w:t>
      </w:r>
      <w:r w:rsidR="00C46C92" w:rsidRPr="00064789">
        <w:t xml:space="preserve">the </w:t>
      </w:r>
      <w:r w:rsidR="00D20CA0" w:rsidRPr="00064789">
        <w:t xml:space="preserve">cost effectiveness estimates generated by the model </w:t>
      </w:r>
      <w:r w:rsidR="00C46C92" w:rsidRPr="00064789">
        <w:t xml:space="preserve">depend </w:t>
      </w:r>
      <w:r w:rsidR="00903CA6" w:rsidRPr="00064789">
        <w:t>heavily</w:t>
      </w:r>
      <w:r w:rsidR="00C46C92" w:rsidRPr="00064789">
        <w:t xml:space="preserve"> on </w:t>
      </w:r>
      <w:r w:rsidR="00CB6661" w:rsidRPr="00064789">
        <w:t xml:space="preserve">sensitivity and specificity </w:t>
      </w:r>
      <w:r w:rsidR="00903CA6" w:rsidRPr="00064789">
        <w:t>estimates</w:t>
      </w:r>
      <w:r w:rsidR="00CB6661" w:rsidRPr="00064789">
        <w:t xml:space="preserve">, as well as the </w:t>
      </w:r>
      <w:r w:rsidR="00903CA6" w:rsidRPr="00064789">
        <w:t>true proportion of genuinely high risk (ABN</w:t>
      </w:r>
      <w:r w:rsidR="00FB3E31" w:rsidRPr="00064789">
        <w:t xml:space="preserve"> </w:t>
      </w:r>
      <w:r w:rsidR="00A84F79" w:rsidRPr="00064789">
        <w:t>that can be detected by TTE</w:t>
      </w:r>
      <w:r w:rsidR="00903CA6" w:rsidRPr="00064789">
        <w:t xml:space="preserve">) patients </w:t>
      </w:r>
      <w:r w:rsidR="00FB3E31" w:rsidRPr="00064789">
        <w:t xml:space="preserve">in </w:t>
      </w:r>
      <w:r w:rsidR="00D20CA0" w:rsidRPr="00064789">
        <w:t>this sub-</w:t>
      </w:r>
      <w:r w:rsidR="0061601D" w:rsidRPr="00064789">
        <w:t>population of apparently ‘low risk’ patients</w:t>
      </w:r>
      <w:r w:rsidR="00903CA6" w:rsidRPr="00064789">
        <w:t>.</w:t>
      </w:r>
      <w:r w:rsidR="002857F0" w:rsidRPr="00064789">
        <w:t xml:space="preserve"> </w:t>
      </w:r>
      <w:r w:rsidR="004850ED" w:rsidRPr="00064789">
        <w:t>T</w:t>
      </w:r>
      <w:r w:rsidR="0061601D" w:rsidRPr="00064789">
        <w:t xml:space="preserve">he </w:t>
      </w:r>
      <w:r w:rsidR="002857F0" w:rsidRPr="00064789">
        <w:t xml:space="preserve">model depends strongly on data reported in a single, relatively small study conducted outside of the UK, and so may </w:t>
      </w:r>
      <w:r w:rsidR="00D20CA0" w:rsidRPr="00064789">
        <w:t>misrepresent</w:t>
      </w:r>
      <w:r w:rsidR="002857F0" w:rsidRPr="00064789">
        <w:t xml:space="preserve"> the true </w:t>
      </w:r>
      <w:r w:rsidR="00D20CA0" w:rsidRPr="00064789">
        <w:t xml:space="preserve">values of </w:t>
      </w:r>
      <w:r w:rsidR="00620AA2" w:rsidRPr="00064789">
        <w:t>these parameters</w:t>
      </w:r>
      <w:r w:rsidR="002857F0" w:rsidRPr="00064789">
        <w:t>.</w:t>
      </w:r>
      <w:r w:rsidR="00E36870" w:rsidRPr="00064789">
        <w:t xml:space="preserve"> </w:t>
      </w:r>
      <w:r w:rsidR="00736D21" w:rsidRPr="00064789">
        <w:t>Having a more robust source of evidence for these parameters</w:t>
      </w:r>
      <w:r w:rsidR="00A84F79" w:rsidRPr="00064789">
        <w:t>, with direct relevance to England and Wales,</w:t>
      </w:r>
      <w:r w:rsidR="00736D21" w:rsidRPr="00064789">
        <w:t xml:space="preserve"> is likely to significantly improve the accuracy of the mathematic</w:t>
      </w:r>
      <w:r w:rsidR="00A11AEA" w:rsidRPr="00064789">
        <w:t>al</w:t>
      </w:r>
      <w:r w:rsidR="00736D21" w:rsidRPr="00064789">
        <w:t xml:space="preserve"> models. </w:t>
      </w:r>
    </w:p>
    <w:p w:rsidR="004850ED" w:rsidRPr="00064789" w:rsidRDefault="00736D21" w:rsidP="008D3B31">
      <w:pPr>
        <w:spacing w:line="480" w:lineRule="auto"/>
      </w:pPr>
      <w:r w:rsidRPr="00064789">
        <w:t>Additional research that would improve the validity of the model include</w:t>
      </w:r>
      <w:r w:rsidR="00B56A7D" w:rsidRPr="00064789">
        <w:t xml:space="preserve"> </w:t>
      </w:r>
      <w:r w:rsidRPr="00064789">
        <w:t xml:space="preserve">identifying any </w:t>
      </w:r>
      <w:r w:rsidR="00A84F79" w:rsidRPr="00064789">
        <w:t xml:space="preserve">incidental </w:t>
      </w:r>
      <w:r w:rsidRPr="00064789">
        <w:t xml:space="preserve">net benefits to the management of newly diagnosed AF patient that could result from routine screening with TTE </w:t>
      </w:r>
      <w:r w:rsidR="00620AA2" w:rsidRPr="00064789">
        <w:t xml:space="preserve">following initial </w:t>
      </w:r>
      <w:r w:rsidRPr="00064789">
        <w:t>diagnosis.</w:t>
      </w:r>
      <w:r w:rsidR="00E55A94" w:rsidRPr="00064789">
        <w:t xml:space="preserve"> </w:t>
      </w:r>
    </w:p>
    <w:p w:rsidR="0005390C" w:rsidRPr="00064789" w:rsidRDefault="0005390C" w:rsidP="003378D6">
      <w:pPr>
        <w:pStyle w:val="Heading2"/>
        <w:numPr>
          <w:ilvl w:val="0"/>
          <w:numId w:val="0"/>
        </w:numPr>
      </w:pPr>
      <w:r w:rsidRPr="00064789">
        <w:t>Implications for clinical practice</w:t>
      </w:r>
    </w:p>
    <w:p w:rsidR="00A42D14" w:rsidRPr="00064789" w:rsidRDefault="003B36C5" w:rsidP="008D3B31">
      <w:pPr>
        <w:spacing w:line="480" w:lineRule="auto"/>
      </w:pPr>
      <w:r>
        <w:t xml:space="preserve">If </w:t>
      </w:r>
      <w:r w:rsidR="00DB7C63" w:rsidRPr="00064789">
        <w:t xml:space="preserve">TTE </w:t>
      </w:r>
      <w:r>
        <w:t xml:space="preserve">were to </w:t>
      </w:r>
      <w:r w:rsidR="00DB7C63" w:rsidRPr="00064789">
        <w:t>be recommended for those patients with CHADS</w:t>
      </w:r>
      <w:r w:rsidR="00DB7C63" w:rsidRPr="00064789">
        <w:rPr>
          <w:vertAlign w:val="subscript"/>
        </w:rPr>
        <w:t>2</w:t>
      </w:r>
      <w:r w:rsidR="00DB7C63" w:rsidRPr="00064789">
        <w:t xml:space="preserve"> scores of </w:t>
      </w:r>
      <w:r w:rsidR="00B36EBC" w:rsidRPr="00064789">
        <w:t xml:space="preserve">zero </w:t>
      </w:r>
      <w:r w:rsidR="00DB7C63" w:rsidRPr="00064789">
        <w:t>point</w:t>
      </w:r>
      <w:r w:rsidR="00B36EBC" w:rsidRPr="00064789">
        <w:t>s</w:t>
      </w:r>
      <w:r w:rsidR="00DB7C63" w:rsidRPr="00064789">
        <w:t>, there will be an increase in the number of TTEs performed. This is unlikely to place a great burden on the majority of hospitals who are likely to have staff trained in the use of TTE machines.</w:t>
      </w:r>
      <w:r w:rsidR="00C918EC" w:rsidRPr="00064789">
        <w:t xml:space="preserve"> </w:t>
      </w:r>
      <w:r w:rsidR="00903CA6" w:rsidRPr="00064789">
        <w:t xml:space="preserve">It is likely that additional </w:t>
      </w:r>
      <w:r w:rsidR="00903CA6" w:rsidRPr="00064789">
        <w:lastRenderedPageBreak/>
        <w:t xml:space="preserve">bed days are made available due to the reduction in stroke following appropriate management, although there is likely to be an increase in bleed related admissions. </w:t>
      </w:r>
    </w:p>
    <w:p w:rsidR="004850ED" w:rsidRPr="00064789" w:rsidRDefault="004850ED" w:rsidP="003378D6">
      <w:pPr>
        <w:pStyle w:val="Heading2"/>
        <w:numPr>
          <w:ilvl w:val="0"/>
          <w:numId w:val="0"/>
        </w:numPr>
      </w:pPr>
      <w:r w:rsidRPr="00064789">
        <w:t>Conclusion</w:t>
      </w:r>
    </w:p>
    <w:p w:rsidR="00155DF4" w:rsidRPr="00064789" w:rsidRDefault="00911187" w:rsidP="000701BC">
      <w:pPr>
        <w:spacing w:line="480" w:lineRule="auto"/>
      </w:pPr>
      <w:r w:rsidRPr="00064789">
        <w:t xml:space="preserve">This paper presented the results of mathematical models which simulated the effects of using TTE to help make the decision whether to prescribe an OAC in a range of </w:t>
      </w:r>
      <w:r w:rsidR="002B0A3A" w:rsidRPr="00064789">
        <w:t>patients with AF</w:t>
      </w:r>
      <w:r w:rsidRPr="00064789">
        <w:t xml:space="preserve">. </w:t>
      </w:r>
      <w:r w:rsidR="00CD6936" w:rsidRPr="00064789">
        <w:t xml:space="preserve">It was estimated </w:t>
      </w:r>
      <w:r w:rsidR="00C314AC" w:rsidRPr="00064789">
        <w:t xml:space="preserve">that when </w:t>
      </w:r>
      <w:proofErr w:type="spellStart"/>
      <w:r w:rsidR="00C314AC" w:rsidRPr="00064789">
        <w:t>rivaroxaban</w:t>
      </w:r>
      <w:proofErr w:type="spellEnd"/>
      <w:r w:rsidR="00C314AC" w:rsidRPr="00064789">
        <w:t xml:space="preserve"> or </w:t>
      </w:r>
      <w:proofErr w:type="spellStart"/>
      <w:r w:rsidR="00C314AC" w:rsidRPr="00064789">
        <w:t>dabigatran</w:t>
      </w:r>
      <w:proofErr w:type="spellEnd"/>
      <w:r w:rsidRPr="00064789">
        <w:t xml:space="preserve"> </w:t>
      </w:r>
      <w:r w:rsidR="00C314AC" w:rsidRPr="00064789">
        <w:t xml:space="preserve">is </w:t>
      </w:r>
      <w:r w:rsidR="00B36EBC" w:rsidRPr="00064789">
        <w:t>the OAC</w:t>
      </w:r>
      <w:r w:rsidRPr="00064789">
        <w:t xml:space="preserve"> of choice then it appears cost-effective to us</w:t>
      </w:r>
      <w:r w:rsidR="00B36EBC" w:rsidRPr="00064789">
        <w:t>e TTE in patients aged 65 years; when warfarin is the OAC of choice, then the addition of TTE does not appear cost-effective at standard willingness to p</w:t>
      </w:r>
      <w:r w:rsidR="00064789" w:rsidRPr="00064789">
        <w:t xml:space="preserve">ay thresholds of either £20,000 per </w:t>
      </w:r>
      <w:r w:rsidR="00B36EBC" w:rsidRPr="00064789">
        <w:t>QALY or £30,000/QALY.</w:t>
      </w:r>
      <w:r w:rsidRPr="00064789">
        <w:t xml:space="preserve"> </w:t>
      </w:r>
      <w:r w:rsidR="008C662C">
        <w:t xml:space="preserve">We </w:t>
      </w:r>
      <w:r w:rsidRPr="00064789">
        <w:t>suggest that</w:t>
      </w:r>
      <w:r w:rsidR="00B36EBC" w:rsidRPr="00064789">
        <w:t xml:space="preserve"> if considering prescribing a newer OAC</w:t>
      </w:r>
      <w:r w:rsidRPr="00064789">
        <w:t>, it may be both clinically effective and cost effective to use TTE to help inform the decision</w:t>
      </w:r>
      <w:r w:rsidR="003B36C5">
        <w:t xml:space="preserve"> in more elderly patients</w:t>
      </w:r>
      <w:r w:rsidR="0031099C" w:rsidRPr="00064789">
        <w:t xml:space="preserve">. </w:t>
      </w:r>
    </w:p>
    <w:p w:rsidR="00D20CA0" w:rsidRDefault="00D20CA0">
      <w:pPr>
        <w:pStyle w:val="NormalWeb"/>
        <w:ind w:left="640" w:hanging="640"/>
      </w:pPr>
    </w:p>
    <w:p w:rsidR="00B54241" w:rsidRPr="00532F44" w:rsidRDefault="00B54241">
      <w:pPr>
        <w:pStyle w:val="NormalWeb"/>
        <w:ind w:left="640" w:hanging="640"/>
        <w:sectPr w:rsidR="00B54241" w:rsidRPr="00532F44" w:rsidSect="001C47C7">
          <w:footerReference w:type="default" r:id="rId12"/>
          <w:pgSz w:w="11906" w:h="16838"/>
          <w:pgMar w:top="1440" w:right="1440" w:bottom="1440" w:left="1440" w:header="709" w:footer="709" w:gutter="0"/>
          <w:lnNumType w:countBy="1"/>
          <w:cols w:space="708"/>
          <w:docGrid w:linePitch="360"/>
        </w:sectPr>
      </w:pPr>
    </w:p>
    <w:p w:rsidR="00D20CA0" w:rsidRPr="00532F44" w:rsidRDefault="00D20CA0" w:rsidP="003378D6">
      <w:pPr>
        <w:pStyle w:val="Heading1"/>
        <w:numPr>
          <w:ilvl w:val="0"/>
          <w:numId w:val="0"/>
        </w:numPr>
      </w:pPr>
      <w:r w:rsidRPr="00532F44">
        <w:lastRenderedPageBreak/>
        <w:t>References</w:t>
      </w:r>
    </w:p>
    <w:p w:rsidR="00B54241" w:rsidRPr="00B54241" w:rsidRDefault="002F05E5">
      <w:pPr>
        <w:pStyle w:val="NormalWeb"/>
        <w:ind w:left="640" w:hanging="640"/>
        <w:divId w:val="1152408798"/>
        <w:rPr>
          <w:rFonts w:ascii="Calibri" w:hAnsi="Calibri" w:cs="Calibri"/>
          <w:noProof/>
          <w:sz w:val="22"/>
        </w:rPr>
      </w:pPr>
      <w:r>
        <w:fldChar w:fldCharType="begin" w:fldLock="1"/>
      </w:r>
      <w:r w:rsidR="008E6143">
        <w:instrText xml:space="preserve">ADDIN Mendeley Bibliography CSL_BIBLIOGRAPHY </w:instrText>
      </w:r>
      <w:r>
        <w:fldChar w:fldCharType="separate"/>
      </w:r>
      <w:r w:rsidR="00B54241" w:rsidRPr="00B54241">
        <w:rPr>
          <w:rFonts w:ascii="Calibri" w:hAnsi="Calibri" w:cs="Calibri"/>
          <w:noProof/>
          <w:sz w:val="22"/>
        </w:rPr>
        <w:t xml:space="preserve">1 </w:t>
      </w:r>
      <w:r w:rsidR="00B54241" w:rsidRPr="00B54241">
        <w:rPr>
          <w:rFonts w:ascii="Calibri" w:hAnsi="Calibri" w:cs="Calibri"/>
          <w:noProof/>
          <w:sz w:val="22"/>
        </w:rPr>
        <w:tab/>
        <w:t xml:space="preserve">Go AS, Hylek EM, Phillips KA, </w:t>
      </w:r>
      <w:r w:rsidR="00B54241" w:rsidRPr="00B54241">
        <w:rPr>
          <w:rFonts w:ascii="Calibri" w:hAnsi="Calibri" w:cs="Calibri"/>
          <w:i/>
          <w:iCs/>
          <w:noProof/>
          <w:sz w:val="22"/>
        </w:rPr>
        <w:t>et al.</w:t>
      </w:r>
      <w:r w:rsidR="00B54241" w:rsidRPr="00B54241">
        <w:rPr>
          <w:rFonts w:ascii="Calibri" w:hAnsi="Calibri" w:cs="Calibri"/>
          <w:noProof/>
          <w:sz w:val="22"/>
        </w:rPr>
        <w:t xml:space="preserve"> Prevalence of diagnosed atrial fibrillation in adults: national implications for rhythm management and stroke prevention: the AnTicoagulation and Risk Factors in Atrial Fibrillation (ATRIA) Study. </w:t>
      </w:r>
      <w:r w:rsidR="00B54241" w:rsidRPr="00B54241">
        <w:rPr>
          <w:rFonts w:ascii="Calibri" w:hAnsi="Calibri" w:cs="Calibri"/>
          <w:i/>
          <w:iCs/>
          <w:noProof/>
          <w:sz w:val="22"/>
        </w:rPr>
        <w:t>JAMA : the journal of the American Medical Association</w:t>
      </w:r>
      <w:r w:rsidR="00B54241" w:rsidRPr="00B54241">
        <w:rPr>
          <w:rFonts w:ascii="Calibri" w:hAnsi="Calibri" w:cs="Calibri"/>
          <w:noProof/>
          <w:sz w:val="22"/>
        </w:rPr>
        <w:t xml:space="preserve"> 2001;</w:t>
      </w:r>
      <w:r w:rsidR="00B54241" w:rsidRPr="00B54241">
        <w:rPr>
          <w:rFonts w:ascii="Calibri" w:hAnsi="Calibri" w:cs="Calibri"/>
          <w:b/>
          <w:bCs/>
          <w:noProof/>
          <w:sz w:val="22"/>
        </w:rPr>
        <w:t>285</w:t>
      </w:r>
      <w:r w:rsidR="00B54241" w:rsidRPr="00B54241">
        <w:rPr>
          <w:rFonts w:ascii="Calibri" w:hAnsi="Calibri" w:cs="Calibri"/>
          <w:noProof/>
          <w:sz w:val="22"/>
        </w:rPr>
        <w:t>:2370–5.</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 </w:t>
      </w:r>
      <w:r w:rsidRPr="00B54241">
        <w:rPr>
          <w:rFonts w:ascii="Calibri" w:hAnsi="Calibri" w:cs="Calibri"/>
          <w:noProof/>
          <w:sz w:val="22"/>
        </w:rPr>
        <w:tab/>
        <w:t xml:space="preserve">Rivaroxaban-once daily, oral, direct factor Xa inhibition compared with vitamin K antagonism for prevention of stroke and Embolism Trial in Atrial Fibrillation: rationale and design of the ROCKET AF study. </w:t>
      </w:r>
      <w:r w:rsidRPr="00B54241">
        <w:rPr>
          <w:rFonts w:ascii="Calibri" w:hAnsi="Calibri" w:cs="Calibri"/>
          <w:i/>
          <w:iCs/>
          <w:noProof/>
          <w:sz w:val="22"/>
        </w:rPr>
        <w:t>American heart journal</w:t>
      </w:r>
      <w:r w:rsidRPr="00B54241">
        <w:rPr>
          <w:rFonts w:ascii="Calibri" w:hAnsi="Calibri" w:cs="Calibri"/>
          <w:noProof/>
          <w:sz w:val="22"/>
        </w:rPr>
        <w:t xml:space="preserve"> 2010;</w:t>
      </w:r>
      <w:r w:rsidRPr="00B54241">
        <w:rPr>
          <w:rFonts w:ascii="Calibri" w:hAnsi="Calibri" w:cs="Calibri"/>
          <w:b/>
          <w:bCs/>
          <w:noProof/>
          <w:sz w:val="22"/>
        </w:rPr>
        <w:t>159</w:t>
      </w:r>
      <w:r w:rsidRPr="00B54241">
        <w:rPr>
          <w:rFonts w:ascii="Calibri" w:hAnsi="Calibri" w:cs="Calibri"/>
          <w:noProof/>
          <w:sz w:val="22"/>
        </w:rPr>
        <w:t>:340–347.e1.</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3 </w:t>
      </w:r>
      <w:r w:rsidRPr="00B54241">
        <w:rPr>
          <w:rFonts w:ascii="Calibri" w:hAnsi="Calibri" w:cs="Calibri"/>
          <w:noProof/>
          <w:sz w:val="22"/>
        </w:rPr>
        <w:tab/>
        <w:t xml:space="preserve">Camm AJ, Kirchhof P, Lip GY, </w:t>
      </w:r>
      <w:r w:rsidRPr="00B54241">
        <w:rPr>
          <w:rFonts w:ascii="Calibri" w:hAnsi="Calibri" w:cs="Calibri"/>
          <w:i/>
          <w:iCs/>
          <w:noProof/>
          <w:sz w:val="22"/>
        </w:rPr>
        <w:t>et al.</w:t>
      </w:r>
      <w:r w:rsidRPr="00B54241">
        <w:rPr>
          <w:rFonts w:ascii="Calibri" w:hAnsi="Calibri" w:cs="Calibri"/>
          <w:noProof/>
          <w:sz w:val="22"/>
        </w:rPr>
        <w:t xml:space="preserve"> Guidelines for the management of atrial fibrillation: the Task Force for the Management of Atrial Fibrillation of the European Society of Cardiology (ESC). </w:t>
      </w:r>
      <w:r w:rsidRPr="00B54241">
        <w:rPr>
          <w:rFonts w:ascii="Calibri" w:hAnsi="Calibri" w:cs="Calibri"/>
          <w:i/>
          <w:iCs/>
          <w:noProof/>
          <w:sz w:val="22"/>
        </w:rPr>
        <w:t>Eur Heart J</w:t>
      </w:r>
      <w:r w:rsidRPr="00B54241">
        <w:rPr>
          <w:rFonts w:ascii="Calibri" w:hAnsi="Calibri" w:cs="Calibri"/>
          <w:noProof/>
          <w:sz w:val="22"/>
        </w:rPr>
        <w:t xml:space="preserve"> 2010;</w:t>
      </w:r>
      <w:r w:rsidRPr="00B54241">
        <w:rPr>
          <w:rFonts w:ascii="Calibri" w:hAnsi="Calibri" w:cs="Calibri"/>
          <w:b/>
          <w:bCs/>
          <w:noProof/>
          <w:sz w:val="22"/>
        </w:rPr>
        <w:t>31</w:t>
      </w:r>
      <w:r w:rsidRPr="00B54241">
        <w:rPr>
          <w:rFonts w:ascii="Calibri" w:hAnsi="Calibri" w:cs="Calibri"/>
          <w:noProof/>
          <w:sz w:val="22"/>
        </w:rPr>
        <w:t>:2369–429.</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4 </w:t>
      </w:r>
      <w:r w:rsidRPr="00B54241">
        <w:rPr>
          <w:rFonts w:ascii="Calibri" w:hAnsi="Calibri" w:cs="Calibri"/>
          <w:noProof/>
          <w:sz w:val="22"/>
        </w:rPr>
        <w:tab/>
        <w:t xml:space="preserve">Camm AJ, Lip GYH, De Caterina R, </w:t>
      </w:r>
      <w:r w:rsidRPr="00B54241">
        <w:rPr>
          <w:rFonts w:ascii="Calibri" w:hAnsi="Calibri" w:cs="Calibri"/>
          <w:i/>
          <w:iCs/>
          <w:noProof/>
          <w:sz w:val="22"/>
        </w:rPr>
        <w:t>et al.</w:t>
      </w:r>
      <w:r w:rsidRPr="00B54241">
        <w:rPr>
          <w:rFonts w:ascii="Calibri" w:hAnsi="Calibri" w:cs="Calibri"/>
          <w:noProof/>
          <w:sz w:val="22"/>
        </w:rPr>
        <w:t xml:space="preserve"> 2012 focused update of the ESC Guidelines for the management of atrial fibrillation: An update of the 2010 ESC Guidelines for the management of atrial fibrillation * Developed with the special contribution of the European Heart Rhythm Association. </w:t>
      </w:r>
      <w:r w:rsidRPr="00B54241">
        <w:rPr>
          <w:rFonts w:ascii="Calibri" w:hAnsi="Calibri" w:cs="Calibri"/>
          <w:i/>
          <w:iCs/>
          <w:noProof/>
          <w:sz w:val="22"/>
        </w:rPr>
        <w:t>European heart journal</w:t>
      </w:r>
      <w:r w:rsidRPr="00B54241">
        <w:rPr>
          <w:rFonts w:ascii="Calibri" w:hAnsi="Calibri" w:cs="Calibri"/>
          <w:noProof/>
          <w:sz w:val="22"/>
        </w:rPr>
        <w:t xml:space="preserve"> Published Online First: 24 August 2012. doi:10.1093/eurheartj/ehs253</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5 </w:t>
      </w:r>
      <w:r w:rsidRPr="00B54241">
        <w:rPr>
          <w:rFonts w:ascii="Calibri" w:hAnsi="Calibri" w:cs="Calibri"/>
          <w:noProof/>
          <w:sz w:val="22"/>
        </w:rPr>
        <w:tab/>
        <w:t xml:space="preserve">Transesophageal echocardiographic correlates of thromboembolism in high-risk patients with nonvalvular atrial fibrillation. The Stroke Prevention in Atrial Fibrillation Investigators Committee on Echocardiography. </w:t>
      </w:r>
      <w:r w:rsidRPr="00B54241">
        <w:rPr>
          <w:rFonts w:ascii="Calibri" w:hAnsi="Calibri" w:cs="Calibri"/>
          <w:i/>
          <w:iCs/>
          <w:noProof/>
          <w:sz w:val="22"/>
        </w:rPr>
        <w:t>Ann Intern Med</w:t>
      </w:r>
      <w:r w:rsidRPr="00B54241">
        <w:rPr>
          <w:rFonts w:ascii="Calibri" w:hAnsi="Calibri" w:cs="Calibri"/>
          <w:noProof/>
          <w:sz w:val="22"/>
        </w:rPr>
        <w:t xml:space="preserve"> 1998;</w:t>
      </w:r>
      <w:r w:rsidRPr="00B54241">
        <w:rPr>
          <w:rFonts w:ascii="Calibri" w:hAnsi="Calibri" w:cs="Calibri"/>
          <w:b/>
          <w:bCs/>
          <w:noProof/>
          <w:sz w:val="22"/>
        </w:rPr>
        <w:t>128</w:t>
      </w:r>
      <w:r w:rsidRPr="00B54241">
        <w:rPr>
          <w:rFonts w:ascii="Calibri" w:hAnsi="Calibri" w:cs="Calibri"/>
          <w:noProof/>
          <w:sz w:val="22"/>
        </w:rPr>
        <w:t>:639–47.</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6 </w:t>
      </w:r>
      <w:r w:rsidRPr="00B54241">
        <w:rPr>
          <w:rFonts w:ascii="Calibri" w:hAnsi="Calibri" w:cs="Calibri"/>
          <w:noProof/>
          <w:sz w:val="22"/>
        </w:rPr>
        <w:tab/>
        <w:t xml:space="preserve">Providencia R, Botelho A, Trigo J, </w:t>
      </w:r>
      <w:r w:rsidRPr="00B54241">
        <w:rPr>
          <w:rFonts w:ascii="Calibri" w:hAnsi="Calibri" w:cs="Calibri"/>
          <w:i/>
          <w:iCs/>
          <w:noProof/>
          <w:sz w:val="22"/>
        </w:rPr>
        <w:t>et al.</w:t>
      </w:r>
      <w:r w:rsidRPr="00B54241">
        <w:rPr>
          <w:rFonts w:ascii="Calibri" w:hAnsi="Calibri" w:cs="Calibri"/>
          <w:noProof/>
          <w:sz w:val="22"/>
        </w:rPr>
        <w:t xml:space="preserve"> Possible refinement of clinical thromboembolism assessment in patients with atrial fibrillation using echocardiographic parameters. </w:t>
      </w:r>
      <w:r w:rsidRPr="00B54241">
        <w:rPr>
          <w:rFonts w:ascii="Calibri" w:hAnsi="Calibri" w:cs="Calibri"/>
          <w:i/>
          <w:iCs/>
          <w:noProof/>
          <w:sz w:val="22"/>
        </w:rPr>
        <w:t>Europace</w:t>
      </w:r>
      <w:r w:rsidRPr="00B54241">
        <w:rPr>
          <w:rFonts w:ascii="Calibri" w:hAnsi="Calibri" w:cs="Calibri"/>
          <w:noProof/>
          <w:sz w:val="22"/>
        </w:rPr>
        <w:t xml:space="preserve"> 2012;</w:t>
      </w:r>
      <w:r w:rsidRPr="00B54241">
        <w:rPr>
          <w:rFonts w:ascii="Calibri" w:hAnsi="Calibri" w:cs="Calibri"/>
          <w:b/>
          <w:bCs/>
          <w:noProof/>
          <w:sz w:val="22"/>
        </w:rPr>
        <w:t>14</w:t>
      </w:r>
      <w:r w:rsidRPr="00B54241">
        <w:rPr>
          <w:rFonts w:ascii="Calibri" w:hAnsi="Calibri" w:cs="Calibri"/>
          <w:noProof/>
          <w:sz w:val="22"/>
        </w:rPr>
        <w:t>:36–45.</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7 </w:t>
      </w:r>
      <w:r w:rsidRPr="00B54241">
        <w:rPr>
          <w:rFonts w:ascii="Calibri" w:hAnsi="Calibri" w:cs="Calibri"/>
          <w:noProof/>
          <w:sz w:val="22"/>
        </w:rPr>
        <w:tab/>
        <w:t>NICE. Guide to the methods of technology appraisal. 2008.http://www.nice.org.uk/media/B52/A7/TAMethodsGuideUpdatedJune2008.pdf</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8 </w:t>
      </w:r>
      <w:r w:rsidRPr="00B54241">
        <w:rPr>
          <w:rFonts w:ascii="Calibri" w:hAnsi="Calibri" w:cs="Calibri"/>
          <w:noProof/>
          <w:sz w:val="22"/>
        </w:rPr>
        <w:tab/>
        <w:t xml:space="preserve">Pliskin JS, Shepard DS, Weinstein MC. Utility Functions for Life Years and Health Status. </w:t>
      </w:r>
      <w:r w:rsidRPr="00B54241">
        <w:rPr>
          <w:rFonts w:ascii="Calibri" w:hAnsi="Calibri" w:cs="Calibri"/>
          <w:i/>
          <w:iCs/>
          <w:noProof/>
          <w:sz w:val="22"/>
        </w:rPr>
        <w:t>Operations Research</w:t>
      </w:r>
      <w:r w:rsidRPr="00B54241">
        <w:rPr>
          <w:rFonts w:ascii="Calibri" w:hAnsi="Calibri" w:cs="Calibri"/>
          <w:noProof/>
          <w:sz w:val="22"/>
        </w:rPr>
        <w:t xml:space="preserve"> 1980;</w:t>
      </w:r>
      <w:r w:rsidRPr="00B54241">
        <w:rPr>
          <w:rFonts w:ascii="Calibri" w:hAnsi="Calibri" w:cs="Calibri"/>
          <w:b/>
          <w:bCs/>
          <w:noProof/>
          <w:sz w:val="22"/>
        </w:rPr>
        <w:t>28</w:t>
      </w:r>
      <w:r w:rsidRPr="00B54241">
        <w:rPr>
          <w:rFonts w:ascii="Calibri" w:hAnsi="Calibri" w:cs="Calibri"/>
          <w:noProof/>
          <w:sz w:val="22"/>
        </w:rPr>
        <w:t>:206–24.</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9 </w:t>
      </w:r>
      <w:r w:rsidRPr="00B54241">
        <w:rPr>
          <w:rFonts w:ascii="Calibri" w:hAnsi="Calibri" w:cs="Calibri"/>
          <w:noProof/>
          <w:sz w:val="22"/>
        </w:rPr>
        <w:tab/>
        <w:t>NICE. Guide to the methods of technology appraisal. NICE methods guide. 2008;:80.</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10 </w:t>
      </w:r>
      <w:r w:rsidRPr="00B54241">
        <w:rPr>
          <w:rFonts w:ascii="Calibri" w:hAnsi="Calibri" w:cs="Calibri"/>
          <w:noProof/>
          <w:sz w:val="22"/>
        </w:rPr>
        <w:tab/>
        <w:t xml:space="preserve">Inglehart D. Simulating stable stochastic systems, V: Comparison of ratio estimators. </w:t>
      </w:r>
      <w:r w:rsidRPr="00B54241">
        <w:rPr>
          <w:rFonts w:ascii="Calibri" w:hAnsi="Calibri" w:cs="Calibri"/>
          <w:i/>
          <w:iCs/>
          <w:noProof/>
          <w:sz w:val="22"/>
        </w:rPr>
        <w:t>Naval Research Logistics</w:t>
      </w:r>
      <w:r w:rsidRPr="00B54241">
        <w:rPr>
          <w:rFonts w:ascii="Calibri" w:hAnsi="Calibri" w:cs="Calibri"/>
          <w:noProof/>
          <w:sz w:val="22"/>
        </w:rPr>
        <w:t xml:space="preserve"> 1975;</w:t>
      </w:r>
      <w:r w:rsidRPr="00B54241">
        <w:rPr>
          <w:rFonts w:ascii="Calibri" w:hAnsi="Calibri" w:cs="Calibri"/>
          <w:b/>
          <w:bCs/>
          <w:noProof/>
          <w:sz w:val="22"/>
        </w:rPr>
        <w:t>22</w:t>
      </w:r>
      <w:r w:rsidRPr="00B54241">
        <w:rPr>
          <w:rFonts w:ascii="Calibri" w:hAnsi="Calibri" w:cs="Calibri"/>
          <w:noProof/>
          <w:sz w:val="22"/>
        </w:rPr>
        <w:t>:553–65.</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11 </w:t>
      </w:r>
      <w:r w:rsidRPr="00B54241">
        <w:rPr>
          <w:rFonts w:ascii="Calibri" w:hAnsi="Calibri" w:cs="Calibri"/>
          <w:noProof/>
          <w:sz w:val="22"/>
        </w:rPr>
        <w:tab/>
        <w:t>NICE. Rivaroxaban for the prevention of stroke and systemic embolism in people with atrial fibrillation. NICE technology appraisal guidance 256. 2012.http://www.nice.org.uk/nicemedia/live/13746/59295/59295.pdf (accessed 28 Sep2012).</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12 </w:t>
      </w:r>
      <w:r w:rsidRPr="00B54241">
        <w:rPr>
          <w:rFonts w:ascii="Calibri" w:hAnsi="Calibri" w:cs="Calibri"/>
          <w:noProof/>
          <w:sz w:val="22"/>
        </w:rPr>
        <w:tab/>
        <w:t>NICE. Dabigatran etexilate for the prevention of stroke and systemic embolism in atrial fibrillation. NICE technology appraisal guidance 249. 2012.http://www.nice.org.uk/nicemedia/live/13677/58470/58470.pdf (accessed 28 Sep2012).</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lastRenderedPageBreak/>
        <w:t xml:space="preserve">13 </w:t>
      </w:r>
      <w:r w:rsidRPr="00B54241">
        <w:rPr>
          <w:rFonts w:ascii="Calibri" w:hAnsi="Calibri" w:cs="Calibri"/>
          <w:noProof/>
          <w:sz w:val="22"/>
        </w:rPr>
        <w:tab/>
        <w:t xml:space="preserve">Simpson EL, Stevenson MD, Scope A, </w:t>
      </w:r>
      <w:r w:rsidRPr="00B54241">
        <w:rPr>
          <w:rFonts w:ascii="Calibri" w:hAnsi="Calibri" w:cs="Calibri"/>
          <w:i/>
          <w:iCs/>
          <w:noProof/>
          <w:sz w:val="22"/>
        </w:rPr>
        <w:t>et al.</w:t>
      </w:r>
      <w:r w:rsidRPr="00B54241">
        <w:rPr>
          <w:rFonts w:ascii="Calibri" w:hAnsi="Calibri" w:cs="Calibri"/>
          <w:noProof/>
          <w:sz w:val="22"/>
        </w:rPr>
        <w:t xml:space="preserve"> Echocardiography in newly diagnosed atrial fibrillation patients: a systematic review and economic evaluation. 2012. </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14 </w:t>
      </w:r>
      <w:r w:rsidRPr="00B54241">
        <w:rPr>
          <w:rFonts w:ascii="Calibri" w:hAnsi="Calibri" w:cs="Calibri"/>
          <w:noProof/>
          <w:sz w:val="22"/>
        </w:rPr>
        <w:tab/>
        <w:t xml:space="preserve">PVS TM-STF on. Medical aspects of the persistent vegetative state: second of two parts. </w:t>
      </w:r>
      <w:r w:rsidRPr="00B54241">
        <w:rPr>
          <w:rFonts w:ascii="Calibri" w:hAnsi="Calibri" w:cs="Calibri"/>
          <w:i/>
          <w:iCs/>
          <w:noProof/>
          <w:sz w:val="22"/>
        </w:rPr>
        <w:t>The New England Journal of Medicine</w:t>
      </w:r>
      <w:r w:rsidRPr="00B54241">
        <w:rPr>
          <w:rFonts w:ascii="Calibri" w:hAnsi="Calibri" w:cs="Calibri"/>
          <w:noProof/>
          <w:sz w:val="22"/>
        </w:rPr>
        <w:t xml:space="preserve"> 1994;</w:t>
      </w:r>
      <w:r w:rsidRPr="00B54241">
        <w:rPr>
          <w:rFonts w:ascii="Calibri" w:hAnsi="Calibri" w:cs="Calibri"/>
          <w:b/>
          <w:bCs/>
          <w:noProof/>
          <w:sz w:val="22"/>
        </w:rPr>
        <w:t>330</w:t>
      </w:r>
      <w:r w:rsidRPr="00B54241">
        <w:rPr>
          <w:rFonts w:ascii="Calibri" w:hAnsi="Calibri" w:cs="Calibri"/>
          <w:noProof/>
          <w:sz w:val="22"/>
        </w:rPr>
        <w:t>.http://www.nejm.org/doi/full/10.1056/NEJM199406023302206</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15 </w:t>
      </w:r>
      <w:r w:rsidRPr="00B54241">
        <w:rPr>
          <w:rFonts w:ascii="Calibri" w:hAnsi="Calibri" w:cs="Calibri"/>
          <w:noProof/>
          <w:sz w:val="22"/>
        </w:rPr>
        <w:tab/>
        <w:t xml:space="preserve">Eikelboom JW, Wallentin L, Connolly SJ, </w:t>
      </w:r>
      <w:r w:rsidRPr="00B54241">
        <w:rPr>
          <w:rFonts w:ascii="Calibri" w:hAnsi="Calibri" w:cs="Calibri"/>
          <w:i/>
          <w:iCs/>
          <w:noProof/>
          <w:sz w:val="22"/>
        </w:rPr>
        <w:t>et al.</w:t>
      </w:r>
      <w:r w:rsidRPr="00B54241">
        <w:rPr>
          <w:rFonts w:ascii="Calibri" w:hAnsi="Calibri" w:cs="Calibri"/>
          <w:noProof/>
          <w:sz w:val="22"/>
        </w:rPr>
        <w:t xml:space="preserve"> Risk of bleeding with 2 doses of dabigatran compared with warfarin in older and younger patients with atrial fibrillation: an analysis of the randomized evaluation of long-term anticoagulant therapy (RE-LY) trial. </w:t>
      </w:r>
      <w:r w:rsidRPr="00B54241">
        <w:rPr>
          <w:rFonts w:ascii="Calibri" w:hAnsi="Calibri" w:cs="Calibri"/>
          <w:i/>
          <w:iCs/>
          <w:noProof/>
          <w:sz w:val="22"/>
        </w:rPr>
        <w:t>Circulation</w:t>
      </w:r>
      <w:r w:rsidRPr="00B54241">
        <w:rPr>
          <w:rFonts w:ascii="Calibri" w:hAnsi="Calibri" w:cs="Calibri"/>
          <w:noProof/>
          <w:sz w:val="22"/>
        </w:rPr>
        <w:t xml:space="preserve"> 2011;</w:t>
      </w:r>
      <w:r w:rsidRPr="00B54241">
        <w:rPr>
          <w:rFonts w:ascii="Calibri" w:hAnsi="Calibri" w:cs="Calibri"/>
          <w:b/>
          <w:bCs/>
          <w:noProof/>
          <w:sz w:val="22"/>
        </w:rPr>
        <w:t>123</w:t>
      </w:r>
      <w:r w:rsidRPr="00B54241">
        <w:rPr>
          <w:rFonts w:ascii="Calibri" w:hAnsi="Calibri" w:cs="Calibri"/>
          <w:noProof/>
          <w:sz w:val="22"/>
        </w:rPr>
        <w:t>:2363–72.</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16 </w:t>
      </w:r>
      <w:r w:rsidRPr="00B54241">
        <w:rPr>
          <w:rFonts w:ascii="Calibri" w:hAnsi="Calibri" w:cs="Calibri"/>
          <w:noProof/>
          <w:sz w:val="22"/>
        </w:rPr>
        <w:tab/>
        <w:t xml:space="preserve">Drummond MF, Schulpher MJ, Torrance GW, </w:t>
      </w:r>
      <w:r w:rsidRPr="00B54241">
        <w:rPr>
          <w:rFonts w:ascii="Calibri" w:hAnsi="Calibri" w:cs="Calibri"/>
          <w:i/>
          <w:iCs/>
          <w:noProof/>
          <w:sz w:val="22"/>
        </w:rPr>
        <w:t>et al.</w:t>
      </w:r>
      <w:r w:rsidRPr="00B54241">
        <w:rPr>
          <w:rFonts w:ascii="Calibri" w:hAnsi="Calibri" w:cs="Calibri"/>
          <w:noProof/>
          <w:sz w:val="22"/>
        </w:rPr>
        <w:t xml:space="preserve"> </w:t>
      </w:r>
      <w:r w:rsidRPr="00B54241">
        <w:rPr>
          <w:rFonts w:ascii="Calibri" w:hAnsi="Calibri" w:cs="Calibri"/>
          <w:i/>
          <w:iCs/>
          <w:noProof/>
          <w:sz w:val="22"/>
        </w:rPr>
        <w:t>Methods for the Economic Evaluation of Health Care Programmes</w:t>
      </w:r>
      <w:r w:rsidRPr="00B54241">
        <w:rPr>
          <w:rFonts w:ascii="Calibri" w:hAnsi="Calibri" w:cs="Calibri"/>
          <w:noProof/>
          <w:sz w:val="22"/>
        </w:rPr>
        <w:t xml:space="preserve">. Third Edit. Oxford: : OUP 2005. </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17 </w:t>
      </w:r>
      <w:r w:rsidRPr="00B54241">
        <w:rPr>
          <w:rFonts w:ascii="Calibri" w:hAnsi="Calibri" w:cs="Calibri"/>
          <w:noProof/>
          <w:sz w:val="22"/>
        </w:rPr>
        <w:tab/>
        <w:t xml:space="preserve">Lip GY, Nieuwlaat R, Pisters R, </w:t>
      </w:r>
      <w:r w:rsidRPr="00B54241">
        <w:rPr>
          <w:rFonts w:ascii="Calibri" w:hAnsi="Calibri" w:cs="Calibri"/>
          <w:i/>
          <w:iCs/>
          <w:noProof/>
          <w:sz w:val="22"/>
        </w:rPr>
        <w:t>et al.</w:t>
      </w:r>
      <w:r w:rsidRPr="00B54241">
        <w:rPr>
          <w:rFonts w:ascii="Calibri" w:hAnsi="Calibri" w:cs="Calibri"/>
          <w:noProof/>
          <w:sz w:val="22"/>
        </w:rPr>
        <w:t xml:space="preserve"> Refining clinical risk stratification for predicting stroke and thromboembolism in atrial fibrillation using a novel risk factor-based approach: the euro heart survey on atrial fibrillation. </w:t>
      </w:r>
      <w:r w:rsidRPr="00B54241">
        <w:rPr>
          <w:rFonts w:ascii="Calibri" w:hAnsi="Calibri" w:cs="Calibri"/>
          <w:i/>
          <w:iCs/>
          <w:noProof/>
          <w:sz w:val="22"/>
        </w:rPr>
        <w:t>Chest</w:t>
      </w:r>
      <w:r w:rsidRPr="00B54241">
        <w:rPr>
          <w:rFonts w:ascii="Calibri" w:hAnsi="Calibri" w:cs="Calibri"/>
          <w:noProof/>
          <w:sz w:val="22"/>
        </w:rPr>
        <w:t xml:space="preserve"> 2010;</w:t>
      </w:r>
      <w:r w:rsidRPr="00B54241">
        <w:rPr>
          <w:rFonts w:ascii="Calibri" w:hAnsi="Calibri" w:cs="Calibri"/>
          <w:b/>
          <w:bCs/>
          <w:noProof/>
          <w:sz w:val="22"/>
        </w:rPr>
        <w:t>137</w:t>
      </w:r>
      <w:r w:rsidRPr="00B54241">
        <w:rPr>
          <w:rFonts w:ascii="Calibri" w:hAnsi="Calibri" w:cs="Calibri"/>
          <w:noProof/>
          <w:sz w:val="22"/>
        </w:rPr>
        <w:t>:263–72.</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18 </w:t>
      </w:r>
      <w:r w:rsidRPr="00B54241">
        <w:rPr>
          <w:rFonts w:ascii="Calibri" w:hAnsi="Calibri" w:cs="Calibri"/>
          <w:noProof/>
          <w:sz w:val="22"/>
        </w:rPr>
        <w:tab/>
        <w:t xml:space="preserve">Olesen JB, Lip GYH, Hansen ML, </w:t>
      </w:r>
      <w:r w:rsidRPr="00B54241">
        <w:rPr>
          <w:rFonts w:ascii="Calibri" w:hAnsi="Calibri" w:cs="Calibri"/>
          <w:i/>
          <w:iCs/>
          <w:noProof/>
          <w:sz w:val="22"/>
        </w:rPr>
        <w:t>et al.</w:t>
      </w:r>
      <w:r w:rsidRPr="00B54241">
        <w:rPr>
          <w:rFonts w:ascii="Calibri" w:hAnsi="Calibri" w:cs="Calibri"/>
          <w:noProof/>
          <w:sz w:val="22"/>
        </w:rPr>
        <w:t xml:space="preserve"> Validation of risk stratification schemes for predicting stroke and thromboembolism in patients with atrial fibrillation: nationwide cohort study. </w:t>
      </w:r>
      <w:r w:rsidRPr="00B54241">
        <w:rPr>
          <w:rFonts w:ascii="Calibri" w:hAnsi="Calibri" w:cs="Calibri"/>
          <w:i/>
          <w:iCs/>
          <w:noProof/>
          <w:sz w:val="22"/>
        </w:rPr>
        <w:t>BMJ</w:t>
      </w:r>
      <w:r w:rsidRPr="00B54241">
        <w:rPr>
          <w:rFonts w:ascii="Calibri" w:hAnsi="Calibri" w:cs="Calibri"/>
          <w:noProof/>
          <w:sz w:val="22"/>
        </w:rPr>
        <w:t xml:space="preserve"> 2011;</w:t>
      </w:r>
      <w:r w:rsidRPr="00B54241">
        <w:rPr>
          <w:rFonts w:ascii="Calibri" w:hAnsi="Calibri" w:cs="Calibri"/>
          <w:b/>
          <w:bCs/>
          <w:noProof/>
          <w:sz w:val="22"/>
        </w:rPr>
        <w:t>342</w:t>
      </w:r>
      <w:r w:rsidRPr="00B54241">
        <w:rPr>
          <w:rFonts w:ascii="Calibri" w:hAnsi="Calibri" w:cs="Calibri"/>
          <w:noProof/>
          <w:sz w:val="22"/>
        </w:rPr>
        <w:t>:d124–d124.</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19 </w:t>
      </w:r>
      <w:r w:rsidRPr="00B54241">
        <w:rPr>
          <w:rFonts w:ascii="Calibri" w:hAnsi="Calibri" w:cs="Calibri"/>
          <w:noProof/>
          <w:sz w:val="22"/>
        </w:rPr>
        <w:tab/>
        <w:t>ONS. Interim Life Tables. 2011;</w:t>
      </w:r>
      <w:r w:rsidRPr="00B54241">
        <w:rPr>
          <w:rFonts w:ascii="Calibri" w:hAnsi="Calibri" w:cs="Calibri"/>
          <w:b/>
          <w:bCs/>
          <w:noProof/>
          <w:sz w:val="22"/>
        </w:rPr>
        <w:t>2012</w:t>
      </w:r>
      <w:r w:rsidRPr="00B54241">
        <w:rPr>
          <w:rFonts w:ascii="Calibri" w:hAnsi="Calibri" w:cs="Calibri"/>
          <w:noProof/>
          <w:sz w:val="22"/>
        </w:rPr>
        <w:t>.http://www.ons.gov.uk/ons/taxonomy/index.html?nscl=Interim+Life+Tables</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20 </w:t>
      </w:r>
      <w:r w:rsidRPr="00B54241">
        <w:rPr>
          <w:rFonts w:ascii="Calibri" w:hAnsi="Calibri" w:cs="Calibri"/>
          <w:noProof/>
          <w:sz w:val="22"/>
        </w:rPr>
        <w:tab/>
        <w:t>DoH. NHS Reference Costs 2009-2010. 2011;</w:t>
      </w:r>
      <w:r w:rsidRPr="00B54241">
        <w:rPr>
          <w:rFonts w:ascii="Calibri" w:hAnsi="Calibri" w:cs="Calibri"/>
          <w:b/>
          <w:bCs/>
          <w:noProof/>
          <w:sz w:val="22"/>
        </w:rPr>
        <w:t>2012</w:t>
      </w:r>
      <w:r w:rsidRPr="00B54241">
        <w:rPr>
          <w:rFonts w:ascii="Calibri" w:hAnsi="Calibri" w:cs="Calibri"/>
          <w:noProof/>
          <w:sz w:val="22"/>
        </w:rPr>
        <w:t>.http://www.dh.gov.uk/en/Publicationsandstatistics/Publications/PublicationsPolicyAndGuidance/DH_123459</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21 </w:t>
      </w:r>
      <w:r w:rsidRPr="00B54241">
        <w:rPr>
          <w:rFonts w:ascii="Calibri" w:hAnsi="Calibri" w:cs="Calibri"/>
          <w:noProof/>
          <w:sz w:val="22"/>
        </w:rPr>
        <w:tab/>
        <w:t xml:space="preserve">Friberg L, Rosenqvist M, Lip GYH. Evaluation of risk stratification schemes for ischaemic stroke and bleeding in 182 678 patients with atrial fibrillation: the Swedish Atrial Fibrillation cohort study. </w:t>
      </w:r>
      <w:r w:rsidRPr="00B54241">
        <w:rPr>
          <w:rFonts w:ascii="Calibri" w:hAnsi="Calibri" w:cs="Calibri"/>
          <w:i/>
          <w:iCs/>
          <w:noProof/>
          <w:sz w:val="22"/>
        </w:rPr>
        <w:t>European heart journal</w:t>
      </w:r>
      <w:r w:rsidRPr="00B54241">
        <w:rPr>
          <w:rFonts w:ascii="Calibri" w:hAnsi="Calibri" w:cs="Calibri"/>
          <w:noProof/>
          <w:sz w:val="22"/>
        </w:rPr>
        <w:t xml:space="preserve"> Published Online First: 13 January 2012. doi:10.1093/eurheartj/ehr488</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22 </w:t>
      </w:r>
      <w:r w:rsidRPr="00B54241">
        <w:rPr>
          <w:rFonts w:ascii="Calibri" w:hAnsi="Calibri" w:cs="Calibri"/>
          <w:noProof/>
          <w:sz w:val="22"/>
        </w:rPr>
        <w:tab/>
        <w:t xml:space="preserve">Lip GYH, Edwards SJ. Stroke prevention with aspirin, warfarin and ximelagatran in patients with non-valvular atrial fibrillation: a systematic review and meta-analysis. </w:t>
      </w:r>
      <w:r w:rsidRPr="00B54241">
        <w:rPr>
          <w:rFonts w:ascii="Calibri" w:hAnsi="Calibri" w:cs="Calibri"/>
          <w:i/>
          <w:iCs/>
          <w:noProof/>
          <w:sz w:val="22"/>
        </w:rPr>
        <w:t>Thrombosis research</w:t>
      </w:r>
      <w:r w:rsidRPr="00B54241">
        <w:rPr>
          <w:rFonts w:ascii="Calibri" w:hAnsi="Calibri" w:cs="Calibri"/>
          <w:noProof/>
          <w:sz w:val="22"/>
        </w:rPr>
        <w:t xml:space="preserve"> 2006;</w:t>
      </w:r>
      <w:r w:rsidRPr="00B54241">
        <w:rPr>
          <w:rFonts w:ascii="Calibri" w:hAnsi="Calibri" w:cs="Calibri"/>
          <w:b/>
          <w:bCs/>
          <w:noProof/>
          <w:sz w:val="22"/>
        </w:rPr>
        <w:t>118</w:t>
      </w:r>
      <w:r w:rsidRPr="00B54241">
        <w:rPr>
          <w:rFonts w:ascii="Calibri" w:hAnsi="Calibri" w:cs="Calibri"/>
          <w:noProof/>
          <w:sz w:val="22"/>
        </w:rPr>
        <w:t>:321–33.</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23 </w:t>
      </w:r>
      <w:r w:rsidRPr="00B54241">
        <w:rPr>
          <w:rFonts w:ascii="Calibri" w:hAnsi="Calibri" w:cs="Calibri"/>
          <w:noProof/>
          <w:sz w:val="22"/>
        </w:rPr>
        <w:tab/>
        <w:t xml:space="preserve">Patel MR, Mahaffey KW, Garg J, </w:t>
      </w:r>
      <w:r w:rsidRPr="00B54241">
        <w:rPr>
          <w:rFonts w:ascii="Calibri" w:hAnsi="Calibri" w:cs="Calibri"/>
          <w:i/>
          <w:iCs/>
          <w:noProof/>
          <w:sz w:val="22"/>
        </w:rPr>
        <w:t>et al.</w:t>
      </w:r>
      <w:r w:rsidRPr="00B54241">
        <w:rPr>
          <w:rFonts w:ascii="Calibri" w:hAnsi="Calibri" w:cs="Calibri"/>
          <w:noProof/>
          <w:sz w:val="22"/>
        </w:rPr>
        <w:t xml:space="preserve"> Rivaroxaban versus Warfarin in Nonvalvular Atrial Fibrillation. </w:t>
      </w:r>
      <w:r w:rsidRPr="00B54241">
        <w:rPr>
          <w:rFonts w:ascii="Calibri" w:hAnsi="Calibri" w:cs="Calibri"/>
          <w:i/>
          <w:iCs/>
          <w:noProof/>
          <w:sz w:val="22"/>
        </w:rPr>
        <w:t>New England Journal of Medicine</w:t>
      </w:r>
      <w:r w:rsidRPr="00B54241">
        <w:rPr>
          <w:rFonts w:ascii="Calibri" w:hAnsi="Calibri" w:cs="Calibri"/>
          <w:noProof/>
          <w:sz w:val="22"/>
        </w:rPr>
        <w:t xml:space="preserve"> 2011;</w:t>
      </w:r>
      <w:r w:rsidRPr="00B54241">
        <w:rPr>
          <w:rFonts w:ascii="Calibri" w:hAnsi="Calibri" w:cs="Calibri"/>
          <w:b/>
          <w:bCs/>
          <w:noProof/>
          <w:sz w:val="22"/>
        </w:rPr>
        <w:t>365</w:t>
      </w:r>
      <w:r w:rsidRPr="00B54241">
        <w:rPr>
          <w:rFonts w:ascii="Calibri" w:hAnsi="Calibri" w:cs="Calibri"/>
          <w:noProof/>
          <w:sz w:val="22"/>
        </w:rPr>
        <w:t>:883–91.</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24 </w:t>
      </w:r>
      <w:r w:rsidRPr="00B54241">
        <w:rPr>
          <w:rFonts w:ascii="Calibri" w:hAnsi="Calibri" w:cs="Calibri"/>
          <w:noProof/>
          <w:sz w:val="22"/>
        </w:rPr>
        <w:tab/>
        <w:t xml:space="preserve">Rivero-Arias O, Ouellet M, Gray A, </w:t>
      </w:r>
      <w:r w:rsidRPr="00B54241">
        <w:rPr>
          <w:rFonts w:ascii="Calibri" w:hAnsi="Calibri" w:cs="Calibri"/>
          <w:i/>
          <w:iCs/>
          <w:noProof/>
          <w:sz w:val="22"/>
        </w:rPr>
        <w:t>et al.</w:t>
      </w:r>
      <w:r w:rsidRPr="00B54241">
        <w:rPr>
          <w:rFonts w:ascii="Calibri" w:hAnsi="Calibri" w:cs="Calibri"/>
          <w:noProof/>
          <w:sz w:val="22"/>
        </w:rPr>
        <w:t xml:space="preserve"> Mapping the Modified Rankin Scale (mRS) Measurement into the Generic EuroQol (EQ-5D) Health Outcome. </w:t>
      </w:r>
      <w:r w:rsidRPr="00B54241">
        <w:rPr>
          <w:rFonts w:ascii="Calibri" w:hAnsi="Calibri" w:cs="Calibri"/>
          <w:i/>
          <w:iCs/>
          <w:noProof/>
          <w:sz w:val="22"/>
        </w:rPr>
        <w:t>Medical Decision Making</w:t>
      </w:r>
      <w:r w:rsidRPr="00B54241">
        <w:rPr>
          <w:rFonts w:ascii="Calibri" w:hAnsi="Calibri" w:cs="Calibri"/>
          <w:noProof/>
          <w:sz w:val="22"/>
        </w:rPr>
        <w:t xml:space="preserve"> 2010;</w:t>
      </w:r>
      <w:r w:rsidRPr="00B54241">
        <w:rPr>
          <w:rFonts w:ascii="Calibri" w:hAnsi="Calibri" w:cs="Calibri"/>
          <w:b/>
          <w:bCs/>
          <w:noProof/>
          <w:sz w:val="22"/>
        </w:rPr>
        <w:t>30</w:t>
      </w:r>
      <w:r w:rsidRPr="00B54241">
        <w:rPr>
          <w:rFonts w:ascii="Calibri" w:hAnsi="Calibri" w:cs="Calibri"/>
          <w:noProof/>
          <w:sz w:val="22"/>
        </w:rPr>
        <w:t>:341–54.</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25 </w:t>
      </w:r>
      <w:r w:rsidRPr="00B54241">
        <w:rPr>
          <w:rFonts w:ascii="Calibri" w:hAnsi="Calibri" w:cs="Calibri"/>
          <w:noProof/>
          <w:sz w:val="22"/>
        </w:rPr>
        <w:tab/>
        <w:t xml:space="preserve">Simpson EL, Stevenson MD, Rawdin A, </w:t>
      </w:r>
      <w:r w:rsidRPr="00B54241">
        <w:rPr>
          <w:rFonts w:ascii="Calibri" w:hAnsi="Calibri" w:cs="Calibri"/>
          <w:i/>
          <w:iCs/>
          <w:noProof/>
          <w:sz w:val="22"/>
        </w:rPr>
        <w:t>et al.</w:t>
      </w:r>
      <w:r w:rsidRPr="00B54241">
        <w:rPr>
          <w:rFonts w:ascii="Calibri" w:hAnsi="Calibri" w:cs="Calibri"/>
          <w:noProof/>
          <w:sz w:val="22"/>
        </w:rPr>
        <w:t xml:space="preserve"> Thrombophilia testing in people with venous thromboembolism: systematic review and cost-effectiveness analysis. </w:t>
      </w:r>
      <w:r w:rsidRPr="00B54241">
        <w:rPr>
          <w:rFonts w:ascii="Calibri" w:hAnsi="Calibri" w:cs="Calibri"/>
          <w:i/>
          <w:iCs/>
          <w:noProof/>
          <w:sz w:val="22"/>
        </w:rPr>
        <w:t>Health Technology Assessment</w:t>
      </w:r>
      <w:r w:rsidRPr="00B54241">
        <w:rPr>
          <w:rFonts w:ascii="Calibri" w:hAnsi="Calibri" w:cs="Calibri"/>
          <w:noProof/>
          <w:sz w:val="22"/>
        </w:rPr>
        <w:t xml:space="preserve"> 2009;</w:t>
      </w:r>
      <w:r w:rsidRPr="00B54241">
        <w:rPr>
          <w:rFonts w:ascii="Calibri" w:hAnsi="Calibri" w:cs="Calibri"/>
          <w:b/>
          <w:bCs/>
          <w:noProof/>
          <w:sz w:val="22"/>
        </w:rPr>
        <w:t>13</w:t>
      </w:r>
      <w:r w:rsidRPr="00B54241">
        <w:rPr>
          <w:rFonts w:ascii="Calibri" w:hAnsi="Calibri" w:cs="Calibri"/>
          <w:noProof/>
          <w:sz w:val="22"/>
        </w:rPr>
        <w:t>. doi:10.3310/hta13020</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lastRenderedPageBreak/>
        <w:t xml:space="preserve">26 </w:t>
      </w:r>
      <w:r w:rsidRPr="00B54241">
        <w:rPr>
          <w:rFonts w:ascii="Calibri" w:hAnsi="Calibri" w:cs="Calibri"/>
          <w:noProof/>
          <w:sz w:val="22"/>
        </w:rPr>
        <w:tab/>
        <w:t xml:space="preserve">Ara R, Brazier JE. Populating an economic model with health state utility values: moving toward better practice. </w:t>
      </w:r>
      <w:r w:rsidRPr="00B54241">
        <w:rPr>
          <w:rFonts w:ascii="Calibri" w:hAnsi="Calibri" w:cs="Calibri"/>
          <w:i/>
          <w:iCs/>
          <w:noProof/>
          <w:sz w:val="22"/>
        </w:rPr>
        <w:t>Value in health : the journal of the International Society for Pharmacoeconomics and Outcomes Research</w:t>
      </w:r>
      <w:r w:rsidRPr="00B54241">
        <w:rPr>
          <w:rFonts w:ascii="Calibri" w:hAnsi="Calibri" w:cs="Calibri"/>
          <w:noProof/>
          <w:sz w:val="22"/>
        </w:rPr>
        <w:t xml:space="preserve"> 2010;</w:t>
      </w:r>
      <w:r w:rsidRPr="00B54241">
        <w:rPr>
          <w:rFonts w:ascii="Calibri" w:hAnsi="Calibri" w:cs="Calibri"/>
          <w:b/>
          <w:bCs/>
          <w:noProof/>
          <w:sz w:val="22"/>
        </w:rPr>
        <w:t>13</w:t>
      </w:r>
      <w:r w:rsidRPr="00B54241">
        <w:rPr>
          <w:rFonts w:ascii="Calibri" w:hAnsi="Calibri" w:cs="Calibri"/>
          <w:noProof/>
          <w:sz w:val="22"/>
        </w:rPr>
        <w:t>:509–18.</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27 </w:t>
      </w:r>
      <w:r w:rsidRPr="00B54241">
        <w:rPr>
          <w:rFonts w:ascii="Calibri" w:hAnsi="Calibri" w:cs="Calibri"/>
          <w:noProof/>
          <w:sz w:val="22"/>
        </w:rPr>
        <w:tab/>
        <w:t>NICE. Dabigatran etexilate for the prevention of stroke and systemic embolism in atrial fibrillation: Final appraisal determination. 2011;</w:t>
      </w:r>
      <w:r w:rsidRPr="00B54241">
        <w:rPr>
          <w:rFonts w:ascii="Calibri" w:hAnsi="Calibri" w:cs="Calibri"/>
          <w:b/>
          <w:bCs/>
          <w:noProof/>
          <w:sz w:val="22"/>
        </w:rPr>
        <w:t>2012</w:t>
      </w:r>
      <w:r w:rsidRPr="00B54241">
        <w:rPr>
          <w:rFonts w:ascii="Calibri" w:hAnsi="Calibri" w:cs="Calibri"/>
          <w:noProof/>
          <w:sz w:val="22"/>
        </w:rPr>
        <w:t>.http://www.nice.org.uk/nicemedia/live/12225/56899/56899.pdf</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28 </w:t>
      </w:r>
      <w:r w:rsidRPr="00B54241">
        <w:rPr>
          <w:rFonts w:ascii="Calibri" w:hAnsi="Calibri" w:cs="Calibri"/>
          <w:noProof/>
          <w:sz w:val="22"/>
        </w:rPr>
        <w:tab/>
        <w:t>Group LND. A briefing paper on Dabigatran and Rivaroxaban: What we know so far... 2012;</w:t>
      </w:r>
      <w:r w:rsidRPr="00B54241">
        <w:rPr>
          <w:rFonts w:ascii="Calibri" w:hAnsi="Calibri" w:cs="Calibri"/>
          <w:b/>
          <w:bCs/>
          <w:noProof/>
          <w:sz w:val="22"/>
        </w:rPr>
        <w:t>2012</w:t>
      </w:r>
      <w:r w:rsidRPr="00B54241">
        <w:rPr>
          <w:rFonts w:ascii="Calibri" w:hAnsi="Calibri" w:cs="Calibri"/>
          <w:noProof/>
          <w:sz w:val="22"/>
        </w:rPr>
        <w:t>.http://www.nelm.nhs.uk/en/NeLM-Area/Evidence/Drug-Specific-Reviews/A-briefing-paper-on-dabigatran-and-rivaroxaban/</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29 </w:t>
      </w:r>
      <w:r w:rsidRPr="00B54241">
        <w:rPr>
          <w:rFonts w:ascii="Calibri" w:hAnsi="Calibri" w:cs="Calibri"/>
          <w:noProof/>
          <w:sz w:val="22"/>
        </w:rPr>
        <w:tab/>
        <w:t>BNF. Warfarin. 2011;</w:t>
      </w:r>
      <w:r w:rsidRPr="00B54241">
        <w:rPr>
          <w:rFonts w:ascii="Calibri" w:hAnsi="Calibri" w:cs="Calibri"/>
          <w:b/>
          <w:bCs/>
          <w:noProof/>
          <w:sz w:val="22"/>
        </w:rPr>
        <w:t>2012</w:t>
      </w:r>
      <w:r w:rsidRPr="00B54241">
        <w:rPr>
          <w:rFonts w:ascii="Calibri" w:hAnsi="Calibri" w:cs="Calibri"/>
          <w:noProof/>
          <w:sz w:val="22"/>
        </w:rPr>
        <w:t>.https://mail.google.com/mail/u/1/#inbox/134f06255f3f63de</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30 </w:t>
      </w:r>
      <w:r w:rsidRPr="00B54241">
        <w:rPr>
          <w:rFonts w:ascii="Calibri" w:hAnsi="Calibri" w:cs="Calibri"/>
          <w:noProof/>
          <w:sz w:val="22"/>
        </w:rPr>
        <w:tab/>
        <w:t xml:space="preserve">Sandercock P, Berge E, Dennis M, </w:t>
      </w:r>
      <w:r w:rsidRPr="00B54241">
        <w:rPr>
          <w:rFonts w:ascii="Calibri" w:hAnsi="Calibri" w:cs="Calibri"/>
          <w:i/>
          <w:iCs/>
          <w:noProof/>
          <w:sz w:val="22"/>
        </w:rPr>
        <w:t>et al.</w:t>
      </w:r>
      <w:r w:rsidRPr="00B54241">
        <w:rPr>
          <w:rFonts w:ascii="Calibri" w:hAnsi="Calibri" w:cs="Calibri"/>
          <w:noProof/>
          <w:sz w:val="22"/>
        </w:rPr>
        <w:t xml:space="preserve"> A systematic review of the effectiveness, cost-effectiveness and barriers to implementation of thrombolytic and neuroprotective therapy for acute ischaemic stroke in the NHS. </w:t>
      </w:r>
      <w:r w:rsidRPr="00B54241">
        <w:rPr>
          <w:rFonts w:ascii="Calibri" w:hAnsi="Calibri" w:cs="Calibri"/>
          <w:i/>
          <w:iCs/>
          <w:noProof/>
          <w:sz w:val="22"/>
        </w:rPr>
        <w:t>Health Technology Assessment</w:t>
      </w:r>
      <w:r w:rsidRPr="00B54241">
        <w:rPr>
          <w:rFonts w:ascii="Calibri" w:hAnsi="Calibri" w:cs="Calibri"/>
          <w:noProof/>
          <w:sz w:val="22"/>
        </w:rPr>
        <w:t xml:space="preserve"> 2002;</w:t>
      </w:r>
      <w:r w:rsidRPr="00B54241">
        <w:rPr>
          <w:rFonts w:ascii="Calibri" w:hAnsi="Calibri" w:cs="Calibri"/>
          <w:b/>
          <w:bCs/>
          <w:noProof/>
          <w:sz w:val="22"/>
        </w:rPr>
        <w:t>6</w:t>
      </w:r>
      <w:r w:rsidRPr="00B54241">
        <w:rPr>
          <w:rFonts w:ascii="Calibri" w:hAnsi="Calibri" w:cs="Calibri"/>
          <w:noProof/>
          <w:sz w:val="22"/>
        </w:rPr>
        <w:t>.</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31 </w:t>
      </w:r>
      <w:r w:rsidRPr="00B54241">
        <w:rPr>
          <w:rFonts w:ascii="Calibri" w:hAnsi="Calibri" w:cs="Calibri"/>
          <w:noProof/>
          <w:sz w:val="22"/>
        </w:rPr>
        <w:tab/>
        <w:t>NHS. National Stroke Strategy Impact Assessment. 2007;</w:t>
      </w:r>
      <w:r w:rsidRPr="00B54241">
        <w:rPr>
          <w:rFonts w:ascii="Calibri" w:hAnsi="Calibri" w:cs="Calibri"/>
          <w:b/>
          <w:bCs/>
          <w:noProof/>
          <w:sz w:val="22"/>
        </w:rPr>
        <w:t>2012</w:t>
      </w:r>
      <w:r w:rsidRPr="00B54241">
        <w:rPr>
          <w:rFonts w:ascii="Calibri" w:hAnsi="Calibri" w:cs="Calibri"/>
          <w:noProof/>
          <w:sz w:val="22"/>
        </w:rPr>
        <w:t>.http://www.dh.gov.uk/prod_consum_dh/groups/dh_digitalassets/documents/digitalasset/dh_081054.pdf</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32 </w:t>
      </w:r>
      <w:r w:rsidRPr="00B54241">
        <w:rPr>
          <w:rFonts w:ascii="Calibri" w:hAnsi="Calibri" w:cs="Calibri"/>
          <w:noProof/>
          <w:sz w:val="22"/>
        </w:rPr>
        <w:tab/>
        <w:t xml:space="preserve">Curtis L. Unit Costs of Health and Social Care 2010. Kent: 2010. </w:t>
      </w:r>
    </w:p>
    <w:p w:rsidR="00834F71" w:rsidRPr="00532F44" w:rsidRDefault="002F05E5" w:rsidP="00B54241">
      <w:pPr>
        <w:pStyle w:val="NormalWeb"/>
        <w:ind w:left="640" w:hanging="640"/>
        <w:divId w:val="29769821"/>
      </w:pPr>
      <w:r>
        <w:fldChar w:fldCharType="end"/>
      </w:r>
    </w:p>
    <w:p w:rsidR="008E6143" w:rsidRDefault="008E6143">
      <w:pPr>
        <w:spacing w:line="276" w:lineRule="auto"/>
        <w:jc w:val="left"/>
        <w:rPr>
          <w:rFonts w:ascii="Times New Roman" w:hAnsi="Times New Roman" w:cs="Times New Roman"/>
          <w:sz w:val="24"/>
          <w:szCs w:val="24"/>
          <w:lang w:val="en-GB" w:eastAsia="en-GB" w:bidi="ar-SA"/>
        </w:rPr>
        <w:sectPr w:rsidR="008E6143" w:rsidSect="008E6143">
          <w:pgSz w:w="11906" w:h="16838"/>
          <w:pgMar w:top="1440" w:right="1440" w:bottom="1440" w:left="1440" w:header="709" w:footer="709" w:gutter="0"/>
          <w:cols w:space="708"/>
          <w:docGrid w:linePitch="360"/>
        </w:sectPr>
      </w:pPr>
    </w:p>
    <w:p w:rsidR="00834F71" w:rsidRPr="00532F44" w:rsidRDefault="003B36C5" w:rsidP="00834F71">
      <w:pPr>
        <w:divId w:val="1548566716"/>
      </w:pPr>
      <w:r>
        <w:rPr>
          <w:noProof/>
          <w:lang w:val="en-GB" w:eastAsia="en-GB" w:bidi="ar-SA"/>
        </w:rPr>
        <w:lastRenderedPageBreak/>
        <w:drawing>
          <wp:inline distT="0" distB="0" distL="0" distR="0">
            <wp:extent cx="8858250" cy="3705225"/>
            <wp:effectExtent l="0" t="0" r="0" b="0"/>
            <wp:docPr id="5" name="Picture 5" descr="X:\BMJ Echo AF Manuscript\Conceptual mode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BMJ Echo AF Manuscript\Conceptual model.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858250" cy="3705225"/>
                    </a:xfrm>
                    <a:prstGeom prst="rect">
                      <a:avLst/>
                    </a:prstGeom>
                    <a:noFill/>
                    <a:ln>
                      <a:noFill/>
                    </a:ln>
                  </pic:spPr>
                </pic:pic>
              </a:graphicData>
            </a:graphic>
          </wp:inline>
        </w:drawing>
      </w:r>
    </w:p>
    <w:p w:rsidR="00834F71" w:rsidRPr="00532F44" w:rsidRDefault="00834F71" w:rsidP="00834F71">
      <w:pPr>
        <w:pStyle w:val="Caption"/>
        <w:divId w:val="1548566716"/>
        <w:rPr>
          <w:color w:val="auto"/>
        </w:rPr>
      </w:pPr>
      <w:bookmarkStart w:id="5" w:name="_Ref321241706"/>
      <w:r w:rsidRPr="00532F44">
        <w:rPr>
          <w:color w:val="auto"/>
        </w:rPr>
        <w:t xml:space="preserve">Figure </w:t>
      </w:r>
      <w:r w:rsidR="002F05E5" w:rsidRPr="00532F44">
        <w:rPr>
          <w:color w:val="auto"/>
        </w:rPr>
        <w:fldChar w:fldCharType="begin"/>
      </w:r>
      <w:r w:rsidR="00AC692E" w:rsidRPr="00532F44">
        <w:rPr>
          <w:color w:val="auto"/>
        </w:rPr>
        <w:instrText xml:space="preserve"> SEQ Figure \* ARABIC </w:instrText>
      </w:r>
      <w:r w:rsidR="002F05E5" w:rsidRPr="00532F44">
        <w:rPr>
          <w:color w:val="auto"/>
        </w:rPr>
        <w:fldChar w:fldCharType="separate"/>
      </w:r>
      <w:r w:rsidR="00B66501">
        <w:rPr>
          <w:noProof/>
          <w:color w:val="auto"/>
        </w:rPr>
        <w:t>1</w:t>
      </w:r>
      <w:r w:rsidR="002F05E5" w:rsidRPr="00532F44">
        <w:rPr>
          <w:noProof/>
          <w:color w:val="auto"/>
        </w:rPr>
        <w:fldChar w:fldCharType="end"/>
      </w:r>
      <w:bookmarkEnd w:id="5"/>
      <w:r w:rsidRPr="00532F44">
        <w:rPr>
          <w:color w:val="auto"/>
        </w:rPr>
        <w:t xml:space="preserve"> Graphical representation of the mathematical model</w:t>
      </w:r>
    </w:p>
    <w:p w:rsidR="00834F71" w:rsidRPr="00532F44" w:rsidRDefault="00834F71" w:rsidP="00C42A71">
      <w:pPr>
        <w:pStyle w:val="NormalWeb"/>
        <w:ind w:left="640" w:hanging="640"/>
        <w:divId w:val="1548566716"/>
      </w:pPr>
    </w:p>
    <w:p w:rsidR="00834F71" w:rsidRPr="00532F44" w:rsidRDefault="00834F71" w:rsidP="00C42A71">
      <w:pPr>
        <w:pStyle w:val="NormalWeb"/>
        <w:ind w:left="640" w:hanging="640"/>
        <w:divId w:val="1548566716"/>
        <w:sectPr w:rsidR="00834F71" w:rsidRPr="00532F44" w:rsidSect="008E6143">
          <w:pgSz w:w="16838" w:h="11906" w:orient="landscape"/>
          <w:pgMar w:top="1440" w:right="1440" w:bottom="1440" w:left="1440" w:header="709" w:footer="709" w:gutter="0"/>
          <w:cols w:space="708"/>
          <w:docGrid w:linePitch="360"/>
        </w:sectPr>
      </w:pPr>
    </w:p>
    <w:tbl>
      <w:tblPr>
        <w:tblStyle w:val="TableGrid"/>
        <w:tblW w:w="0" w:type="auto"/>
        <w:tblLook w:val="04A0" w:firstRow="1" w:lastRow="0" w:firstColumn="1" w:lastColumn="0" w:noHBand="0" w:noVBand="1"/>
      </w:tblPr>
      <w:tblGrid>
        <w:gridCol w:w="4077"/>
        <w:gridCol w:w="1721"/>
        <w:gridCol w:w="1722"/>
        <w:gridCol w:w="1722"/>
      </w:tblGrid>
      <w:tr w:rsidR="00183C66" w:rsidRPr="00532F44" w:rsidTr="00BC4AAE">
        <w:trPr>
          <w:divId w:val="1548566716"/>
        </w:trPr>
        <w:tc>
          <w:tcPr>
            <w:tcW w:w="4077" w:type="dxa"/>
          </w:tcPr>
          <w:p w:rsidR="00183C66" w:rsidRPr="00532F44" w:rsidRDefault="00183C66" w:rsidP="00920A0B">
            <w:pPr>
              <w:rPr>
                <w:b/>
              </w:rPr>
            </w:pPr>
            <w:r w:rsidRPr="00532F44">
              <w:rPr>
                <w:b/>
              </w:rPr>
              <w:lastRenderedPageBreak/>
              <w:t>CHADS</w:t>
            </w:r>
            <w:r w:rsidRPr="00532F44">
              <w:rPr>
                <w:b/>
                <w:vertAlign w:val="subscript"/>
              </w:rPr>
              <w:t>2</w:t>
            </w:r>
            <w:r w:rsidRPr="00532F44">
              <w:rPr>
                <w:b/>
              </w:rPr>
              <w:t xml:space="preserve"> score</w:t>
            </w:r>
          </w:p>
        </w:tc>
        <w:tc>
          <w:tcPr>
            <w:tcW w:w="1721" w:type="dxa"/>
          </w:tcPr>
          <w:p w:rsidR="00183C66" w:rsidRPr="00532F44" w:rsidRDefault="00183C66" w:rsidP="00620AA2">
            <w:pPr>
              <w:rPr>
                <w:b/>
              </w:rPr>
            </w:pPr>
            <w:r w:rsidRPr="00532F44">
              <w:rPr>
                <w:b/>
              </w:rPr>
              <w:t xml:space="preserve">Prescribe </w:t>
            </w:r>
            <w:proofErr w:type="spellStart"/>
            <w:r w:rsidR="00620AA2">
              <w:rPr>
                <w:b/>
              </w:rPr>
              <w:t>d</w:t>
            </w:r>
            <w:r w:rsidRPr="00532F44">
              <w:rPr>
                <w:b/>
              </w:rPr>
              <w:t>abigatran</w:t>
            </w:r>
            <w:proofErr w:type="spellEnd"/>
          </w:p>
        </w:tc>
        <w:tc>
          <w:tcPr>
            <w:tcW w:w="1722" w:type="dxa"/>
          </w:tcPr>
          <w:p w:rsidR="00183C66" w:rsidRPr="00532F44" w:rsidRDefault="00183C66" w:rsidP="00620AA2">
            <w:pPr>
              <w:rPr>
                <w:b/>
              </w:rPr>
            </w:pPr>
            <w:r w:rsidRPr="00532F44">
              <w:rPr>
                <w:b/>
              </w:rPr>
              <w:t xml:space="preserve">Prescribe </w:t>
            </w:r>
            <w:r w:rsidR="00620AA2">
              <w:rPr>
                <w:b/>
              </w:rPr>
              <w:t>w</w:t>
            </w:r>
            <w:r w:rsidRPr="00532F44">
              <w:rPr>
                <w:b/>
              </w:rPr>
              <w:t>arfarin</w:t>
            </w:r>
          </w:p>
        </w:tc>
        <w:tc>
          <w:tcPr>
            <w:tcW w:w="1722" w:type="dxa"/>
          </w:tcPr>
          <w:p w:rsidR="00183C66" w:rsidRPr="00532F44" w:rsidRDefault="00183C66" w:rsidP="00620AA2">
            <w:pPr>
              <w:rPr>
                <w:b/>
              </w:rPr>
            </w:pPr>
            <w:r w:rsidRPr="00532F44">
              <w:rPr>
                <w:b/>
              </w:rPr>
              <w:t xml:space="preserve">Prescribe </w:t>
            </w:r>
            <w:proofErr w:type="spellStart"/>
            <w:r w:rsidR="00620AA2">
              <w:rPr>
                <w:b/>
              </w:rPr>
              <w:t>r</w:t>
            </w:r>
            <w:r w:rsidRPr="00532F44">
              <w:rPr>
                <w:b/>
              </w:rPr>
              <w:t>ivaroxaban</w:t>
            </w:r>
            <w:proofErr w:type="spellEnd"/>
          </w:p>
        </w:tc>
      </w:tr>
      <w:tr w:rsidR="00183C66" w:rsidRPr="00532F44" w:rsidTr="00BC4AAE">
        <w:trPr>
          <w:divId w:val="1548566716"/>
        </w:trPr>
        <w:tc>
          <w:tcPr>
            <w:tcW w:w="4077" w:type="dxa"/>
          </w:tcPr>
          <w:p w:rsidR="00183C66" w:rsidRPr="00532F44" w:rsidRDefault="00183C66" w:rsidP="00920A0B">
            <w:r w:rsidRPr="00532F44">
              <w:t>0</w:t>
            </w:r>
          </w:p>
        </w:tc>
        <w:tc>
          <w:tcPr>
            <w:tcW w:w="1721" w:type="dxa"/>
          </w:tcPr>
          <w:p w:rsidR="00183C66" w:rsidRPr="00532F44" w:rsidRDefault="00183C66" w:rsidP="00920A0B">
            <w:r w:rsidRPr="00532F44">
              <w:t>No</w:t>
            </w:r>
          </w:p>
        </w:tc>
        <w:tc>
          <w:tcPr>
            <w:tcW w:w="1722" w:type="dxa"/>
          </w:tcPr>
          <w:p w:rsidR="00183C66" w:rsidRPr="00532F44" w:rsidRDefault="00183C66" w:rsidP="00920A0B">
            <w:r w:rsidRPr="00532F44">
              <w:t>No</w:t>
            </w:r>
          </w:p>
        </w:tc>
        <w:tc>
          <w:tcPr>
            <w:tcW w:w="1722" w:type="dxa"/>
          </w:tcPr>
          <w:p w:rsidR="00183C66" w:rsidRPr="00532F44" w:rsidRDefault="00183C66" w:rsidP="00920A0B">
            <w:r w:rsidRPr="00532F44">
              <w:t>No</w:t>
            </w:r>
          </w:p>
        </w:tc>
      </w:tr>
      <w:tr w:rsidR="00183C66" w:rsidRPr="00532F44" w:rsidTr="00BC4AAE">
        <w:trPr>
          <w:divId w:val="1548566716"/>
        </w:trPr>
        <w:tc>
          <w:tcPr>
            <w:tcW w:w="4077" w:type="dxa"/>
          </w:tcPr>
          <w:p w:rsidR="00183C66" w:rsidRPr="00532F44" w:rsidRDefault="00183C66" w:rsidP="00920A0B">
            <w:r w:rsidRPr="00532F44">
              <w:t>1</w:t>
            </w:r>
          </w:p>
        </w:tc>
        <w:tc>
          <w:tcPr>
            <w:tcW w:w="1721" w:type="dxa"/>
          </w:tcPr>
          <w:p w:rsidR="00183C66" w:rsidRPr="00532F44" w:rsidRDefault="00183C66" w:rsidP="00920A0B">
            <w:r w:rsidRPr="00532F44">
              <w:t>Yes (age 65 or over)</w:t>
            </w:r>
          </w:p>
        </w:tc>
        <w:tc>
          <w:tcPr>
            <w:tcW w:w="1722" w:type="dxa"/>
          </w:tcPr>
          <w:p w:rsidR="00183C66" w:rsidRPr="00532F44" w:rsidRDefault="00B13ECE" w:rsidP="00920A0B">
            <w:r>
              <w:t>Yes (or aspirin)</w:t>
            </w:r>
          </w:p>
        </w:tc>
        <w:tc>
          <w:tcPr>
            <w:tcW w:w="1722" w:type="dxa"/>
          </w:tcPr>
          <w:p w:rsidR="00183C66" w:rsidRPr="00532F44" w:rsidRDefault="00183C66" w:rsidP="00920A0B">
            <w:r w:rsidRPr="00532F44">
              <w:t>Yes</w:t>
            </w:r>
          </w:p>
        </w:tc>
      </w:tr>
      <w:tr w:rsidR="00183C66" w:rsidRPr="00532F44" w:rsidTr="00BC4AAE">
        <w:trPr>
          <w:divId w:val="1548566716"/>
          <w:trHeight w:val="251"/>
        </w:trPr>
        <w:tc>
          <w:tcPr>
            <w:tcW w:w="4077" w:type="dxa"/>
          </w:tcPr>
          <w:p w:rsidR="00183C66" w:rsidRPr="00532F44" w:rsidRDefault="00183C66" w:rsidP="00920A0B">
            <w:r w:rsidRPr="00532F44">
              <w:t>2 or more</w:t>
            </w:r>
          </w:p>
        </w:tc>
        <w:tc>
          <w:tcPr>
            <w:tcW w:w="1721" w:type="dxa"/>
          </w:tcPr>
          <w:p w:rsidR="00183C66" w:rsidRPr="00532F44" w:rsidRDefault="00183C66" w:rsidP="00920A0B">
            <w:r w:rsidRPr="00532F44">
              <w:t>Yes</w:t>
            </w:r>
          </w:p>
        </w:tc>
        <w:tc>
          <w:tcPr>
            <w:tcW w:w="1722" w:type="dxa"/>
          </w:tcPr>
          <w:p w:rsidR="00183C66" w:rsidRPr="00532F44" w:rsidRDefault="00183C66" w:rsidP="00920A0B">
            <w:r w:rsidRPr="00532F44">
              <w:t>Yes</w:t>
            </w:r>
          </w:p>
        </w:tc>
        <w:tc>
          <w:tcPr>
            <w:tcW w:w="1722" w:type="dxa"/>
          </w:tcPr>
          <w:p w:rsidR="00183C66" w:rsidRPr="00532F44" w:rsidRDefault="00183C66" w:rsidP="00920A0B">
            <w:pPr>
              <w:keepNext/>
            </w:pPr>
            <w:r w:rsidRPr="00532F44">
              <w:t>Yes</w:t>
            </w:r>
          </w:p>
        </w:tc>
      </w:tr>
      <w:tr w:rsidR="00183C66" w:rsidRPr="00532F44" w:rsidTr="00BC4AAE">
        <w:trPr>
          <w:divId w:val="1548566716"/>
          <w:trHeight w:val="217"/>
        </w:trPr>
        <w:tc>
          <w:tcPr>
            <w:tcW w:w="4077" w:type="dxa"/>
          </w:tcPr>
          <w:p w:rsidR="00183C66" w:rsidRPr="00532F44" w:rsidRDefault="00183C66" w:rsidP="00920A0B">
            <w:pPr>
              <w:rPr>
                <w:b/>
              </w:rPr>
            </w:pPr>
            <w:r w:rsidRPr="00532F44">
              <w:rPr>
                <w:b/>
              </w:rPr>
              <w:t>Cohorts simulated</w:t>
            </w:r>
          </w:p>
        </w:tc>
        <w:tc>
          <w:tcPr>
            <w:tcW w:w="1721" w:type="dxa"/>
          </w:tcPr>
          <w:p w:rsidR="00183C66" w:rsidRPr="00532F44" w:rsidRDefault="00E41165" w:rsidP="00620AA2">
            <w:pPr>
              <w:rPr>
                <w:b/>
              </w:rPr>
            </w:pPr>
            <w:r w:rsidRPr="00532F44">
              <w:rPr>
                <w:b/>
              </w:rPr>
              <w:t>Scenarios considered</w:t>
            </w:r>
            <w:r w:rsidR="00BC4AAE" w:rsidRPr="00532F44">
              <w:rPr>
                <w:b/>
              </w:rPr>
              <w:t xml:space="preserve"> for </w:t>
            </w:r>
            <w:proofErr w:type="spellStart"/>
            <w:r w:rsidR="00620AA2">
              <w:rPr>
                <w:b/>
              </w:rPr>
              <w:t>d</w:t>
            </w:r>
            <w:r w:rsidR="00BC4AAE" w:rsidRPr="00532F44">
              <w:rPr>
                <w:b/>
              </w:rPr>
              <w:t>abigatran</w:t>
            </w:r>
            <w:proofErr w:type="spellEnd"/>
          </w:p>
        </w:tc>
        <w:tc>
          <w:tcPr>
            <w:tcW w:w="1722" w:type="dxa"/>
          </w:tcPr>
          <w:p w:rsidR="00183C66" w:rsidRPr="00532F44" w:rsidRDefault="00C0617D" w:rsidP="00620AA2">
            <w:pPr>
              <w:rPr>
                <w:b/>
              </w:rPr>
            </w:pPr>
            <w:r w:rsidRPr="00532F44">
              <w:rPr>
                <w:b/>
              </w:rPr>
              <w:t>Scenarios considered</w:t>
            </w:r>
            <w:r w:rsidR="00BC4AAE" w:rsidRPr="00532F44">
              <w:rPr>
                <w:b/>
              </w:rPr>
              <w:t xml:space="preserve"> for </w:t>
            </w:r>
            <w:r w:rsidR="00620AA2">
              <w:rPr>
                <w:b/>
              </w:rPr>
              <w:t>w</w:t>
            </w:r>
            <w:r w:rsidR="00BC4AAE" w:rsidRPr="00532F44">
              <w:rPr>
                <w:b/>
              </w:rPr>
              <w:t>arfarin</w:t>
            </w:r>
          </w:p>
        </w:tc>
        <w:tc>
          <w:tcPr>
            <w:tcW w:w="1722" w:type="dxa"/>
          </w:tcPr>
          <w:p w:rsidR="00183C66" w:rsidRPr="00532F44" w:rsidRDefault="00C0617D" w:rsidP="00620AA2">
            <w:pPr>
              <w:keepNext/>
              <w:rPr>
                <w:b/>
              </w:rPr>
            </w:pPr>
            <w:r w:rsidRPr="00532F44">
              <w:rPr>
                <w:b/>
              </w:rPr>
              <w:t>Scenarios considered</w:t>
            </w:r>
            <w:r w:rsidR="00BC4AAE" w:rsidRPr="00532F44">
              <w:rPr>
                <w:b/>
              </w:rPr>
              <w:t xml:space="preserve"> for </w:t>
            </w:r>
            <w:proofErr w:type="spellStart"/>
            <w:r w:rsidR="00620AA2">
              <w:rPr>
                <w:b/>
              </w:rPr>
              <w:t>r</w:t>
            </w:r>
            <w:r w:rsidR="00BC4AAE" w:rsidRPr="00532F44">
              <w:rPr>
                <w:b/>
              </w:rPr>
              <w:t>ivaroxaban</w:t>
            </w:r>
            <w:proofErr w:type="spellEnd"/>
          </w:p>
        </w:tc>
      </w:tr>
      <w:tr w:rsidR="00183C66" w:rsidRPr="00532F44" w:rsidTr="00BC4AAE">
        <w:trPr>
          <w:divId w:val="1548566716"/>
          <w:trHeight w:val="201"/>
        </w:trPr>
        <w:tc>
          <w:tcPr>
            <w:tcW w:w="4077" w:type="dxa"/>
          </w:tcPr>
          <w:p w:rsidR="00183C66" w:rsidRPr="00532F44" w:rsidRDefault="00183C66" w:rsidP="00920A0B">
            <w:r w:rsidRPr="00532F44">
              <w:t>Males, age 50, CHADS</w:t>
            </w:r>
            <w:r w:rsidRPr="00532F44">
              <w:rPr>
                <w:vertAlign w:val="subscript"/>
              </w:rPr>
              <w:t>2</w:t>
            </w:r>
            <w:r w:rsidRPr="00532F44">
              <w:t xml:space="preserve"> score of zero</w:t>
            </w:r>
          </w:p>
        </w:tc>
        <w:tc>
          <w:tcPr>
            <w:tcW w:w="1721" w:type="dxa"/>
          </w:tcPr>
          <w:p w:rsidR="00183C66" w:rsidRPr="00532F44" w:rsidRDefault="00BC4AAE" w:rsidP="00920A0B">
            <w:r w:rsidRPr="00532F44">
              <w:t>No</w:t>
            </w:r>
            <w:r w:rsidR="009A3B70" w:rsidRPr="00532F44">
              <w:t xml:space="preserve"> </w:t>
            </w:r>
            <w:r w:rsidR="00896DA7" w:rsidRPr="00532F44">
              <w:rPr>
                <w:rFonts w:ascii="Cambria Math" w:hAnsi="Cambria Math"/>
                <w:vertAlign w:val="superscript"/>
              </w:rPr>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67"/>
        </w:trPr>
        <w:tc>
          <w:tcPr>
            <w:tcW w:w="4077" w:type="dxa"/>
          </w:tcPr>
          <w:p w:rsidR="00183C66" w:rsidRPr="00532F44" w:rsidRDefault="00183C66" w:rsidP="00920A0B">
            <w:r w:rsidRPr="00532F44">
              <w:t>Females, age 50, CHADS</w:t>
            </w:r>
            <w:r w:rsidRPr="00532F44">
              <w:rPr>
                <w:vertAlign w:val="subscript"/>
              </w:rPr>
              <w:t>2</w:t>
            </w:r>
            <w:r w:rsidRPr="00532F44">
              <w:t xml:space="preserve"> score of zero</w:t>
            </w:r>
          </w:p>
        </w:tc>
        <w:tc>
          <w:tcPr>
            <w:tcW w:w="1721" w:type="dxa"/>
          </w:tcPr>
          <w:p w:rsidR="00183C66" w:rsidRPr="00532F44" w:rsidRDefault="00BC4AAE" w:rsidP="00920A0B">
            <w:r w:rsidRPr="00532F44">
              <w:t>No</w:t>
            </w:r>
            <w:r w:rsidR="009A3B70" w:rsidRPr="00532F44">
              <w:t xml:space="preserve"> </w:t>
            </w:r>
            <w:r w:rsidR="00896DA7" w:rsidRPr="00532F44">
              <w:rPr>
                <w:rFonts w:ascii="Cambria Math" w:hAnsi="Cambria Math"/>
                <w:vertAlign w:val="superscript"/>
              </w:rPr>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84"/>
        </w:trPr>
        <w:tc>
          <w:tcPr>
            <w:tcW w:w="4077" w:type="dxa"/>
          </w:tcPr>
          <w:p w:rsidR="00183C66" w:rsidRPr="00532F44" w:rsidRDefault="00183C66" w:rsidP="00920A0B">
            <w:r w:rsidRPr="00532F44">
              <w:t>Males, age 65, CHADS</w:t>
            </w:r>
            <w:r w:rsidRPr="00532F44">
              <w:rPr>
                <w:vertAlign w:val="subscript"/>
              </w:rPr>
              <w:t>2</w:t>
            </w:r>
            <w:r w:rsidRPr="00532F44">
              <w:t xml:space="preserve"> score of zero</w:t>
            </w:r>
          </w:p>
        </w:tc>
        <w:tc>
          <w:tcPr>
            <w:tcW w:w="1721" w:type="dxa"/>
          </w:tcPr>
          <w:p w:rsidR="00183C66" w:rsidRPr="00532F44" w:rsidRDefault="00BC4AAE" w:rsidP="00920A0B">
            <w:r w:rsidRPr="00532F44">
              <w:t>Yes</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84"/>
        </w:trPr>
        <w:tc>
          <w:tcPr>
            <w:tcW w:w="4077" w:type="dxa"/>
          </w:tcPr>
          <w:p w:rsidR="00183C66" w:rsidRPr="00532F44" w:rsidRDefault="00183C66" w:rsidP="00920A0B">
            <w:r w:rsidRPr="00532F44">
              <w:t>Females, age 65, CHADS</w:t>
            </w:r>
            <w:r w:rsidRPr="00532F44">
              <w:rPr>
                <w:vertAlign w:val="subscript"/>
              </w:rPr>
              <w:t>2</w:t>
            </w:r>
            <w:r w:rsidRPr="00532F44">
              <w:t xml:space="preserve"> score of zero</w:t>
            </w:r>
          </w:p>
        </w:tc>
        <w:tc>
          <w:tcPr>
            <w:tcW w:w="1721" w:type="dxa"/>
          </w:tcPr>
          <w:p w:rsidR="00183C66" w:rsidRPr="00532F44" w:rsidRDefault="00BC4AAE" w:rsidP="00920A0B">
            <w:r w:rsidRPr="00532F44">
              <w:t>Yes</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C0617D" w:rsidRPr="00532F44" w:rsidTr="003762FF">
        <w:trPr>
          <w:divId w:val="1548566716"/>
          <w:trHeight w:val="184"/>
        </w:trPr>
        <w:tc>
          <w:tcPr>
            <w:tcW w:w="9242" w:type="dxa"/>
            <w:gridSpan w:val="4"/>
            <w:tcBorders>
              <w:bottom w:val="single" w:sz="4" w:space="0" w:color="auto"/>
            </w:tcBorders>
          </w:tcPr>
          <w:p w:rsidR="009A3B70" w:rsidRPr="00532F44" w:rsidRDefault="009A3B70" w:rsidP="009A3B70">
            <w:pPr>
              <w:keepNext/>
            </w:pPr>
            <w:r w:rsidRPr="00532F44">
              <w:t xml:space="preserve">* </w:t>
            </w:r>
            <w:r w:rsidR="00C0617D" w:rsidRPr="00532F44">
              <w:t>Patient would automatically receive treatment.</w:t>
            </w:r>
          </w:p>
          <w:p w:rsidR="00C0617D" w:rsidRPr="00532F44" w:rsidRDefault="009A3B70" w:rsidP="009A3B70">
            <w:pPr>
              <w:keepNext/>
            </w:pPr>
            <w:r w:rsidRPr="00532F44">
              <w:rPr>
                <w:rFonts w:ascii="Cambria Math" w:hAnsi="Cambria Math"/>
              </w:rPr>
              <w:t xml:space="preserve">† </w:t>
            </w:r>
            <w:r w:rsidR="00C0617D" w:rsidRPr="00532F44">
              <w:t>OAC not permitted under NICE guidance</w:t>
            </w:r>
          </w:p>
        </w:tc>
      </w:tr>
    </w:tbl>
    <w:p w:rsidR="00834F71" w:rsidRPr="00532F44" w:rsidRDefault="00834F71" w:rsidP="00834F71">
      <w:pPr>
        <w:pStyle w:val="Caption"/>
        <w:divId w:val="1548566716"/>
        <w:rPr>
          <w:color w:val="auto"/>
        </w:rPr>
      </w:pPr>
      <w:bookmarkStart w:id="6" w:name="_Ref321227101"/>
      <w:r w:rsidRPr="00532F44">
        <w:rPr>
          <w:color w:val="auto"/>
        </w:rPr>
        <w:t xml:space="preserve">Table </w:t>
      </w:r>
      <w:r w:rsidR="00EF4E89">
        <w:rPr>
          <w:color w:val="auto"/>
        </w:rPr>
        <w:fldChar w:fldCharType="begin"/>
      </w:r>
      <w:r w:rsidR="00EF4E89">
        <w:rPr>
          <w:color w:val="auto"/>
        </w:rPr>
        <w:instrText xml:space="preserve"> SEQ Table \* ARABIC </w:instrText>
      </w:r>
      <w:r w:rsidR="00EF4E89">
        <w:rPr>
          <w:color w:val="auto"/>
        </w:rPr>
        <w:fldChar w:fldCharType="separate"/>
      </w:r>
      <w:r w:rsidR="00B66501">
        <w:rPr>
          <w:noProof/>
          <w:color w:val="auto"/>
        </w:rPr>
        <w:t>1</w:t>
      </w:r>
      <w:r w:rsidR="00EF4E89">
        <w:rPr>
          <w:color w:val="auto"/>
        </w:rPr>
        <w:fldChar w:fldCharType="end"/>
      </w:r>
      <w:bookmarkEnd w:id="6"/>
      <w:r w:rsidRPr="00532F44">
        <w:rPr>
          <w:color w:val="auto"/>
        </w:rPr>
        <w:t xml:space="preserve"> </w:t>
      </w:r>
      <w:r w:rsidR="00BC4AAE" w:rsidRPr="00532F44">
        <w:rPr>
          <w:color w:val="auto"/>
        </w:rPr>
        <w:t xml:space="preserve">Simplified OAC indications by </w:t>
      </w:r>
      <w:proofErr w:type="gramStart"/>
      <w:r w:rsidR="00BC4AAE" w:rsidRPr="00532F44">
        <w:rPr>
          <w:color w:val="auto"/>
        </w:rPr>
        <w:t>OAC,</w:t>
      </w:r>
      <w:proofErr w:type="gramEnd"/>
      <w:r w:rsidR="00BC4AAE" w:rsidRPr="00532F44">
        <w:rPr>
          <w:color w:val="auto"/>
        </w:rPr>
        <w:t xml:space="preserve"> and patient cohorts run for each OAC</w:t>
      </w:r>
    </w:p>
    <w:p w:rsidR="00F309FB" w:rsidRDefault="00F309FB">
      <w:pPr>
        <w:spacing w:line="276" w:lineRule="auto"/>
        <w:jc w:val="left"/>
        <w:rPr>
          <w:lang w:val="en-GB"/>
        </w:rPr>
      </w:pPr>
      <w:r>
        <w:rPr>
          <w:lang w:val="en-GB"/>
        </w:rPr>
        <w:br w:type="page"/>
      </w:r>
    </w:p>
    <w:p w:rsidR="00120CC0" w:rsidRPr="00532F44" w:rsidRDefault="00120CC0" w:rsidP="00F309FB">
      <w:pPr>
        <w:spacing w:line="276" w:lineRule="auto"/>
        <w:jc w:val="left"/>
        <w:rPr>
          <w:lang w:val="en-GB"/>
        </w:rPr>
        <w:sectPr w:rsidR="00120CC0" w:rsidRPr="00532F44" w:rsidSect="009B762A">
          <w:pgSz w:w="11906" w:h="16838"/>
          <w:pgMar w:top="1440" w:right="1440" w:bottom="1440" w:left="1440" w:header="708" w:footer="708" w:gutter="0"/>
          <w:cols w:space="708"/>
          <w:docGrid w:linePitch="360"/>
        </w:sectPr>
      </w:pPr>
    </w:p>
    <w:p w:rsidR="00E5262E" w:rsidRPr="00532F44" w:rsidRDefault="00E5262E" w:rsidP="00E5262E">
      <w:pPr>
        <w:divId w:val="1548566716"/>
        <w:rPr>
          <w:lang w:val="en-GB"/>
        </w:rPr>
      </w:pPr>
    </w:p>
    <w:p w:rsidR="009764E6" w:rsidRDefault="009764E6">
      <w:pPr>
        <w:spacing w:line="276" w:lineRule="auto"/>
        <w:jc w:val="left"/>
        <w:rPr>
          <w:lang w:val="en-GB"/>
        </w:rPr>
        <w:sectPr w:rsidR="009764E6" w:rsidSect="003225C4">
          <w:pgSz w:w="16838" w:h="11906" w:orient="landscape"/>
          <w:pgMar w:top="1440" w:right="1440" w:bottom="1440" w:left="1440" w:header="708" w:footer="708" w:gutter="0"/>
          <w:cols w:space="708"/>
          <w:docGrid w:linePitch="360"/>
        </w:sectPr>
      </w:pPr>
    </w:p>
    <w:p w:rsidR="007946CB" w:rsidRDefault="007946CB" w:rsidP="007946CB">
      <w:pPr>
        <w:spacing w:line="480" w:lineRule="auto"/>
      </w:pPr>
    </w:p>
    <w:tbl>
      <w:tblPr>
        <w:tblStyle w:val="TableGrid"/>
        <w:tblW w:w="0" w:type="auto"/>
        <w:tblLook w:val="04A0" w:firstRow="1" w:lastRow="0" w:firstColumn="1" w:lastColumn="0" w:noHBand="0" w:noVBand="1"/>
      </w:tblPr>
      <w:tblGrid>
        <w:gridCol w:w="11590"/>
      </w:tblGrid>
      <w:tr w:rsidR="007946CB" w:rsidRPr="0031099C" w:rsidTr="00CB6D0B">
        <w:tc>
          <w:tcPr>
            <w:tcW w:w="11590" w:type="dxa"/>
          </w:tcPr>
          <w:tbl>
            <w:tblPr>
              <w:tblStyle w:val="TableGrid"/>
              <w:tblW w:w="11335" w:type="dxa"/>
              <w:tblLook w:val="04A0" w:firstRow="1" w:lastRow="0" w:firstColumn="1" w:lastColumn="0" w:noHBand="0" w:noVBand="1"/>
            </w:tblPr>
            <w:tblGrid>
              <w:gridCol w:w="1266"/>
              <w:gridCol w:w="914"/>
              <w:gridCol w:w="848"/>
              <w:gridCol w:w="749"/>
              <w:gridCol w:w="759"/>
              <w:gridCol w:w="1195"/>
              <w:gridCol w:w="1337"/>
              <w:gridCol w:w="690"/>
              <w:gridCol w:w="738"/>
              <w:gridCol w:w="855"/>
              <w:gridCol w:w="850"/>
              <w:gridCol w:w="1134"/>
            </w:tblGrid>
            <w:tr w:rsidR="00CB6D0B" w:rsidRPr="0031099C" w:rsidTr="00CB6D0B">
              <w:tc>
                <w:tcPr>
                  <w:tcW w:w="2180" w:type="dxa"/>
                  <w:gridSpan w:val="2"/>
                  <w:tcBorders>
                    <w:top w:val="single" w:sz="4" w:space="0" w:color="auto"/>
                    <w:left w:val="single" w:sz="4" w:space="0" w:color="auto"/>
                    <w:bottom w:val="single" w:sz="4" w:space="0" w:color="auto"/>
                    <w:right w:val="single" w:sz="4" w:space="0" w:color="auto"/>
                  </w:tcBorders>
                </w:tcPr>
                <w:p w:rsidR="00CB6D0B" w:rsidRPr="0031099C" w:rsidRDefault="00CB6D0B" w:rsidP="00EF4E89">
                  <w:pPr>
                    <w:rPr>
                      <w:rFonts w:ascii="Times New Roman" w:eastAsia="Times New Roman" w:hAnsi="Times New Roman"/>
                    </w:rPr>
                  </w:pPr>
                </w:p>
              </w:tc>
              <w:tc>
                <w:tcPr>
                  <w:tcW w:w="2356" w:type="dxa"/>
                  <w:gridSpan w:val="3"/>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jc w:val="center"/>
                    <w:rPr>
                      <w:rFonts w:ascii="Times New Roman" w:eastAsia="Times New Roman" w:hAnsi="Times New Roman"/>
                      <w:b/>
                      <w:i/>
                    </w:rPr>
                  </w:pPr>
                  <w:r w:rsidRPr="0031099C">
                    <w:rPr>
                      <w:b/>
                      <w:i/>
                    </w:rPr>
                    <w:t>Cause of Death (%)</w:t>
                  </w:r>
                </w:p>
              </w:tc>
              <w:tc>
                <w:tcPr>
                  <w:tcW w:w="3960" w:type="dxa"/>
                  <w:gridSpan w:val="4"/>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jc w:val="center"/>
                    <w:rPr>
                      <w:rFonts w:ascii="Times New Roman" w:eastAsia="Times New Roman" w:hAnsi="Times New Roman"/>
                      <w:b/>
                      <w:i/>
                    </w:rPr>
                  </w:pPr>
                  <w:r w:rsidRPr="0031099C">
                    <w:rPr>
                      <w:b/>
                      <w:i/>
                    </w:rPr>
                    <w:t>Average Number of Events</w:t>
                  </w:r>
                </w:p>
              </w:tc>
              <w:tc>
                <w:tcPr>
                  <w:tcW w:w="2839" w:type="dxa"/>
                  <w:gridSpan w:val="3"/>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center"/>
                    <w:rPr>
                      <w:b/>
                      <w:i/>
                    </w:rPr>
                  </w:pPr>
                  <w:r>
                    <w:rPr>
                      <w:b/>
                      <w:i/>
                    </w:rPr>
                    <w:t>Cost-effectiveness</w:t>
                  </w:r>
                </w:p>
              </w:tc>
            </w:tr>
            <w:tr w:rsidR="00CB6D0B" w:rsidRPr="0031099C" w:rsidTr="00CB6D0B">
              <w:tc>
                <w:tcPr>
                  <w:tcW w:w="1266"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i/>
                    </w:rPr>
                  </w:pPr>
                  <w:r w:rsidRPr="0031099C">
                    <w:rPr>
                      <w:b/>
                      <w:i/>
                    </w:rPr>
                    <w:t>Strategy</w:t>
                  </w:r>
                </w:p>
              </w:tc>
              <w:tc>
                <w:tcPr>
                  <w:tcW w:w="914"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Life Years</w:t>
                  </w:r>
                </w:p>
              </w:tc>
              <w:tc>
                <w:tcPr>
                  <w:tcW w:w="848"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Stroke</w:t>
                  </w:r>
                </w:p>
              </w:tc>
              <w:tc>
                <w:tcPr>
                  <w:tcW w:w="749"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Bleed</w:t>
                  </w:r>
                </w:p>
              </w:tc>
              <w:tc>
                <w:tcPr>
                  <w:tcW w:w="759"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Other</w:t>
                  </w:r>
                </w:p>
              </w:tc>
              <w:tc>
                <w:tcPr>
                  <w:tcW w:w="1195"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Dependent Strokes</w:t>
                  </w:r>
                </w:p>
              </w:tc>
              <w:tc>
                <w:tcPr>
                  <w:tcW w:w="1337"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Independent Strokes</w:t>
                  </w:r>
                </w:p>
              </w:tc>
              <w:tc>
                <w:tcPr>
                  <w:tcW w:w="690"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ICH</w:t>
                  </w:r>
                </w:p>
              </w:tc>
              <w:tc>
                <w:tcPr>
                  <w:tcW w:w="738"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NICH</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Mean Cost (£)</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Mean QALY</w:t>
                  </w:r>
                </w:p>
              </w:tc>
              <w:tc>
                <w:tcPr>
                  <w:tcW w:w="1134"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ICER</w:t>
                  </w:r>
                </w:p>
              </w:tc>
            </w:tr>
            <w:tr w:rsidR="00CB6D0B" w:rsidRPr="0031099C" w:rsidTr="00CB6D0B">
              <w:tc>
                <w:tcPr>
                  <w:tcW w:w="1266"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Without TTE</w:t>
                  </w:r>
                </w:p>
              </w:tc>
              <w:tc>
                <w:tcPr>
                  <w:tcW w:w="91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17.132</w:t>
                  </w:r>
                </w:p>
              </w:tc>
              <w:tc>
                <w:tcPr>
                  <w:tcW w:w="84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9.0</w:t>
                  </w:r>
                </w:p>
              </w:tc>
              <w:tc>
                <w:tcPr>
                  <w:tcW w:w="74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0.9</w:t>
                  </w:r>
                </w:p>
              </w:tc>
              <w:tc>
                <w:tcPr>
                  <w:tcW w:w="75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90.2</w:t>
                  </w:r>
                </w:p>
              </w:tc>
              <w:tc>
                <w:tcPr>
                  <w:tcW w:w="1195"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0.087</w:t>
                  </w:r>
                </w:p>
              </w:tc>
              <w:tc>
                <w:tcPr>
                  <w:tcW w:w="1337"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0.192</w:t>
                  </w:r>
                </w:p>
              </w:tc>
              <w:tc>
                <w:tcPr>
                  <w:tcW w:w="690"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0.007</w:t>
                  </w:r>
                </w:p>
              </w:tc>
              <w:tc>
                <w:tcPr>
                  <w:tcW w:w="73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0.052</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1 974</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9.94</w:t>
                  </w:r>
                </w:p>
              </w:tc>
              <w:tc>
                <w:tcPr>
                  <w:tcW w:w="1134" w:type="dxa"/>
                  <w:vMerge w:val="restart"/>
                  <w:tcBorders>
                    <w:top w:val="single" w:sz="4" w:space="0" w:color="auto"/>
                    <w:left w:val="single" w:sz="4" w:space="0" w:color="auto"/>
                    <w:right w:val="single" w:sz="4" w:space="0" w:color="auto"/>
                  </w:tcBorders>
                  <w:vAlign w:val="center"/>
                </w:tcPr>
                <w:p w:rsidR="00CB6D0B" w:rsidRPr="0031099C" w:rsidRDefault="00CB6D0B" w:rsidP="00CB6D0B">
                  <w:pPr>
                    <w:jc w:val="center"/>
                  </w:pPr>
                  <w:r w:rsidRPr="0031099C">
                    <w:t>39 569</w:t>
                  </w:r>
                </w:p>
              </w:tc>
            </w:tr>
            <w:tr w:rsidR="00CB6D0B" w:rsidRPr="0031099C" w:rsidTr="00CB6D0B">
              <w:tc>
                <w:tcPr>
                  <w:tcW w:w="1266"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With TTE</w:t>
                  </w:r>
                </w:p>
              </w:tc>
              <w:tc>
                <w:tcPr>
                  <w:tcW w:w="91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17.204</w:t>
                  </w:r>
                </w:p>
              </w:tc>
              <w:tc>
                <w:tcPr>
                  <w:tcW w:w="84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8.0</w:t>
                  </w:r>
                </w:p>
              </w:tc>
              <w:tc>
                <w:tcPr>
                  <w:tcW w:w="74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1.3</w:t>
                  </w:r>
                </w:p>
              </w:tc>
              <w:tc>
                <w:tcPr>
                  <w:tcW w:w="75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90.7</w:t>
                  </w:r>
                </w:p>
              </w:tc>
              <w:tc>
                <w:tcPr>
                  <w:tcW w:w="1195"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0.078</w:t>
                  </w:r>
                </w:p>
              </w:tc>
              <w:tc>
                <w:tcPr>
                  <w:tcW w:w="1337"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0.172</w:t>
                  </w:r>
                </w:p>
              </w:tc>
              <w:tc>
                <w:tcPr>
                  <w:tcW w:w="690"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0.010</w:t>
                  </w:r>
                </w:p>
              </w:tc>
              <w:tc>
                <w:tcPr>
                  <w:tcW w:w="73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keepNext/>
                    <w:jc w:val="right"/>
                    <w:rPr>
                      <w:rFonts w:ascii="Times New Roman" w:eastAsia="Times New Roman" w:hAnsi="Times New Roman"/>
                    </w:rPr>
                  </w:pPr>
                  <w:r w:rsidRPr="0031099C">
                    <w:t>0.079</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keepNext/>
                    <w:jc w:val="right"/>
                  </w:pPr>
                  <w:r w:rsidRPr="0031099C">
                    <w:t>3 106</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keepNext/>
                    <w:jc w:val="right"/>
                  </w:pPr>
                  <w:r w:rsidRPr="0031099C">
                    <w:t>9.97</w:t>
                  </w:r>
                </w:p>
              </w:tc>
              <w:tc>
                <w:tcPr>
                  <w:tcW w:w="1134" w:type="dxa"/>
                  <w:vMerge/>
                  <w:tcBorders>
                    <w:left w:val="single" w:sz="4" w:space="0" w:color="auto"/>
                    <w:bottom w:val="single" w:sz="4" w:space="0" w:color="auto"/>
                    <w:right w:val="single" w:sz="4" w:space="0" w:color="auto"/>
                  </w:tcBorders>
                </w:tcPr>
                <w:p w:rsidR="00CB6D0B" w:rsidRPr="0031099C" w:rsidRDefault="00CB6D0B" w:rsidP="00EF4E89">
                  <w:pPr>
                    <w:keepNext/>
                    <w:jc w:val="right"/>
                  </w:pPr>
                </w:p>
              </w:tc>
            </w:tr>
          </w:tbl>
          <w:p w:rsidR="007946CB" w:rsidRPr="0031099C" w:rsidRDefault="007946CB" w:rsidP="00EF4E89">
            <w:pPr>
              <w:pStyle w:val="Caption"/>
              <w:rPr>
                <w:color w:val="auto"/>
              </w:rPr>
            </w:pPr>
          </w:p>
        </w:tc>
      </w:tr>
      <w:tr w:rsidR="007946CB" w:rsidRPr="0031099C" w:rsidTr="00CB6D0B">
        <w:tc>
          <w:tcPr>
            <w:tcW w:w="11590" w:type="dxa"/>
          </w:tcPr>
          <w:p w:rsidR="007946CB" w:rsidRPr="0031099C" w:rsidRDefault="00CB6D0B" w:rsidP="00EF4E89">
            <w:pPr>
              <w:pStyle w:val="ListParagraph"/>
              <w:numPr>
                <w:ilvl w:val="0"/>
                <w:numId w:val="19"/>
              </w:numPr>
              <w:spacing w:line="240" w:lineRule="auto"/>
              <w:jc w:val="left"/>
            </w:pPr>
            <w:r w:rsidRPr="0031099C">
              <w:t>W</w:t>
            </w:r>
            <w:r w:rsidR="007946CB" w:rsidRPr="0031099C">
              <w:t>arfarin</w:t>
            </w:r>
          </w:p>
        </w:tc>
      </w:tr>
      <w:tr w:rsidR="007946CB" w:rsidRPr="0031099C" w:rsidTr="00CB6D0B">
        <w:tc>
          <w:tcPr>
            <w:tcW w:w="11590" w:type="dxa"/>
          </w:tcPr>
          <w:tbl>
            <w:tblPr>
              <w:tblStyle w:val="TableGrid"/>
              <w:tblW w:w="11335" w:type="dxa"/>
              <w:tblLook w:val="04A0" w:firstRow="1" w:lastRow="0" w:firstColumn="1" w:lastColumn="0" w:noHBand="0" w:noVBand="1"/>
            </w:tblPr>
            <w:tblGrid>
              <w:gridCol w:w="1266"/>
              <w:gridCol w:w="914"/>
              <w:gridCol w:w="848"/>
              <w:gridCol w:w="749"/>
              <w:gridCol w:w="759"/>
              <w:gridCol w:w="1195"/>
              <w:gridCol w:w="1337"/>
              <w:gridCol w:w="690"/>
              <w:gridCol w:w="738"/>
              <w:gridCol w:w="855"/>
              <w:gridCol w:w="850"/>
              <w:gridCol w:w="1134"/>
            </w:tblGrid>
            <w:tr w:rsidR="00CB6D0B" w:rsidRPr="0031099C" w:rsidTr="00CB6D0B">
              <w:tc>
                <w:tcPr>
                  <w:tcW w:w="2180" w:type="dxa"/>
                  <w:gridSpan w:val="2"/>
                  <w:tcBorders>
                    <w:top w:val="single" w:sz="4" w:space="0" w:color="auto"/>
                    <w:left w:val="single" w:sz="4" w:space="0" w:color="auto"/>
                    <w:bottom w:val="single" w:sz="4" w:space="0" w:color="auto"/>
                    <w:right w:val="single" w:sz="4" w:space="0" w:color="auto"/>
                  </w:tcBorders>
                </w:tcPr>
                <w:p w:rsidR="00CB6D0B" w:rsidRPr="0031099C" w:rsidRDefault="00CB6D0B" w:rsidP="00EF4E89">
                  <w:pPr>
                    <w:rPr>
                      <w:rFonts w:ascii="Times New Roman" w:eastAsia="Times New Roman" w:hAnsi="Times New Roman"/>
                    </w:rPr>
                  </w:pPr>
                </w:p>
              </w:tc>
              <w:tc>
                <w:tcPr>
                  <w:tcW w:w="2356" w:type="dxa"/>
                  <w:gridSpan w:val="3"/>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jc w:val="center"/>
                    <w:rPr>
                      <w:rFonts w:ascii="Times New Roman" w:eastAsia="Times New Roman" w:hAnsi="Times New Roman"/>
                      <w:b/>
                      <w:i/>
                    </w:rPr>
                  </w:pPr>
                  <w:r w:rsidRPr="0031099C">
                    <w:rPr>
                      <w:b/>
                      <w:i/>
                    </w:rPr>
                    <w:t>Cause of Death (%)</w:t>
                  </w:r>
                </w:p>
              </w:tc>
              <w:tc>
                <w:tcPr>
                  <w:tcW w:w="3960" w:type="dxa"/>
                  <w:gridSpan w:val="4"/>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jc w:val="center"/>
                    <w:rPr>
                      <w:rFonts w:ascii="Times New Roman" w:eastAsia="Times New Roman" w:hAnsi="Times New Roman"/>
                      <w:b/>
                      <w:i/>
                    </w:rPr>
                  </w:pPr>
                  <w:r w:rsidRPr="0031099C">
                    <w:rPr>
                      <w:b/>
                      <w:i/>
                    </w:rPr>
                    <w:t>Average Number of Events</w:t>
                  </w:r>
                </w:p>
              </w:tc>
              <w:tc>
                <w:tcPr>
                  <w:tcW w:w="2839" w:type="dxa"/>
                  <w:gridSpan w:val="3"/>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center"/>
                    <w:rPr>
                      <w:b/>
                      <w:i/>
                    </w:rPr>
                  </w:pPr>
                  <w:r>
                    <w:rPr>
                      <w:b/>
                      <w:i/>
                    </w:rPr>
                    <w:t>Cost-effectiveness</w:t>
                  </w:r>
                </w:p>
              </w:tc>
            </w:tr>
            <w:tr w:rsidR="00CB6D0B" w:rsidRPr="0031099C" w:rsidTr="00CB6D0B">
              <w:tc>
                <w:tcPr>
                  <w:tcW w:w="1266"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i/>
                    </w:rPr>
                  </w:pPr>
                  <w:r w:rsidRPr="0031099C">
                    <w:rPr>
                      <w:b/>
                      <w:i/>
                    </w:rPr>
                    <w:t>Strategy</w:t>
                  </w:r>
                </w:p>
              </w:tc>
              <w:tc>
                <w:tcPr>
                  <w:tcW w:w="914"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Life Years</w:t>
                  </w:r>
                </w:p>
              </w:tc>
              <w:tc>
                <w:tcPr>
                  <w:tcW w:w="848"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Stroke</w:t>
                  </w:r>
                </w:p>
              </w:tc>
              <w:tc>
                <w:tcPr>
                  <w:tcW w:w="749"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Bleed</w:t>
                  </w:r>
                </w:p>
              </w:tc>
              <w:tc>
                <w:tcPr>
                  <w:tcW w:w="759"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Other</w:t>
                  </w:r>
                </w:p>
              </w:tc>
              <w:tc>
                <w:tcPr>
                  <w:tcW w:w="1195"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Dependent Strokes</w:t>
                  </w:r>
                </w:p>
              </w:tc>
              <w:tc>
                <w:tcPr>
                  <w:tcW w:w="1337"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Independent Strokes</w:t>
                  </w:r>
                </w:p>
              </w:tc>
              <w:tc>
                <w:tcPr>
                  <w:tcW w:w="690"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ICH</w:t>
                  </w:r>
                </w:p>
              </w:tc>
              <w:tc>
                <w:tcPr>
                  <w:tcW w:w="738"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NICH</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Mean cost (£)</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Mean QALY</w:t>
                  </w:r>
                </w:p>
              </w:tc>
              <w:tc>
                <w:tcPr>
                  <w:tcW w:w="1134"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ICER</w:t>
                  </w:r>
                </w:p>
              </w:tc>
            </w:tr>
            <w:tr w:rsidR="00CB6D0B" w:rsidRPr="0031099C" w:rsidTr="00CB6D0B">
              <w:tc>
                <w:tcPr>
                  <w:tcW w:w="1266"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Without TTE</w:t>
                  </w:r>
                </w:p>
              </w:tc>
              <w:tc>
                <w:tcPr>
                  <w:tcW w:w="91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19.460</w:t>
                  </w:r>
                </w:p>
              </w:tc>
              <w:tc>
                <w:tcPr>
                  <w:tcW w:w="84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10.5</w:t>
                  </w:r>
                </w:p>
              </w:tc>
              <w:tc>
                <w:tcPr>
                  <w:tcW w:w="74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1.1</w:t>
                  </w:r>
                </w:p>
              </w:tc>
              <w:tc>
                <w:tcPr>
                  <w:tcW w:w="75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88.4</w:t>
                  </w:r>
                </w:p>
              </w:tc>
              <w:tc>
                <w:tcPr>
                  <w:tcW w:w="1195"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0.103</w:t>
                  </w:r>
                </w:p>
              </w:tc>
              <w:tc>
                <w:tcPr>
                  <w:tcW w:w="1337"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0.223</w:t>
                  </w:r>
                </w:p>
              </w:tc>
              <w:tc>
                <w:tcPr>
                  <w:tcW w:w="690"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0.009</w:t>
                  </w:r>
                </w:p>
              </w:tc>
              <w:tc>
                <w:tcPr>
                  <w:tcW w:w="73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0.066</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1 955</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9.95</w:t>
                  </w:r>
                </w:p>
              </w:tc>
              <w:tc>
                <w:tcPr>
                  <w:tcW w:w="1134" w:type="dxa"/>
                  <w:vMerge w:val="restart"/>
                  <w:tcBorders>
                    <w:top w:val="single" w:sz="4" w:space="0" w:color="auto"/>
                    <w:left w:val="single" w:sz="4" w:space="0" w:color="auto"/>
                    <w:right w:val="single" w:sz="4" w:space="0" w:color="auto"/>
                  </w:tcBorders>
                  <w:vAlign w:val="center"/>
                </w:tcPr>
                <w:p w:rsidR="00CB6D0B" w:rsidRPr="0031099C" w:rsidRDefault="00CB6D0B" w:rsidP="00CB6D0B">
                  <w:pPr>
                    <w:jc w:val="center"/>
                  </w:pPr>
                  <w:r w:rsidRPr="0031099C">
                    <w:t>22 751</w:t>
                  </w:r>
                </w:p>
              </w:tc>
            </w:tr>
            <w:tr w:rsidR="00CB6D0B" w:rsidRPr="0031099C" w:rsidTr="00CB6D0B">
              <w:tc>
                <w:tcPr>
                  <w:tcW w:w="1266"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With TTE</w:t>
                  </w:r>
                </w:p>
              </w:tc>
              <w:tc>
                <w:tcPr>
                  <w:tcW w:w="91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19.554</w:t>
                  </w:r>
                </w:p>
              </w:tc>
              <w:tc>
                <w:tcPr>
                  <w:tcW w:w="84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9.4</w:t>
                  </w:r>
                </w:p>
              </w:tc>
              <w:tc>
                <w:tcPr>
                  <w:tcW w:w="74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1.6</w:t>
                  </w:r>
                </w:p>
              </w:tc>
              <w:tc>
                <w:tcPr>
                  <w:tcW w:w="75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89.0</w:t>
                  </w:r>
                </w:p>
              </w:tc>
              <w:tc>
                <w:tcPr>
                  <w:tcW w:w="1195"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0.093</w:t>
                  </w:r>
                </w:p>
              </w:tc>
              <w:tc>
                <w:tcPr>
                  <w:tcW w:w="1337"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0.201</w:t>
                  </w:r>
                </w:p>
              </w:tc>
              <w:tc>
                <w:tcPr>
                  <w:tcW w:w="690"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0.012</w:t>
                  </w:r>
                </w:p>
              </w:tc>
              <w:tc>
                <w:tcPr>
                  <w:tcW w:w="73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0.096</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3 039</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9.99</w:t>
                  </w:r>
                </w:p>
              </w:tc>
              <w:tc>
                <w:tcPr>
                  <w:tcW w:w="1134" w:type="dxa"/>
                  <w:vMerge/>
                  <w:tcBorders>
                    <w:left w:val="single" w:sz="4" w:space="0" w:color="auto"/>
                    <w:bottom w:val="single" w:sz="4" w:space="0" w:color="auto"/>
                    <w:right w:val="single" w:sz="4" w:space="0" w:color="auto"/>
                  </w:tcBorders>
                </w:tcPr>
                <w:p w:rsidR="00CB6D0B" w:rsidRPr="0031099C" w:rsidRDefault="00CB6D0B" w:rsidP="00EF4E89">
                  <w:pPr>
                    <w:jc w:val="right"/>
                  </w:pPr>
                </w:p>
              </w:tc>
            </w:tr>
          </w:tbl>
          <w:p w:rsidR="007946CB" w:rsidRPr="0031099C" w:rsidRDefault="007946CB" w:rsidP="00EF4E89"/>
        </w:tc>
      </w:tr>
      <w:tr w:rsidR="007946CB" w:rsidRPr="0031099C" w:rsidTr="00CB6D0B">
        <w:tc>
          <w:tcPr>
            <w:tcW w:w="11590" w:type="dxa"/>
          </w:tcPr>
          <w:p w:rsidR="007946CB" w:rsidRPr="0031099C" w:rsidRDefault="00CB6D0B" w:rsidP="00EF4E89">
            <w:pPr>
              <w:pStyle w:val="ListParagraph"/>
              <w:numPr>
                <w:ilvl w:val="0"/>
                <w:numId w:val="19"/>
              </w:numPr>
              <w:spacing w:line="240" w:lineRule="auto"/>
              <w:jc w:val="left"/>
            </w:pPr>
            <w:proofErr w:type="spellStart"/>
            <w:r w:rsidRPr="0031099C">
              <w:t>R</w:t>
            </w:r>
            <w:r w:rsidR="007946CB" w:rsidRPr="0031099C">
              <w:t>ivaroxaban</w:t>
            </w:r>
            <w:proofErr w:type="spellEnd"/>
          </w:p>
        </w:tc>
      </w:tr>
      <w:tr w:rsidR="007946CB" w:rsidRPr="0031099C" w:rsidTr="00CB6D0B">
        <w:tc>
          <w:tcPr>
            <w:tcW w:w="11590" w:type="dxa"/>
          </w:tcPr>
          <w:tbl>
            <w:tblPr>
              <w:tblStyle w:val="TableGrid"/>
              <w:tblW w:w="11335" w:type="dxa"/>
              <w:tblLook w:val="04A0" w:firstRow="1" w:lastRow="0" w:firstColumn="1" w:lastColumn="0" w:noHBand="0" w:noVBand="1"/>
            </w:tblPr>
            <w:tblGrid>
              <w:gridCol w:w="1267"/>
              <w:gridCol w:w="914"/>
              <w:gridCol w:w="848"/>
              <w:gridCol w:w="749"/>
              <w:gridCol w:w="759"/>
              <w:gridCol w:w="1194"/>
              <w:gridCol w:w="1337"/>
              <w:gridCol w:w="690"/>
              <w:gridCol w:w="738"/>
              <w:gridCol w:w="855"/>
              <w:gridCol w:w="850"/>
              <w:gridCol w:w="1134"/>
            </w:tblGrid>
            <w:tr w:rsidR="00CB6D0B" w:rsidRPr="0031099C" w:rsidTr="00CB6D0B">
              <w:tc>
                <w:tcPr>
                  <w:tcW w:w="2181" w:type="dxa"/>
                  <w:gridSpan w:val="2"/>
                  <w:tcBorders>
                    <w:top w:val="single" w:sz="4" w:space="0" w:color="auto"/>
                    <w:left w:val="single" w:sz="4" w:space="0" w:color="auto"/>
                    <w:bottom w:val="single" w:sz="4" w:space="0" w:color="auto"/>
                    <w:right w:val="single" w:sz="4" w:space="0" w:color="auto"/>
                  </w:tcBorders>
                </w:tcPr>
                <w:p w:rsidR="00CB6D0B" w:rsidRPr="0031099C" w:rsidRDefault="00CB6D0B" w:rsidP="00EF4E89">
                  <w:pPr>
                    <w:rPr>
                      <w:rFonts w:ascii="Times New Roman" w:eastAsia="Times New Roman" w:hAnsi="Times New Roman"/>
                    </w:rPr>
                  </w:pPr>
                </w:p>
              </w:tc>
              <w:tc>
                <w:tcPr>
                  <w:tcW w:w="2356" w:type="dxa"/>
                  <w:gridSpan w:val="3"/>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jc w:val="center"/>
                    <w:rPr>
                      <w:rFonts w:ascii="Times New Roman" w:eastAsia="Times New Roman" w:hAnsi="Times New Roman"/>
                      <w:b/>
                      <w:i/>
                    </w:rPr>
                  </w:pPr>
                  <w:r w:rsidRPr="0031099C">
                    <w:rPr>
                      <w:b/>
                      <w:i/>
                    </w:rPr>
                    <w:t>Cause of Death (%)</w:t>
                  </w:r>
                </w:p>
              </w:tc>
              <w:tc>
                <w:tcPr>
                  <w:tcW w:w="3959" w:type="dxa"/>
                  <w:gridSpan w:val="4"/>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jc w:val="center"/>
                    <w:rPr>
                      <w:rFonts w:ascii="Times New Roman" w:eastAsia="Times New Roman" w:hAnsi="Times New Roman"/>
                      <w:b/>
                      <w:i/>
                    </w:rPr>
                  </w:pPr>
                  <w:r w:rsidRPr="0031099C">
                    <w:rPr>
                      <w:b/>
                      <w:i/>
                    </w:rPr>
                    <w:t>Average Number of Events</w:t>
                  </w:r>
                </w:p>
              </w:tc>
              <w:tc>
                <w:tcPr>
                  <w:tcW w:w="2839" w:type="dxa"/>
                  <w:gridSpan w:val="3"/>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center"/>
                    <w:rPr>
                      <w:b/>
                      <w:i/>
                    </w:rPr>
                  </w:pPr>
                  <w:r>
                    <w:rPr>
                      <w:b/>
                      <w:i/>
                    </w:rPr>
                    <w:t>Cost-effectiveness</w:t>
                  </w:r>
                </w:p>
              </w:tc>
            </w:tr>
            <w:tr w:rsidR="00CB6D0B" w:rsidRPr="0031099C" w:rsidTr="00CB6D0B">
              <w:tc>
                <w:tcPr>
                  <w:tcW w:w="1267"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i/>
                    </w:rPr>
                  </w:pPr>
                  <w:r w:rsidRPr="0031099C">
                    <w:rPr>
                      <w:b/>
                      <w:i/>
                    </w:rPr>
                    <w:t>Strategy</w:t>
                  </w:r>
                </w:p>
              </w:tc>
              <w:tc>
                <w:tcPr>
                  <w:tcW w:w="914"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Life Years</w:t>
                  </w:r>
                </w:p>
              </w:tc>
              <w:tc>
                <w:tcPr>
                  <w:tcW w:w="848"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Stroke</w:t>
                  </w:r>
                </w:p>
              </w:tc>
              <w:tc>
                <w:tcPr>
                  <w:tcW w:w="749"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Bleed</w:t>
                  </w:r>
                </w:p>
              </w:tc>
              <w:tc>
                <w:tcPr>
                  <w:tcW w:w="759"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Other</w:t>
                  </w:r>
                </w:p>
              </w:tc>
              <w:tc>
                <w:tcPr>
                  <w:tcW w:w="1194"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Dependent Strokes</w:t>
                  </w:r>
                </w:p>
              </w:tc>
              <w:tc>
                <w:tcPr>
                  <w:tcW w:w="1337"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Independent Strokes</w:t>
                  </w:r>
                </w:p>
              </w:tc>
              <w:tc>
                <w:tcPr>
                  <w:tcW w:w="690"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ICH</w:t>
                  </w:r>
                </w:p>
              </w:tc>
              <w:tc>
                <w:tcPr>
                  <w:tcW w:w="738"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NICH</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Mean cost (£)</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Mean QALY</w:t>
                  </w:r>
                </w:p>
              </w:tc>
              <w:tc>
                <w:tcPr>
                  <w:tcW w:w="1134"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ICER</w:t>
                  </w:r>
                </w:p>
              </w:tc>
            </w:tr>
            <w:tr w:rsidR="00CB6D0B" w:rsidRPr="0031099C" w:rsidTr="00CB6D0B">
              <w:tc>
                <w:tcPr>
                  <w:tcW w:w="1267"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Without TTE</w:t>
                  </w:r>
                </w:p>
              </w:tc>
              <w:tc>
                <w:tcPr>
                  <w:tcW w:w="91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19.485</w:t>
                  </w:r>
                </w:p>
              </w:tc>
              <w:tc>
                <w:tcPr>
                  <w:tcW w:w="84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10.2</w:t>
                  </w:r>
                </w:p>
              </w:tc>
              <w:tc>
                <w:tcPr>
                  <w:tcW w:w="74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1.1</w:t>
                  </w:r>
                </w:p>
              </w:tc>
              <w:tc>
                <w:tcPr>
                  <w:tcW w:w="75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88.7</w:t>
                  </w:r>
                </w:p>
              </w:tc>
              <w:tc>
                <w:tcPr>
                  <w:tcW w:w="119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0.099</w:t>
                  </w:r>
                </w:p>
              </w:tc>
              <w:tc>
                <w:tcPr>
                  <w:tcW w:w="1337"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0.220</w:t>
                  </w:r>
                </w:p>
              </w:tc>
              <w:tc>
                <w:tcPr>
                  <w:tcW w:w="690"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0.009</w:t>
                  </w:r>
                </w:p>
              </w:tc>
              <w:tc>
                <w:tcPr>
                  <w:tcW w:w="73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0.066</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1 942</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9.95</w:t>
                  </w:r>
                </w:p>
              </w:tc>
              <w:tc>
                <w:tcPr>
                  <w:tcW w:w="1134" w:type="dxa"/>
                  <w:vMerge w:val="restart"/>
                  <w:tcBorders>
                    <w:top w:val="single" w:sz="4" w:space="0" w:color="auto"/>
                    <w:left w:val="single" w:sz="4" w:space="0" w:color="auto"/>
                    <w:right w:val="single" w:sz="4" w:space="0" w:color="auto"/>
                  </w:tcBorders>
                  <w:vAlign w:val="center"/>
                </w:tcPr>
                <w:p w:rsidR="00CB6D0B" w:rsidRPr="0031099C" w:rsidRDefault="00CB6D0B" w:rsidP="00CB6D0B">
                  <w:pPr>
                    <w:jc w:val="center"/>
                  </w:pPr>
                  <w:r w:rsidRPr="0031099C">
                    <w:t>12 314</w:t>
                  </w:r>
                </w:p>
              </w:tc>
            </w:tr>
            <w:tr w:rsidR="00CB6D0B" w:rsidRPr="0031099C" w:rsidTr="00CB6D0B">
              <w:tc>
                <w:tcPr>
                  <w:tcW w:w="1267"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With TTE</w:t>
                  </w:r>
                </w:p>
              </w:tc>
              <w:tc>
                <w:tcPr>
                  <w:tcW w:w="91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19.598</w:t>
                  </w:r>
                </w:p>
              </w:tc>
              <w:tc>
                <w:tcPr>
                  <w:tcW w:w="84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9.0</w:t>
                  </w:r>
                </w:p>
              </w:tc>
              <w:tc>
                <w:tcPr>
                  <w:tcW w:w="74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1.6</w:t>
                  </w:r>
                </w:p>
              </w:tc>
              <w:tc>
                <w:tcPr>
                  <w:tcW w:w="75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89.4</w:t>
                  </w:r>
                </w:p>
              </w:tc>
              <w:tc>
                <w:tcPr>
                  <w:tcW w:w="119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0.089</w:t>
                  </w:r>
                </w:p>
              </w:tc>
              <w:tc>
                <w:tcPr>
                  <w:tcW w:w="1337"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0.195</w:t>
                  </w:r>
                </w:p>
              </w:tc>
              <w:tc>
                <w:tcPr>
                  <w:tcW w:w="690"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0.012</w:t>
                  </w:r>
                </w:p>
              </w:tc>
              <w:tc>
                <w:tcPr>
                  <w:tcW w:w="73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0.097</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2 946</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10.01</w:t>
                  </w:r>
                </w:p>
              </w:tc>
              <w:tc>
                <w:tcPr>
                  <w:tcW w:w="1134" w:type="dxa"/>
                  <w:vMerge/>
                  <w:tcBorders>
                    <w:left w:val="single" w:sz="4" w:space="0" w:color="auto"/>
                    <w:bottom w:val="single" w:sz="4" w:space="0" w:color="auto"/>
                    <w:right w:val="single" w:sz="4" w:space="0" w:color="auto"/>
                  </w:tcBorders>
                </w:tcPr>
                <w:p w:rsidR="00CB6D0B" w:rsidRPr="0031099C" w:rsidRDefault="00CB6D0B" w:rsidP="00EF4E89">
                  <w:pPr>
                    <w:jc w:val="right"/>
                  </w:pPr>
                </w:p>
              </w:tc>
            </w:tr>
          </w:tbl>
          <w:p w:rsidR="007946CB" w:rsidRPr="0031099C" w:rsidRDefault="007946CB" w:rsidP="00EF4E89"/>
        </w:tc>
      </w:tr>
      <w:tr w:rsidR="007946CB" w:rsidRPr="0031099C" w:rsidTr="00CB6D0B">
        <w:tc>
          <w:tcPr>
            <w:tcW w:w="11590" w:type="dxa"/>
          </w:tcPr>
          <w:p w:rsidR="007946CB" w:rsidRPr="0031099C" w:rsidRDefault="007946CB" w:rsidP="00EF4E89">
            <w:pPr>
              <w:pStyle w:val="ListParagraph"/>
              <w:keepNext/>
              <w:numPr>
                <w:ilvl w:val="0"/>
                <w:numId w:val="19"/>
              </w:numPr>
              <w:spacing w:line="240" w:lineRule="auto"/>
              <w:jc w:val="left"/>
            </w:pPr>
            <w:proofErr w:type="spellStart"/>
            <w:r w:rsidRPr="0031099C">
              <w:t>dabigatran</w:t>
            </w:r>
            <w:proofErr w:type="spellEnd"/>
          </w:p>
        </w:tc>
      </w:tr>
    </w:tbl>
    <w:p w:rsidR="007946CB" w:rsidRPr="00F309FB" w:rsidRDefault="007946CB" w:rsidP="007946CB">
      <w:pPr>
        <w:pStyle w:val="Caption"/>
        <w:rPr>
          <w:color w:val="auto"/>
        </w:rPr>
      </w:pPr>
      <w:bookmarkStart w:id="7" w:name="_Ref349291846"/>
      <w:bookmarkStart w:id="8" w:name="_Ref349294513"/>
      <w:r w:rsidRPr="00F309FB">
        <w:rPr>
          <w:color w:val="auto"/>
        </w:rPr>
        <w:t xml:space="preserve">Table </w:t>
      </w:r>
      <w:r w:rsidR="00EF4E89">
        <w:rPr>
          <w:color w:val="auto"/>
        </w:rPr>
        <w:fldChar w:fldCharType="begin"/>
      </w:r>
      <w:r w:rsidR="00EF4E89">
        <w:rPr>
          <w:color w:val="auto"/>
        </w:rPr>
        <w:instrText xml:space="preserve"> SEQ Table \* ARABIC </w:instrText>
      </w:r>
      <w:r w:rsidR="00EF4E89">
        <w:rPr>
          <w:color w:val="auto"/>
        </w:rPr>
        <w:fldChar w:fldCharType="separate"/>
      </w:r>
      <w:r w:rsidR="00B66501">
        <w:rPr>
          <w:noProof/>
          <w:color w:val="auto"/>
        </w:rPr>
        <w:t>2</w:t>
      </w:r>
      <w:r w:rsidR="00EF4E89">
        <w:rPr>
          <w:color w:val="auto"/>
        </w:rPr>
        <w:fldChar w:fldCharType="end"/>
      </w:r>
      <w:bookmarkEnd w:id="7"/>
      <w:r w:rsidRPr="00F309FB">
        <w:rPr>
          <w:color w:val="auto"/>
        </w:rPr>
        <w:t xml:space="preserve"> Simulated outcomes for 65 year old females with newly diagnosed atrial fibrillation and an initial CHADS</w:t>
      </w:r>
      <w:r w:rsidRPr="00F309FB">
        <w:rPr>
          <w:color w:val="auto"/>
          <w:vertAlign w:val="subscript"/>
        </w:rPr>
        <w:t>2</w:t>
      </w:r>
      <w:r w:rsidRPr="00F309FB">
        <w:rPr>
          <w:color w:val="auto"/>
        </w:rPr>
        <w:t xml:space="preserve"> score of 0, where the decision is to prescribe either a) warfarin; b) </w:t>
      </w:r>
      <w:proofErr w:type="spellStart"/>
      <w:r w:rsidRPr="00F309FB">
        <w:rPr>
          <w:color w:val="auto"/>
        </w:rPr>
        <w:t>rivaroxaban</w:t>
      </w:r>
      <w:proofErr w:type="spellEnd"/>
      <w:r w:rsidRPr="00F309FB">
        <w:rPr>
          <w:color w:val="auto"/>
        </w:rPr>
        <w:t xml:space="preserve">; c) </w:t>
      </w:r>
      <w:proofErr w:type="spellStart"/>
      <w:r w:rsidRPr="00F309FB">
        <w:rPr>
          <w:color w:val="auto"/>
        </w:rPr>
        <w:t>dabigatran</w:t>
      </w:r>
      <w:proofErr w:type="spellEnd"/>
      <w:r w:rsidRPr="00F309FB">
        <w:rPr>
          <w:color w:val="auto"/>
        </w:rPr>
        <w:t>. TTE: Transthoracic echocardiography</w:t>
      </w:r>
      <w:bookmarkEnd w:id="8"/>
      <w:r w:rsidR="00CB6D0B">
        <w:rPr>
          <w:color w:val="auto"/>
        </w:rPr>
        <w:t xml:space="preserve">; </w:t>
      </w:r>
      <w:r w:rsidR="00CB6D0B" w:rsidRPr="00F309FB">
        <w:rPr>
          <w:color w:val="auto"/>
        </w:rPr>
        <w:t>ICER: incremental cost effectiveness</w:t>
      </w:r>
      <w:r w:rsidR="00CB6D0B">
        <w:rPr>
          <w:color w:val="auto"/>
        </w:rPr>
        <w:t xml:space="preserve"> ratio (In £/QALY)</w:t>
      </w:r>
      <w:r w:rsidR="00CB6D0B" w:rsidRPr="00F309FB">
        <w:rPr>
          <w:color w:val="auto"/>
        </w:rPr>
        <w:t>.</w:t>
      </w:r>
      <w:r w:rsidR="00CB6D0B">
        <w:rPr>
          <w:color w:val="auto"/>
        </w:rPr>
        <w:t xml:space="preserve"> QALY: Quality adjusted life year</w:t>
      </w:r>
    </w:p>
    <w:p w:rsidR="007946CB" w:rsidRDefault="007946CB" w:rsidP="007946CB">
      <w:pPr>
        <w:spacing w:line="276" w:lineRule="auto"/>
        <w:jc w:val="left"/>
        <w:rPr>
          <w:lang w:val="en-GB"/>
        </w:rPr>
      </w:pPr>
    </w:p>
    <w:p w:rsidR="007946CB" w:rsidRDefault="007946CB" w:rsidP="007946CB">
      <w:pPr>
        <w:spacing w:line="276" w:lineRule="auto"/>
        <w:jc w:val="left"/>
        <w:rPr>
          <w:lang w:val="en-GB"/>
        </w:rPr>
      </w:pPr>
      <w:r>
        <w:rPr>
          <w:lang w:val="en-GB"/>
        </w:rPr>
        <w:br w:type="page"/>
      </w:r>
    </w:p>
    <w:p w:rsidR="00EB3ED4" w:rsidRPr="00532F44" w:rsidRDefault="00EB3ED4" w:rsidP="00EB3ED4">
      <w:pPr>
        <w:divId w:val="1548566716"/>
        <w:sectPr w:rsidR="00EB3ED4" w:rsidRPr="00532F44" w:rsidSect="003225C4">
          <w:pgSz w:w="16838" w:h="11906" w:orient="landscape"/>
          <w:pgMar w:top="1440" w:right="1440" w:bottom="1440" w:left="1440" w:header="708" w:footer="708" w:gutter="0"/>
          <w:cols w:space="708"/>
          <w:docGrid w:linePitch="360"/>
        </w:sectPr>
      </w:pPr>
    </w:p>
    <w:p w:rsidR="0046051B" w:rsidRPr="0031099C" w:rsidRDefault="0046051B" w:rsidP="0046051B">
      <w:pPr>
        <w:pStyle w:val="Caption"/>
        <w:rPr>
          <w:color w:val="auto"/>
        </w:rPr>
      </w:pPr>
      <w:bookmarkStart w:id="9" w:name="_Ref345417087"/>
      <w:bookmarkStart w:id="10" w:name="_Ref335131627"/>
      <w:r w:rsidRPr="0031099C">
        <w:rPr>
          <w:color w:val="auto"/>
        </w:rPr>
        <w:lastRenderedPageBreak/>
        <w:t xml:space="preserve">Figure </w:t>
      </w:r>
      <w:r w:rsidRPr="0031099C">
        <w:rPr>
          <w:color w:val="auto"/>
        </w:rPr>
        <w:fldChar w:fldCharType="begin"/>
      </w:r>
      <w:r w:rsidRPr="0031099C">
        <w:rPr>
          <w:color w:val="auto"/>
        </w:rPr>
        <w:instrText xml:space="preserve"> SEQ Figure \* ARABIC </w:instrText>
      </w:r>
      <w:r w:rsidRPr="0031099C">
        <w:rPr>
          <w:color w:val="auto"/>
        </w:rPr>
        <w:fldChar w:fldCharType="separate"/>
      </w:r>
      <w:r w:rsidR="00B66501">
        <w:rPr>
          <w:noProof/>
          <w:color w:val="auto"/>
        </w:rPr>
        <w:t>2</w:t>
      </w:r>
      <w:r w:rsidRPr="0031099C">
        <w:rPr>
          <w:color w:val="auto"/>
        </w:rPr>
        <w:fldChar w:fldCharType="end"/>
      </w:r>
      <w:bookmarkEnd w:id="9"/>
      <w:r w:rsidRPr="0031099C">
        <w:rPr>
          <w:color w:val="auto"/>
        </w:rPr>
        <w:t xml:space="preserve"> </w:t>
      </w:r>
      <w:bookmarkEnd w:id="10"/>
      <w:r w:rsidRPr="0031099C">
        <w:rPr>
          <w:color w:val="auto"/>
        </w:rPr>
        <w:t xml:space="preserve">Probabilistic sensitivity analysis (PSA) scatterplots of using transthoracic echocardiography to inform the decision whether to prescribe </w:t>
      </w:r>
      <w:proofErr w:type="gramStart"/>
      <w:r w:rsidRPr="0031099C">
        <w:rPr>
          <w:color w:val="auto"/>
        </w:rPr>
        <w:t>either warfarin</w:t>
      </w:r>
      <w:proofErr w:type="gramEnd"/>
      <w:r w:rsidRPr="0031099C">
        <w:rPr>
          <w:color w:val="auto"/>
        </w:rPr>
        <w:t xml:space="preserve">, </w:t>
      </w:r>
      <w:proofErr w:type="spellStart"/>
      <w:r w:rsidRPr="0031099C">
        <w:rPr>
          <w:color w:val="auto"/>
        </w:rPr>
        <w:t>rivaroxaban</w:t>
      </w:r>
      <w:proofErr w:type="spellEnd"/>
      <w:r w:rsidRPr="0031099C">
        <w:rPr>
          <w:color w:val="auto"/>
        </w:rPr>
        <w:t xml:space="preserve">, or </w:t>
      </w:r>
      <w:proofErr w:type="spellStart"/>
      <w:r w:rsidRPr="0031099C">
        <w:rPr>
          <w:color w:val="auto"/>
        </w:rPr>
        <w:t>dabigatran</w:t>
      </w:r>
      <w:proofErr w:type="spellEnd"/>
      <w:r w:rsidRPr="0031099C">
        <w:rPr>
          <w:color w:val="auto"/>
        </w:rPr>
        <w:t xml:space="preserve"> to 65 year old females with atrial fibrillation and an CHADS</w:t>
      </w:r>
      <w:r w:rsidRPr="0031099C">
        <w:rPr>
          <w:color w:val="auto"/>
          <w:vertAlign w:val="subscript"/>
        </w:rPr>
        <w:t>2</w:t>
      </w:r>
      <w:r w:rsidRPr="0031099C">
        <w:rPr>
          <w:color w:val="auto"/>
        </w:rPr>
        <w:t xml:space="preserve"> score of zero.</w:t>
      </w:r>
    </w:p>
    <w:tbl>
      <w:tblPr>
        <w:tblStyle w:val="TableGrid"/>
        <w:tblW w:w="0" w:type="auto"/>
        <w:tblLook w:val="04A0" w:firstRow="1" w:lastRow="0" w:firstColumn="1" w:lastColumn="0" w:noHBand="0" w:noVBand="1"/>
      </w:tblPr>
      <w:tblGrid>
        <w:gridCol w:w="4439"/>
        <w:gridCol w:w="5167"/>
        <w:gridCol w:w="4536"/>
      </w:tblGrid>
      <w:tr w:rsidR="009764E6" w:rsidRPr="0031099C" w:rsidTr="009764E6">
        <w:trPr>
          <w:divId w:val="1548566716"/>
        </w:trPr>
        <w:tc>
          <w:tcPr>
            <w:tcW w:w="4439" w:type="dxa"/>
          </w:tcPr>
          <w:p w:rsidR="009764E6" w:rsidRPr="0031099C" w:rsidRDefault="009764E6" w:rsidP="0046051B">
            <w:r w:rsidRPr="0031099C">
              <w:rPr>
                <w:noProof/>
                <w:lang w:val="en-GB" w:eastAsia="en-GB"/>
              </w:rPr>
              <w:drawing>
                <wp:inline distT="0" distB="0" distL="0" distR="0" wp14:anchorId="565EA562" wp14:editId="07FB7B1E">
                  <wp:extent cx="2679404" cy="2679404"/>
                  <wp:effectExtent l="0" t="0" r="0" b="0"/>
                  <wp:docPr id="1" name="Picture 1" descr="X:\BMJ Echo AF Manuscript\S8\scatter_W_65_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BMJ Echo AF Manuscript\S8\scatter_W_65_F.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76983" cy="2676983"/>
                          </a:xfrm>
                          <a:prstGeom prst="rect">
                            <a:avLst/>
                          </a:prstGeom>
                          <a:noFill/>
                          <a:ln>
                            <a:noFill/>
                          </a:ln>
                        </pic:spPr>
                      </pic:pic>
                    </a:graphicData>
                  </a:graphic>
                </wp:inline>
              </w:drawing>
            </w:r>
          </w:p>
        </w:tc>
        <w:tc>
          <w:tcPr>
            <w:tcW w:w="5167" w:type="dxa"/>
          </w:tcPr>
          <w:p w:rsidR="009764E6" w:rsidRPr="0031099C" w:rsidRDefault="009764E6" w:rsidP="0046051B">
            <w:r w:rsidRPr="0031099C">
              <w:rPr>
                <w:noProof/>
                <w:lang w:val="en-GB" w:eastAsia="en-GB"/>
              </w:rPr>
              <w:drawing>
                <wp:inline distT="0" distB="0" distL="0" distR="0" wp14:anchorId="55AEF18F" wp14:editId="3375D59D">
                  <wp:extent cx="2679405" cy="2679405"/>
                  <wp:effectExtent l="0" t="0" r="0" b="0"/>
                  <wp:docPr id="31" name="Picture 31" descr="X:\EchoAF\R\Figures\R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X:\EchoAF\R\Figures\R_65_0_F__PSA.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76984" cy="2676984"/>
                          </a:xfrm>
                          <a:prstGeom prst="rect">
                            <a:avLst/>
                          </a:prstGeom>
                          <a:noFill/>
                          <a:ln>
                            <a:noFill/>
                          </a:ln>
                        </pic:spPr>
                      </pic:pic>
                    </a:graphicData>
                  </a:graphic>
                </wp:inline>
              </w:drawing>
            </w:r>
          </w:p>
        </w:tc>
        <w:tc>
          <w:tcPr>
            <w:tcW w:w="4297" w:type="dxa"/>
          </w:tcPr>
          <w:p w:rsidR="009764E6" w:rsidRPr="0031099C" w:rsidRDefault="009764E6" w:rsidP="0046051B">
            <w:r w:rsidRPr="0031099C">
              <w:rPr>
                <w:noProof/>
                <w:lang w:val="en-GB" w:eastAsia="en-GB"/>
              </w:rPr>
              <w:drawing>
                <wp:inline distT="0" distB="0" distL="0" distR="0" wp14:anchorId="4A90B9A2" wp14:editId="2D2E4E46">
                  <wp:extent cx="2743200" cy="2743200"/>
                  <wp:effectExtent l="0" t="0" r="0" b="0"/>
                  <wp:docPr id="35" name="Picture 35" descr="X:\EchoAF\R\Figures\D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X:\EchoAF\R\Figures\D_65_0_F__PSA.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0722" cy="2740722"/>
                          </a:xfrm>
                          <a:prstGeom prst="rect">
                            <a:avLst/>
                          </a:prstGeom>
                          <a:noFill/>
                          <a:ln>
                            <a:noFill/>
                          </a:ln>
                        </pic:spPr>
                      </pic:pic>
                    </a:graphicData>
                  </a:graphic>
                </wp:inline>
              </w:drawing>
            </w:r>
          </w:p>
        </w:tc>
      </w:tr>
      <w:tr w:rsidR="009764E6" w:rsidRPr="0031099C" w:rsidTr="009764E6">
        <w:trPr>
          <w:divId w:val="1548566716"/>
        </w:trPr>
        <w:tc>
          <w:tcPr>
            <w:tcW w:w="4439" w:type="dxa"/>
          </w:tcPr>
          <w:p w:rsidR="009764E6" w:rsidRPr="0031099C" w:rsidRDefault="009764E6" w:rsidP="0046051B">
            <w:pPr>
              <w:pStyle w:val="ListParagraph"/>
              <w:numPr>
                <w:ilvl w:val="0"/>
                <w:numId w:val="20"/>
              </w:numPr>
              <w:spacing w:line="240" w:lineRule="auto"/>
              <w:jc w:val="left"/>
            </w:pPr>
            <w:r>
              <w:t>warfarin</w:t>
            </w:r>
          </w:p>
        </w:tc>
        <w:tc>
          <w:tcPr>
            <w:tcW w:w="5167" w:type="dxa"/>
          </w:tcPr>
          <w:p w:rsidR="009764E6" w:rsidRPr="0031099C" w:rsidRDefault="009764E6" w:rsidP="0046051B">
            <w:pPr>
              <w:pStyle w:val="ListParagraph"/>
              <w:numPr>
                <w:ilvl w:val="0"/>
                <w:numId w:val="20"/>
              </w:numPr>
              <w:spacing w:line="240" w:lineRule="auto"/>
              <w:jc w:val="left"/>
            </w:pPr>
            <w:proofErr w:type="spellStart"/>
            <w:r>
              <w:t>rivaroxaban</w:t>
            </w:r>
            <w:proofErr w:type="spellEnd"/>
          </w:p>
        </w:tc>
        <w:tc>
          <w:tcPr>
            <w:tcW w:w="4297" w:type="dxa"/>
          </w:tcPr>
          <w:p w:rsidR="009764E6" w:rsidRPr="0031099C" w:rsidRDefault="009764E6" w:rsidP="0046051B">
            <w:pPr>
              <w:pStyle w:val="ListParagraph"/>
              <w:numPr>
                <w:ilvl w:val="0"/>
                <w:numId w:val="20"/>
              </w:numPr>
              <w:spacing w:line="240" w:lineRule="auto"/>
              <w:jc w:val="left"/>
            </w:pPr>
            <w:proofErr w:type="spellStart"/>
            <w:r>
              <w:t>dabigatran</w:t>
            </w:r>
            <w:proofErr w:type="spellEnd"/>
          </w:p>
        </w:tc>
      </w:tr>
    </w:tbl>
    <w:p w:rsidR="0046051B" w:rsidRPr="0031099C" w:rsidRDefault="0046051B" w:rsidP="0046051B">
      <w:pPr>
        <w:divId w:val="1548566716"/>
        <w:rPr>
          <w:lang w:val="en-GB"/>
        </w:rPr>
      </w:pPr>
    </w:p>
    <w:p w:rsidR="006D0808" w:rsidRPr="0031099C" w:rsidRDefault="006D0808" w:rsidP="003C217E">
      <w:pPr>
        <w:divId w:val="1548566716"/>
        <w:rPr>
          <w:lang w:val="en-GB"/>
        </w:rPr>
        <w:sectPr w:rsidR="006D0808" w:rsidRPr="0031099C" w:rsidSect="009764E6">
          <w:pgSz w:w="16838" w:h="11906" w:orient="landscape"/>
          <w:pgMar w:top="1440" w:right="1440" w:bottom="1440" w:left="1440" w:header="709" w:footer="709" w:gutter="0"/>
          <w:cols w:space="708"/>
          <w:docGrid w:linePitch="360"/>
        </w:sectPr>
      </w:pPr>
    </w:p>
    <w:p w:rsidR="00920A0B" w:rsidRPr="0031099C" w:rsidRDefault="0098691C" w:rsidP="0098691C">
      <w:pPr>
        <w:pStyle w:val="Caption"/>
        <w:divId w:val="1548566716"/>
        <w:rPr>
          <w:color w:val="auto"/>
        </w:rPr>
      </w:pPr>
      <w:bookmarkStart w:id="11" w:name="_Ref335141468"/>
      <w:r w:rsidRPr="0031099C">
        <w:rPr>
          <w:color w:val="auto"/>
        </w:rPr>
        <w:lastRenderedPageBreak/>
        <w:t xml:space="preserve">Table </w:t>
      </w:r>
      <w:r w:rsidR="00EF4E89">
        <w:rPr>
          <w:color w:val="auto"/>
        </w:rPr>
        <w:fldChar w:fldCharType="begin"/>
      </w:r>
      <w:r w:rsidR="00EF4E89">
        <w:rPr>
          <w:color w:val="auto"/>
        </w:rPr>
        <w:instrText xml:space="preserve"> SEQ Table \* ARABIC </w:instrText>
      </w:r>
      <w:r w:rsidR="00EF4E89">
        <w:rPr>
          <w:color w:val="auto"/>
        </w:rPr>
        <w:fldChar w:fldCharType="separate"/>
      </w:r>
      <w:r w:rsidR="00B66501">
        <w:rPr>
          <w:noProof/>
          <w:color w:val="auto"/>
        </w:rPr>
        <w:t>3</w:t>
      </w:r>
      <w:r w:rsidR="00EF4E89">
        <w:rPr>
          <w:color w:val="auto"/>
        </w:rPr>
        <w:fldChar w:fldCharType="end"/>
      </w:r>
      <w:bookmarkEnd w:id="11"/>
      <w:r w:rsidRPr="0031099C">
        <w:rPr>
          <w:color w:val="auto"/>
        </w:rPr>
        <w:t xml:space="preserve"> Illustration of the effect of different levels of sensitivity and specificity on ICER of TTE compared with no TTE in cohorts of </w:t>
      </w:r>
      <w:r w:rsidR="00523D67" w:rsidRPr="0031099C">
        <w:rPr>
          <w:color w:val="auto"/>
        </w:rPr>
        <w:t xml:space="preserve">female </w:t>
      </w:r>
      <w:r w:rsidRPr="0031099C">
        <w:rPr>
          <w:color w:val="auto"/>
        </w:rPr>
        <w:t xml:space="preserve">patients aged </w:t>
      </w:r>
      <w:r w:rsidR="00523D67" w:rsidRPr="0031099C">
        <w:rPr>
          <w:color w:val="auto"/>
        </w:rPr>
        <w:t>sixty five, and with an initial CHADS</w:t>
      </w:r>
      <w:r w:rsidR="00523D67" w:rsidRPr="0031099C">
        <w:rPr>
          <w:color w:val="auto"/>
          <w:vertAlign w:val="subscript"/>
        </w:rPr>
        <w:t>2</w:t>
      </w:r>
      <w:r w:rsidR="00523D67" w:rsidRPr="0031099C">
        <w:rPr>
          <w:color w:val="auto"/>
        </w:rPr>
        <w:t xml:space="preserve"> score of zero, </w:t>
      </w:r>
      <w:r w:rsidRPr="0031099C">
        <w:rPr>
          <w:color w:val="auto"/>
        </w:rPr>
        <w:t xml:space="preserve">in making the decision whether to prescribe </w:t>
      </w:r>
      <w:r w:rsidR="00523D67" w:rsidRPr="0031099C">
        <w:rPr>
          <w:color w:val="auto"/>
        </w:rPr>
        <w:t xml:space="preserve">a) </w:t>
      </w:r>
      <w:r w:rsidRPr="0031099C">
        <w:rPr>
          <w:color w:val="auto"/>
        </w:rPr>
        <w:t>warfarin</w:t>
      </w:r>
      <w:r w:rsidR="00523D67" w:rsidRPr="0031099C">
        <w:rPr>
          <w:color w:val="auto"/>
        </w:rPr>
        <w:t xml:space="preserve">, b) </w:t>
      </w:r>
      <w:proofErr w:type="spellStart"/>
      <w:r w:rsidR="00523D67" w:rsidRPr="0031099C">
        <w:rPr>
          <w:color w:val="auto"/>
        </w:rPr>
        <w:t>rivaroxaban</w:t>
      </w:r>
      <w:proofErr w:type="spellEnd"/>
      <w:r w:rsidR="00523D67" w:rsidRPr="0031099C">
        <w:rPr>
          <w:color w:val="auto"/>
        </w:rPr>
        <w:t xml:space="preserve">, or c) </w:t>
      </w:r>
      <w:proofErr w:type="spellStart"/>
      <w:r w:rsidR="00523D67" w:rsidRPr="0031099C">
        <w:rPr>
          <w:color w:val="auto"/>
        </w:rPr>
        <w:t>dabigatran</w:t>
      </w:r>
      <w:proofErr w:type="spellEnd"/>
      <w:r w:rsidRPr="0031099C">
        <w:rPr>
          <w:color w:val="auto"/>
        </w:rPr>
        <w:t>.</w:t>
      </w:r>
      <w:r w:rsidR="00040779" w:rsidRPr="0031099C">
        <w:rPr>
          <w:color w:val="auto"/>
        </w:rPr>
        <w:t xml:space="preserve"> The four cells with sensitivity and specificity values closest to the empirical values are underlined</w:t>
      </w:r>
      <w:r w:rsidR="0053772E" w:rsidRPr="0031099C">
        <w:rPr>
          <w:color w:val="auto"/>
        </w:rPr>
        <w:t>.</w:t>
      </w:r>
      <w:r w:rsidRPr="0031099C">
        <w:rPr>
          <w:color w:val="auto"/>
        </w:rPr>
        <w:t xml:space="preserve"> (Amounts in £1000 / QALY; &gt;99; Over £99,000/QALY; D: Dominated</w:t>
      </w:r>
      <w:r w:rsidR="00056C3D">
        <w:rPr>
          <w:color w:val="auto"/>
        </w:rPr>
        <w:t xml:space="preserve">; </w:t>
      </w:r>
      <w:r w:rsidR="00056C3D" w:rsidRPr="00056C3D">
        <w:rPr>
          <w:rFonts w:ascii="Calibri" w:eastAsia="Times New Roman" w:hAnsi="Calibri" w:cs="Calibri"/>
          <w:color w:val="auto"/>
          <w:lang w:eastAsia="en-GB"/>
        </w:rPr>
        <w:t>∞: infinity</w:t>
      </w:r>
      <w:r w:rsidRPr="0031099C">
        <w:rPr>
          <w:color w:val="auto"/>
        </w:rPr>
        <w:t>)</w:t>
      </w:r>
    </w:p>
    <w:tbl>
      <w:tblPr>
        <w:tblpPr w:leftFromText="180" w:rightFromText="180" w:vertAnchor="page" w:horzAnchor="margin" w:tblpY="2911"/>
        <w:tblW w:w="0" w:type="auto"/>
        <w:tblLook w:val="04A0" w:firstRow="1" w:lastRow="0" w:firstColumn="1" w:lastColumn="0" w:noHBand="0" w:noVBand="1"/>
      </w:tblPr>
      <w:tblGrid>
        <w:gridCol w:w="556"/>
        <w:gridCol w:w="686"/>
        <w:gridCol w:w="549"/>
        <w:gridCol w:w="567"/>
        <w:gridCol w:w="607"/>
        <w:gridCol w:w="607"/>
        <w:gridCol w:w="607"/>
        <w:gridCol w:w="607"/>
        <w:gridCol w:w="607"/>
        <w:gridCol w:w="780"/>
        <w:gridCol w:w="709"/>
        <w:gridCol w:w="607"/>
        <w:gridCol w:w="552"/>
      </w:tblGrid>
      <w:tr w:rsidR="00D7721F" w:rsidRPr="0031099C" w:rsidTr="00DB7C63">
        <w:trPr>
          <w:divId w:val="1548566716"/>
          <w:trHeight w:val="329"/>
        </w:trPr>
        <w:tc>
          <w:tcPr>
            <w:tcW w:w="1242"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B7C63" w:rsidRPr="0031099C" w:rsidRDefault="00DB7C63" w:rsidP="00523D67">
            <w:pPr>
              <w:pStyle w:val="ListParagraph"/>
              <w:numPr>
                <w:ilvl w:val="0"/>
                <w:numId w:val="23"/>
              </w:numPr>
              <w:spacing w:after="0" w:line="240" w:lineRule="auto"/>
              <w:rPr>
                <w:rFonts w:ascii="Calibri" w:eastAsia="Times New Roman" w:hAnsi="Calibri" w:cs="Calibri"/>
                <w:b/>
                <w:bCs/>
                <w:i/>
                <w:iCs/>
                <w:lang w:eastAsia="en-GB"/>
              </w:rPr>
            </w:pPr>
          </w:p>
        </w:tc>
        <w:tc>
          <w:tcPr>
            <w:tcW w:w="6476" w:type="dxa"/>
            <w:gridSpan w:val="11"/>
            <w:tcBorders>
              <w:top w:val="single" w:sz="4" w:space="0" w:color="auto"/>
              <w:left w:val="nil"/>
              <w:bottom w:val="single" w:sz="4" w:space="0" w:color="auto"/>
              <w:right w:val="single" w:sz="4" w:space="0" w:color="auto"/>
            </w:tcBorders>
            <w:shd w:val="clear" w:color="auto" w:fill="auto"/>
            <w:noWrap/>
            <w:vAlign w:val="center"/>
            <w:hideMark/>
          </w:tcPr>
          <w:p w:rsidR="00DB7C63" w:rsidRPr="0031099C" w:rsidRDefault="00900D68" w:rsidP="00DB7C63">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D7721F" w:rsidRPr="0031099C" w:rsidTr="00523D67">
        <w:trPr>
          <w:divId w:val="1548566716"/>
          <w:trHeight w:val="329"/>
        </w:trPr>
        <w:tc>
          <w:tcPr>
            <w:tcW w:w="1242" w:type="dxa"/>
            <w:gridSpan w:val="2"/>
            <w:tcBorders>
              <w:top w:val="nil"/>
              <w:left w:val="single" w:sz="4" w:space="0" w:color="auto"/>
              <w:bottom w:val="single" w:sz="4" w:space="0" w:color="auto"/>
              <w:right w:val="single" w:sz="4" w:space="0" w:color="000000"/>
            </w:tcBorders>
            <w:shd w:val="clear" w:color="auto" w:fill="auto"/>
            <w:vAlign w:val="center"/>
          </w:tcPr>
          <w:p w:rsidR="00DB7C63" w:rsidRPr="0031099C" w:rsidRDefault="00DB7C63" w:rsidP="00523D67">
            <w:pPr>
              <w:spacing w:after="0" w:line="240" w:lineRule="auto"/>
              <w:rPr>
                <w:rFonts w:ascii="Calibri" w:eastAsia="Times New Roman" w:hAnsi="Calibri" w:cs="Calibri"/>
                <w:b/>
                <w:bCs/>
                <w:i/>
                <w:iCs/>
                <w:lang w:eastAsia="en-GB"/>
              </w:rPr>
            </w:pP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7721F" w:rsidRPr="0031099C" w:rsidTr="00523D67">
        <w:trPr>
          <w:divId w:val="1548566716"/>
          <w:trHeight w:val="329"/>
        </w:trPr>
        <w:tc>
          <w:tcPr>
            <w:tcW w:w="556"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B7C63" w:rsidRPr="0031099C" w:rsidRDefault="00900D68" w:rsidP="00DB7C63">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8.1</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39.9</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D7721F">
            <w:pPr>
              <w:spacing w:after="0" w:line="240" w:lineRule="auto"/>
              <w:rPr>
                <w:rFonts w:ascii="Calibri" w:eastAsia="Times New Roman" w:hAnsi="Calibri" w:cs="Calibri"/>
                <w:lang w:eastAsia="en-GB"/>
              </w:rPr>
            </w:pPr>
            <w:r w:rsidRPr="0031099C">
              <w:rPr>
                <w:rFonts w:ascii="Calibri" w:eastAsia="Times New Roman" w:hAnsi="Calibri" w:cs="Calibri"/>
                <w:lang w:eastAsia="en-GB"/>
              </w:rPr>
              <w:t>12.9</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523D67">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54.7</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523D67">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523D67">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68.9</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28.8</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36.5</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19.8</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11.1</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44.1</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25.1</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15.2</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9.1</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30.3</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19.2</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58.6</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35.4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23.2</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15.7</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10..6</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65.7</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40.5</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27.1</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9.2</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w:t>
            </w:r>
          </w:p>
        </w:tc>
      </w:tr>
    </w:tbl>
    <w:p w:rsidR="0098691C" w:rsidRPr="0031099C" w:rsidRDefault="0098691C" w:rsidP="003162AB">
      <w:pPr>
        <w:divId w:val="1548566716"/>
      </w:pPr>
    </w:p>
    <w:p w:rsidR="0098691C" w:rsidRPr="0031099C" w:rsidRDefault="0098691C" w:rsidP="003162AB">
      <w:pPr>
        <w:divId w:val="1548566716"/>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tbl>
      <w:tblPr>
        <w:tblW w:w="7767" w:type="dxa"/>
        <w:tblInd w:w="93" w:type="dxa"/>
        <w:tblLook w:val="04A0" w:firstRow="1" w:lastRow="0" w:firstColumn="1" w:lastColumn="0" w:noHBand="0" w:noVBand="1"/>
      </w:tblPr>
      <w:tblGrid>
        <w:gridCol w:w="513"/>
        <w:gridCol w:w="514"/>
        <w:gridCol w:w="623"/>
        <w:gridCol w:w="623"/>
        <w:gridCol w:w="623"/>
        <w:gridCol w:w="623"/>
        <w:gridCol w:w="623"/>
        <w:gridCol w:w="623"/>
        <w:gridCol w:w="623"/>
        <w:gridCol w:w="623"/>
        <w:gridCol w:w="623"/>
        <w:gridCol w:w="623"/>
        <w:gridCol w:w="510"/>
      </w:tblGrid>
      <w:tr w:rsidR="00D7721F" w:rsidRPr="0031099C" w:rsidTr="00345E19">
        <w:trPr>
          <w:trHeight w:val="307"/>
        </w:trPr>
        <w:tc>
          <w:tcPr>
            <w:tcW w:w="1027"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7721F" w:rsidRPr="0031099C" w:rsidRDefault="00D7721F" w:rsidP="00345E19">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b)</w:t>
            </w:r>
          </w:p>
        </w:tc>
        <w:tc>
          <w:tcPr>
            <w:tcW w:w="6740" w:type="dxa"/>
            <w:gridSpan w:val="11"/>
            <w:tcBorders>
              <w:top w:val="single" w:sz="4" w:space="0" w:color="auto"/>
              <w:left w:val="nil"/>
              <w:bottom w:val="single" w:sz="4" w:space="0" w:color="auto"/>
              <w:right w:val="single" w:sz="4" w:space="0" w:color="auto"/>
            </w:tcBorders>
            <w:shd w:val="clear" w:color="auto" w:fill="auto"/>
            <w:noWrap/>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D7721F" w:rsidRPr="0031099C" w:rsidTr="00345E19">
        <w:trPr>
          <w:trHeight w:val="307"/>
        </w:trPr>
        <w:tc>
          <w:tcPr>
            <w:tcW w:w="1027" w:type="dxa"/>
            <w:gridSpan w:val="2"/>
            <w:tcBorders>
              <w:top w:val="nil"/>
              <w:left w:val="single" w:sz="4" w:space="0" w:color="auto"/>
              <w:bottom w:val="single" w:sz="4" w:space="0" w:color="auto"/>
              <w:right w:val="single" w:sz="4" w:space="0" w:color="000000"/>
            </w:tcBorders>
            <w:shd w:val="clear" w:color="auto" w:fill="auto"/>
            <w:vAlign w:val="center"/>
            <w:hideMark/>
          </w:tcPr>
          <w:p w:rsidR="00D7721F" w:rsidRPr="0031099C" w:rsidRDefault="00D7721F" w:rsidP="00345E19">
            <w:pPr>
              <w:spacing w:after="0" w:line="240" w:lineRule="auto"/>
              <w:jc w:val="center"/>
              <w:rPr>
                <w:rFonts w:ascii="Calibri" w:eastAsia="Times New Roman" w:hAnsi="Calibri" w:cs="Calibri"/>
                <w:b/>
                <w:bCs/>
                <w:i/>
                <w:iCs/>
                <w:lang w:eastAsia="en-GB"/>
              </w:rPr>
            </w:pP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7721F" w:rsidRPr="0031099C" w:rsidTr="00345E19">
        <w:trPr>
          <w:trHeight w:val="307"/>
        </w:trPr>
        <w:tc>
          <w:tcPr>
            <w:tcW w:w="51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77.0</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17.4</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59.5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4.8</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93.2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28.5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21.1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22.9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17.5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bl>
    <w:p w:rsidR="00D7721F" w:rsidRPr="0031099C" w:rsidRDefault="00D7721F">
      <w:pPr>
        <w:spacing w:line="276" w:lineRule="auto"/>
        <w:jc w:val="left"/>
      </w:pPr>
    </w:p>
    <w:tbl>
      <w:tblPr>
        <w:tblW w:w="6500" w:type="dxa"/>
        <w:tblInd w:w="93" w:type="dxa"/>
        <w:tblLook w:val="04A0" w:firstRow="1" w:lastRow="0" w:firstColumn="1" w:lastColumn="0" w:noHBand="0" w:noVBand="1"/>
      </w:tblPr>
      <w:tblGrid>
        <w:gridCol w:w="500"/>
        <w:gridCol w:w="500"/>
        <w:gridCol w:w="607"/>
        <w:gridCol w:w="607"/>
        <w:gridCol w:w="607"/>
        <w:gridCol w:w="607"/>
        <w:gridCol w:w="607"/>
        <w:gridCol w:w="607"/>
        <w:gridCol w:w="607"/>
        <w:gridCol w:w="607"/>
        <w:gridCol w:w="607"/>
        <w:gridCol w:w="607"/>
        <w:gridCol w:w="495"/>
      </w:tblGrid>
      <w:tr w:rsidR="00D7721F" w:rsidRPr="0031099C" w:rsidTr="00345E19">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7721F" w:rsidRPr="0031099C" w:rsidRDefault="00D7721F" w:rsidP="00345E19">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c)</w:t>
            </w:r>
          </w:p>
        </w:tc>
        <w:tc>
          <w:tcPr>
            <w:tcW w:w="5500" w:type="dxa"/>
            <w:gridSpan w:val="11"/>
            <w:tcBorders>
              <w:top w:val="single" w:sz="4" w:space="0" w:color="auto"/>
              <w:left w:val="nil"/>
              <w:bottom w:val="single" w:sz="4" w:space="0" w:color="auto"/>
              <w:right w:val="single" w:sz="4" w:space="0" w:color="auto"/>
            </w:tcBorders>
            <w:shd w:val="clear" w:color="auto" w:fill="auto"/>
            <w:noWrap/>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D7721F" w:rsidRPr="0031099C" w:rsidTr="00345E19">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D7721F" w:rsidRPr="0031099C" w:rsidRDefault="00D7721F" w:rsidP="00D7721F">
            <w:pPr>
              <w:spacing w:after="0" w:line="240" w:lineRule="auto"/>
              <w:rPr>
                <w:rFonts w:ascii="Calibri" w:eastAsia="Times New Roman" w:hAnsi="Calibri" w:cs="Calibri"/>
                <w:b/>
                <w:bCs/>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7721F" w:rsidRPr="0031099C" w:rsidTr="00345E19">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28.3</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11.2</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99.6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13.4</w:t>
            </w:r>
          </w:p>
        </w:tc>
        <w:tc>
          <w:tcPr>
            <w:tcW w:w="512"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376"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97.7</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5.3</w:t>
            </w:r>
          </w:p>
        </w:tc>
        <w:tc>
          <w:tcPr>
            <w:tcW w:w="376"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96.6</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49.8</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7.4</w:t>
            </w:r>
          </w:p>
        </w:tc>
        <w:tc>
          <w:tcPr>
            <w:tcW w:w="512"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c>
          <w:tcPr>
            <w:tcW w:w="376"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31.0</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20.4</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20.2</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14.3</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11.8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12.4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10.3</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bl>
    <w:p w:rsidR="002D3329" w:rsidRPr="0031099C" w:rsidRDefault="002D3329">
      <w:pPr>
        <w:spacing w:line="276" w:lineRule="auto"/>
        <w:jc w:val="left"/>
      </w:pPr>
      <w:r w:rsidRPr="0031099C">
        <w:br w:type="page"/>
      </w:r>
    </w:p>
    <w:p w:rsidR="003162AB" w:rsidRPr="0031099C" w:rsidRDefault="003A6116" w:rsidP="003A6116">
      <w:pPr>
        <w:pStyle w:val="Caption"/>
        <w:divId w:val="1548566716"/>
        <w:rPr>
          <w:color w:val="auto"/>
        </w:rPr>
      </w:pPr>
      <w:bookmarkStart w:id="12" w:name="_Ref335142114"/>
      <w:proofErr w:type="gramStart"/>
      <w:r w:rsidRPr="0031099C">
        <w:rPr>
          <w:color w:val="auto"/>
        </w:rPr>
        <w:lastRenderedPageBreak/>
        <w:t xml:space="preserve">Table </w:t>
      </w:r>
      <w:r w:rsidR="00EF4E89">
        <w:rPr>
          <w:color w:val="auto"/>
        </w:rPr>
        <w:fldChar w:fldCharType="begin"/>
      </w:r>
      <w:r w:rsidR="00EF4E89">
        <w:rPr>
          <w:color w:val="auto"/>
        </w:rPr>
        <w:instrText xml:space="preserve"> SEQ Table \* ARABIC </w:instrText>
      </w:r>
      <w:r w:rsidR="00EF4E89">
        <w:rPr>
          <w:color w:val="auto"/>
        </w:rPr>
        <w:fldChar w:fldCharType="separate"/>
      </w:r>
      <w:r w:rsidR="00B66501">
        <w:rPr>
          <w:noProof/>
          <w:color w:val="auto"/>
        </w:rPr>
        <w:t>4</w:t>
      </w:r>
      <w:r w:rsidR="00EF4E89">
        <w:rPr>
          <w:color w:val="auto"/>
        </w:rPr>
        <w:fldChar w:fldCharType="end"/>
      </w:r>
      <w:bookmarkEnd w:id="12"/>
      <w:r w:rsidRPr="0031099C">
        <w:rPr>
          <w:color w:val="auto"/>
        </w:rPr>
        <w:t xml:space="preserve"> Qualitat</w:t>
      </w:r>
      <w:r w:rsidR="00610C33" w:rsidRPr="0031099C">
        <w:rPr>
          <w:color w:val="auto"/>
        </w:rPr>
        <w:t>ive summary of results of all 10</w:t>
      </w:r>
      <w:r w:rsidRPr="0031099C">
        <w:rPr>
          <w:color w:val="auto"/>
        </w:rPr>
        <w:t xml:space="preserve"> scenarios</w:t>
      </w:r>
      <w:r w:rsidR="00D7721F" w:rsidRPr="0031099C">
        <w:rPr>
          <w:color w:val="auto"/>
        </w:rPr>
        <w:t>.</w:t>
      </w:r>
      <w:proofErr w:type="gramEnd"/>
      <w:r w:rsidR="00D7721F" w:rsidRPr="0031099C">
        <w:rPr>
          <w:color w:val="auto"/>
        </w:rPr>
        <w:t xml:space="preserve"> ICERs presented to nearest £1,000/QALY. QALY: Quality Adjusted </w:t>
      </w:r>
      <w:proofErr w:type="spellStart"/>
      <w:r w:rsidR="00D7721F" w:rsidRPr="0031099C">
        <w:rPr>
          <w:color w:val="auto"/>
        </w:rPr>
        <w:t>Lifeyear</w:t>
      </w:r>
      <w:proofErr w:type="spellEnd"/>
      <w:r w:rsidR="00D7721F" w:rsidRPr="0031099C">
        <w:rPr>
          <w:color w:val="auto"/>
        </w:rPr>
        <w:t xml:space="preserve">. </w:t>
      </w:r>
      <w:r w:rsidR="00525959" w:rsidRPr="0031099C">
        <w:rPr>
          <w:color w:val="auto"/>
        </w:rPr>
        <w:t xml:space="preserve">ICER: Incremental Cost Effectiveness Ratio. </w:t>
      </w:r>
      <w:r w:rsidR="00D7721F" w:rsidRPr="0031099C">
        <w:rPr>
          <w:color w:val="auto"/>
        </w:rPr>
        <w:t xml:space="preserve">NA: Not applicable. OAC: Oral anticoagulant. </w:t>
      </w:r>
      <w:r w:rsidR="0016298B" w:rsidRPr="0031099C">
        <w:rPr>
          <w:color w:val="auto"/>
        </w:rPr>
        <w:t xml:space="preserve">TTE: Transthoracic echocardiography. </w:t>
      </w:r>
      <w:r w:rsidR="00D7721F" w:rsidRPr="0031099C">
        <w:rPr>
          <w:color w:val="auto"/>
        </w:rPr>
        <w:t xml:space="preserve">Simple Dominance: </w:t>
      </w:r>
      <w:r w:rsidR="0016298B" w:rsidRPr="0031099C">
        <w:rPr>
          <w:color w:val="auto"/>
        </w:rPr>
        <w:t>TTE strategy is more expensive and less effective than no TTE strategy.</w:t>
      </w:r>
    </w:p>
    <w:tbl>
      <w:tblPr>
        <w:tblStyle w:val="TableGrid"/>
        <w:tblW w:w="8046" w:type="dxa"/>
        <w:tblLayout w:type="fixed"/>
        <w:tblLook w:val="04A0" w:firstRow="1" w:lastRow="0" w:firstColumn="1" w:lastColumn="0" w:noHBand="0" w:noVBand="1"/>
      </w:tblPr>
      <w:tblGrid>
        <w:gridCol w:w="675"/>
        <w:gridCol w:w="882"/>
        <w:gridCol w:w="1258"/>
        <w:gridCol w:w="2538"/>
        <w:gridCol w:w="1418"/>
        <w:gridCol w:w="1275"/>
      </w:tblGrid>
      <w:tr w:rsidR="00525959" w:rsidRPr="0031099C" w:rsidTr="0016298B">
        <w:trPr>
          <w:divId w:val="1548566716"/>
          <w:trHeight w:val="318"/>
        </w:trPr>
        <w:tc>
          <w:tcPr>
            <w:tcW w:w="675" w:type="dxa"/>
            <w:vMerge w:val="restart"/>
          </w:tcPr>
          <w:p w:rsidR="00610C33" w:rsidRPr="0031099C" w:rsidRDefault="00610C33" w:rsidP="003162AB">
            <w:r w:rsidRPr="0031099C">
              <w:t>Age</w:t>
            </w:r>
          </w:p>
        </w:tc>
        <w:tc>
          <w:tcPr>
            <w:tcW w:w="882" w:type="dxa"/>
            <w:vMerge w:val="restart"/>
          </w:tcPr>
          <w:p w:rsidR="00610C33" w:rsidRPr="0031099C" w:rsidRDefault="00610C33" w:rsidP="003162AB">
            <w:r w:rsidRPr="0031099C">
              <w:t>Gender</w:t>
            </w:r>
          </w:p>
        </w:tc>
        <w:tc>
          <w:tcPr>
            <w:tcW w:w="1258" w:type="dxa"/>
            <w:vMerge w:val="restart"/>
          </w:tcPr>
          <w:p w:rsidR="00610C33" w:rsidRPr="0031099C" w:rsidRDefault="00610C33" w:rsidP="003162AB">
            <w:r w:rsidRPr="0031099C">
              <w:t>OAC</w:t>
            </w:r>
          </w:p>
        </w:tc>
        <w:tc>
          <w:tcPr>
            <w:tcW w:w="2538" w:type="dxa"/>
            <w:vMerge w:val="restart"/>
          </w:tcPr>
          <w:p w:rsidR="00610C33" w:rsidRPr="0031099C" w:rsidRDefault="0016298B" w:rsidP="0016298B">
            <w:r w:rsidRPr="0031099C">
              <w:t xml:space="preserve">ICER </w:t>
            </w:r>
            <w:r w:rsidR="00610C33" w:rsidRPr="0031099C">
              <w:t>of TTE compared with no TTE</w:t>
            </w:r>
            <w:r w:rsidRPr="0031099C">
              <w:t xml:space="preserve"> strategy</w:t>
            </w:r>
          </w:p>
        </w:tc>
        <w:tc>
          <w:tcPr>
            <w:tcW w:w="2693" w:type="dxa"/>
            <w:gridSpan w:val="2"/>
          </w:tcPr>
          <w:p w:rsidR="00610C33" w:rsidRPr="0031099C" w:rsidRDefault="00610C33" w:rsidP="002D3329">
            <w:r w:rsidRPr="0031099C">
              <w:t>TTE optimal</w:t>
            </w:r>
          </w:p>
        </w:tc>
      </w:tr>
      <w:tr w:rsidR="00525959" w:rsidRPr="0031099C" w:rsidTr="0016298B">
        <w:trPr>
          <w:divId w:val="1548566716"/>
          <w:trHeight w:val="327"/>
        </w:trPr>
        <w:tc>
          <w:tcPr>
            <w:tcW w:w="675" w:type="dxa"/>
            <w:vMerge/>
          </w:tcPr>
          <w:p w:rsidR="00610C33" w:rsidRPr="0031099C" w:rsidRDefault="00610C33" w:rsidP="003162AB"/>
        </w:tc>
        <w:tc>
          <w:tcPr>
            <w:tcW w:w="882" w:type="dxa"/>
            <w:vMerge/>
          </w:tcPr>
          <w:p w:rsidR="00610C33" w:rsidRPr="0031099C" w:rsidRDefault="00610C33" w:rsidP="003162AB"/>
        </w:tc>
        <w:tc>
          <w:tcPr>
            <w:tcW w:w="1258" w:type="dxa"/>
            <w:vMerge/>
          </w:tcPr>
          <w:p w:rsidR="00610C33" w:rsidRPr="0031099C" w:rsidRDefault="00610C33" w:rsidP="003162AB"/>
        </w:tc>
        <w:tc>
          <w:tcPr>
            <w:tcW w:w="2538" w:type="dxa"/>
            <w:vMerge/>
          </w:tcPr>
          <w:p w:rsidR="00610C33" w:rsidRPr="0031099C" w:rsidRDefault="00610C33" w:rsidP="003225C4"/>
        </w:tc>
        <w:tc>
          <w:tcPr>
            <w:tcW w:w="1418" w:type="dxa"/>
          </w:tcPr>
          <w:p w:rsidR="00610C33" w:rsidRPr="0031099C" w:rsidRDefault="0016298B" w:rsidP="003225C4">
            <w:r w:rsidRPr="0031099C">
              <w:t>A</w:t>
            </w:r>
            <w:r w:rsidR="00610C33" w:rsidRPr="0031099C">
              <w:t>t £20,000</w:t>
            </w:r>
            <w:r w:rsidRPr="0031099C">
              <w:t xml:space="preserve"> </w:t>
            </w:r>
            <w:r w:rsidR="00610C33" w:rsidRPr="0031099C">
              <w:t>/</w:t>
            </w:r>
            <w:r w:rsidRPr="0031099C">
              <w:t xml:space="preserve"> </w:t>
            </w:r>
            <w:r w:rsidR="00610C33" w:rsidRPr="0031099C">
              <w:t>QALY</w:t>
            </w:r>
          </w:p>
        </w:tc>
        <w:tc>
          <w:tcPr>
            <w:tcW w:w="1275" w:type="dxa"/>
          </w:tcPr>
          <w:p w:rsidR="00610C33" w:rsidRPr="0031099C" w:rsidRDefault="00610C33" w:rsidP="003225C4">
            <w:r w:rsidRPr="0031099C">
              <w:t>At £30,000 /</w:t>
            </w:r>
            <w:r w:rsidR="0016298B" w:rsidRPr="0031099C">
              <w:t xml:space="preserve"> </w:t>
            </w:r>
            <w:r w:rsidRPr="0031099C">
              <w:t>QALY</w:t>
            </w:r>
          </w:p>
        </w:tc>
      </w:tr>
      <w:tr w:rsidR="00525959" w:rsidRPr="0031099C" w:rsidTr="0016298B">
        <w:trPr>
          <w:divId w:val="1548566716"/>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male</w:t>
            </w:r>
          </w:p>
        </w:tc>
        <w:tc>
          <w:tcPr>
            <w:tcW w:w="1258" w:type="dxa"/>
          </w:tcPr>
          <w:p w:rsidR="00610C33" w:rsidRPr="0031099C" w:rsidRDefault="00610C33" w:rsidP="003162AB">
            <w:r w:rsidRPr="0031099C">
              <w:t>warfarin</w:t>
            </w:r>
          </w:p>
        </w:tc>
        <w:tc>
          <w:tcPr>
            <w:tcW w:w="2538" w:type="dxa"/>
          </w:tcPr>
          <w:p w:rsidR="00610C33" w:rsidRPr="0031099C" w:rsidRDefault="0016298B" w:rsidP="002D3329">
            <w:r w:rsidRPr="0031099C">
              <w:t>NA: Simple d</w:t>
            </w:r>
            <w:r w:rsidR="00D7721F" w:rsidRPr="0031099C">
              <w:t>ominance</w:t>
            </w:r>
          </w:p>
        </w:tc>
        <w:tc>
          <w:tcPr>
            <w:tcW w:w="1418" w:type="dxa"/>
          </w:tcPr>
          <w:p w:rsidR="00610C33" w:rsidRPr="0031099C" w:rsidRDefault="00D7721F" w:rsidP="002D3329">
            <w:r w:rsidRPr="0031099C">
              <w:t>No</w:t>
            </w:r>
          </w:p>
        </w:tc>
        <w:tc>
          <w:tcPr>
            <w:tcW w:w="1275" w:type="dxa"/>
          </w:tcPr>
          <w:p w:rsidR="00610C33" w:rsidRPr="0031099C" w:rsidRDefault="00D7721F" w:rsidP="002D3329">
            <w:r w:rsidRPr="0031099C">
              <w:t>No</w:t>
            </w:r>
          </w:p>
        </w:tc>
      </w:tr>
      <w:tr w:rsidR="00525959" w:rsidRPr="0031099C" w:rsidTr="0016298B">
        <w:trPr>
          <w:divId w:val="1548566716"/>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female</w:t>
            </w:r>
          </w:p>
        </w:tc>
        <w:tc>
          <w:tcPr>
            <w:tcW w:w="1258" w:type="dxa"/>
          </w:tcPr>
          <w:p w:rsidR="00610C33" w:rsidRPr="0031099C" w:rsidRDefault="00610C33" w:rsidP="003162AB">
            <w:r w:rsidRPr="0031099C">
              <w:t>warfarin</w:t>
            </w:r>
          </w:p>
        </w:tc>
        <w:tc>
          <w:tcPr>
            <w:tcW w:w="2538" w:type="dxa"/>
          </w:tcPr>
          <w:p w:rsidR="00610C33" w:rsidRPr="0031099C" w:rsidRDefault="0016298B" w:rsidP="002D3329">
            <w:r w:rsidRPr="0031099C">
              <w:t>NA: Simple d</w:t>
            </w:r>
            <w:r w:rsidR="00D7721F" w:rsidRPr="0031099C">
              <w:t>ominance</w:t>
            </w:r>
          </w:p>
        </w:tc>
        <w:tc>
          <w:tcPr>
            <w:tcW w:w="1418" w:type="dxa"/>
          </w:tcPr>
          <w:p w:rsidR="00610C33" w:rsidRPr="0031099C" w:rsidRDefault="00D7721F" w:rsidP="002D3329">
            <w:r w:rsidRPr="0031099C">
              <w:t>No</w:t>
            </w:r>
          </w:p>
        </w:tc>
        <w:tc>
          <w:tcPr>
            <w:tcW w:w="1275" w:type="dxa"/>
          </w:tcPr>
          <w:p w:rsidR="00610C33" w:rsidRPr="0031099C" w:rsidRDefault="00D7721F" w:rsidP="002D3329">
            <w:r w:rsidRPr="0031099C">
              <w:t>No</w:t>
            </w:r>
          </w:p>
        </w:tc>
      </w:tr>
      <w:tr w:rsidR="00525959" w:rsidRPr="0031099C" w:rsidTr="0016298B">
        <w:trPr>
          <w:divId w:val="1548566716"/>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male</w:t>
            </w:r>
          </w:p>
        </w:tc>
        <w:tc>
          <w:tcPr>
            <w:tcW w:w="1258" w:type="dxa"/>
          </w:tcPr>
          <w:p w:rsidR="00610C33" w:rsidRPr="0031099C" w:rsidRDefault="00610C33" w:rsidP="003162AB">
            <w:r w:rsidRPr="0031099C">
              <w:t>warfarin</w:t>
            </w:r>
          </w:p>
        </w:tc>
        <w:tc>
          <w:tcPr>
            <w:tcW w:w="2538" w:type="dxa"/>
          </w:tcPr>
          <w:p w:rsidR="00610C33" w:rsidRPr="0031099C" w:rsidRDefault="00D7721F" w:rsidP="002D3329">
            <w:r w:rsidRPr="0031099C">
              <w:t>£67,000/QALY</w:t>
            </w:r>
          </w:p>
        </w:tc>
        <w:tc>
          <w:tcPr>
            <w:tcW w:w="1418" w:type="dxa"/>
          </w:tcPr>
          <w:p w:rsidR="00610C33" w:rsidRPr="0031099C" w:rsidRDefault="00D7721F" w:rsidP="002D3329">
            <w:r w:rsidRPr="0031099C">
              <w:t>No</w:t>
            </w:r>
          </w:p>
        </w:tc>
        <w:tc>
          <w:tcPr>
            <w:tcW w:w="1275" w:type="dxa"/>
          </w:tcPr>
          <w:p w:rsidR="00610C33" w:rsidRPr="0031099C" w:rsidRDefault="00D7721F" w:rsidP="002D3329">
            <w:r w:rsidRPr="0031099C">
              <w:t>No</w:t>
            </w:r>
          </w:p>
        </w:tc>
      </w:tr>
      <w:tr w:rsidR="00525959" w:rsidRPr="0031099C" w:rsidTr="0016298B">
        <w:trPr>
          <w:divId w:val="1548566716"/>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female</w:t>
            </w:r>
          </w:p>
        </w:tc>
        <w:tc>
          <w:tcPr>
            <w:tcW w:w="1258" w:type="dxa"/>
          </w:tcPr>
          <w:p w:rsidR="00610C33" w:rsidRPr="0031099C" w:rsidRDefault="00610C33" w:rsidP="003162AB">
            <w:r w:rsidRPr="0031099C">
              <w:t>warfarin</w:t>
            </w:r>
          </w:p>
        </w:tc>
        <w:tc>
          <w:tcPr>
            <w:tcW w:w="2538" w:type="dxa"/>
          </w:tcPr>
          <w:p w:rsidR="00610C33" w:rsidRPr="0031099C" w:rsidRDefault="00D7721F" w:rsidP="003162AB">
            <w:r w:rsidRPr="0031099C">
              <w:t>£40,000/QALY</w:t>
            </w:r>
          </w:p>
        </w:tc>
        <w:tc>
          <w:tcPr>
            <w:tcW w:w="1418" w:type="dxa"/>
          </w:tcPr>
          <w:p w:rsidR="00610C33" w:rsidRPr="0031099C" w:rsidRDefault="00D7721F" w:rsidP="003162AB">
            <w:r w:rsidRPr="0031099C">
              <w:t>No</w:t>
            </w:r>
          </w:p>
        </w:tc>
        <w:tc>
          <w:tcPr>
            <w:tcW w:w="1275" w:type="dxa"/>
          </w:tcPr>
          <w:p w:rsidR="00610C33" w:rsidRPr="0031099C" w:rsidRDefault="00D7721F" w:rsidP="003162AB">
            <w:r w:rsidRPr="0031099C">
              <w:t>No</w:t>
            </w:r>
          </w:p>
        </w:tc>
      </w:tr>
      <w:tr w:rsidR="00525959" w:rsidRPr="0031099C" w:rsidTr="0016298B">
        <w:trPr>
          <w:divId w:val="1548566716"/>
          <w:trHeight w:val="201"/>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2D3329">
            <w:r w:rsidRPr="0031099C">
              <w:t>NA: Simple dominance</w:t>
            </w:r>
          </w:p>
        </w:tc>
        <w:tc>
          <w:tcPr>
            <w:tcW w:w="1418" w:type="dxa"/>
          </w:tcPr>
          <w:p w:rsidR="00610C33" w:rsidRPr="0031099C" w:rsidRDefault="0016298B" w:rsidP="002D3329">
            <w:r w:rsidRPr="0031099C">
              <w:t>No</w:t>
            </w:r>
          </w:p>
        </w:tc>
        <w:tc>
          <w:tcPr>
            <w:tcW w:w="1275" w:type="dxa"/>
          </w:tcPr>
          <w:p w:rsidR="00610C33" w:rsidRPr="0031099C" w:rsidRDefault="0016298B" w:rsidP="002D3329">
            <w:r w:rsidRPr="0031099C">
              <w:t>No</w:t>
            </w:r>
          </w:p>
        </w:tc>
      </w:tr>
      <w:tr w:rsidR="00525959" w:rsidRPr="0031099C" w:rsidTr="0016298B">
        <w:trPr>
          <w:divId w:val="1548566716"/>
          <w:trHeight w:val="217"/>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female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2D3329">
            <w:r w:rsidRPr="0031099C">
              <w:t>NA: Simple dominance</w:t>
            </w:r>
          </w:p>
        </w:tc>
        <w:tc>
          <w:tcPr>
            <w:tcW w:w="1418" w:type="dxa"/>
          </w:tcPr>
          <w:p w:rsidR="00610C33" w:rsidRPr="0031099C" w:rsidRDefault="0016298B" w:rsidP="002D3329">
            <w:r w:rsidRPr="0031099C">
              <w:t>No</w:t>
            </w:r>
          </w:p>
        </w:tc>
        <w:tc>
          <w:tcPr>
            <w:tcW w:w="1275" w:type="dxa"/>
          </w:tcPr>
          <w:p w:rsidR="00610C33" w:rsidRPr="0031099C" w:rsidRDefault="0016298B" w:rsidP="002D3329">
            <w:r w:rsidRPr="0031099C">
              <w:t>No</w:t>
            </w:r>
          </w:p>
        </w:tc>
      </w:tr>
      <w:tr w:rsidR="00525959" w:rsidRPr="0031099C" w:rsidTr="0016298B">
        <w:trPr>
          <w:divId w:val="1548566716"/>
          <w:trHeight w:val="178"/>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16298B">
            <w:r w:rsidRPr="0031099C">
              <w:t>£30,000/QALY</w:t>
            </w:r>
          </w:p>
        </w:tc>
        <w:tc>
          <w:tcPr>
            <w:tcW w:w="1418" w:type="dxa"/>
          </w:tcPr>
          <w:p w:rsidR="00610C33" w:rsidRPr="0031099C" w:rsidRDefault="0016298B" w:rsidP="003162AB">
            <w:r w:rsidRPr="0031099C">
              <w:t>No</w:t>
            </w:r>
          </w:p>
        </w:tc>
        <w:tc>
          <w:tcPr>
            <w:tcW w:w="1275" w:type="dxa"/>
          </w:tcPr>
          <w:p w:rsidR="00610C33" w:rsidRPr="0031099C" w:rsidRDefault="0016298B" w:rsidP="002D3329">
            <w:r w:rsidRPr="0031099C">
              <w:t>Borderline</w:t>
            </w:r>
            <w:r w:rsidRPr="0031099C">
              <w:rPr>
                <w:rStyle w:val="FootnoteReference"/>
              </w:rPr>
              <w:footnoteReference w:id="1"/>
            </w:r>
          </w:p>
        </w:tc>
      </w:tr>
      <w:tr w:rsidR="00525959" w:rsidRPr="0031099C" w:rsidTr="0016298B">
        <w:trPr>
          <w:divId w:val="1548566716"/>
          <w:trHeight w:val="161"/>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female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2D3329">
            <w:r w:rsidRPr="0031099C">
              <w:t>£23,000/QALY</w:t>
            </w:r>
          </w:p>
        </w:tc>
        <w:tc>
          <w:tcPr>
            <w:tcW w:w="1418" w:type="dxa"/>
          </w:tcPr>
          <w:p w:rsidR="00610C33" w:rsidRPr="0031099C" w:rsidRDefault="0016298B" w:rsidP="002D3329">
            <w:r w:rsidRPr="0031099C">
              <w:t>No</w:t>
            </w:r>
          </w:p>
        </w:tc>
        <w:tc>
          <w:tcPr>
            <w:tcW w:w="1275" w:type="dxa"/>
          </w:tcPr>
          <w:p w:rsidR="00610C33" w:rsidRPr="0031099C" w:rsidRDefault="0016298B" w:rsidP="002D3329">
            <w:r w:rsidRPr="0031099C">
              <w:t>Yes</w:t>
            </w:r>
          </w:p>
        </w:tc>
      </w:tr>
      <w:tr w:rsidR="00525959" w:rsidRPr="0031099C" w:rsidTr="0016298B">
        <w:trPr>
          <w:divId w:val="1548566716"/>
          <w:trHeight w:val="201"/>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male</w:t>
            </w:r>
          </w:p>
        </w:tc>
        <w:tc>
          <w:tcPr>
            <w:tcW w:w="1258" w:type="dxa"/>
          </w:tcPr>
          <w:p w:rsidR="00610C33" w:rsidRPr="0031099C" w:rsidRDefault="00610C33" w:rsidP="003162AB">
            <w:proofErr w:type="spellStart"/>
            <w:r w:rsidRPr="0031099C">
              <w:t>dabigatran</w:t>
            </w:r>
            <w:proofErr w:type="spellEnd"/>
          </w:p>
        </w:tc>
        <w:tc>
          <w:tcPr>
            <w:tcW w:w="2538" w:type="dxa"/>
          </w:tcPr>
          <w:p w:rsidR="00610C33" w:rsidRPr="0031099C" w:rsidRDefault="0016298B" w:rsidP="002D3329">
            <w:r w:rsidRPr="0031099C">
              <w:t>£15,000/QALY</w:t>
            </w:r>
          </w:p>
        </w:tc>
        <w:tc>
          <w:tcPr>
            <w:tcW w:w="1418" w:type="dxa"/>
          </w:tcPr>
          <w:p w:rsidR="00610C33" w:rsidRPr="0031099C" w:rsidRDefault="0016298B" w:rsidP="002D3329">
            <w:r w:rsidRPr="0031099C">
              <w:t>Yes</w:t>
            </w:r>
          </w:p>
        </w:tc>
        <w:tc>
          <w:tcPr>
            <w:tcW w:w="1275" w:type="dxa"/>
          </w:tcPr>
          <w:p w:rsidR="00610C33" w:rsidRPr="0031099C" w:rsidRDefault="0016298B" w:rsidP="002D3329">
            <w:r w:rsidRPr="0031099C">
              <w:t>Yes</w:t>
            </w:r>
          </w:p>
        </w:tc>
      </w:tr>
      <w:tr w:rsidR="00525959" w:rsidRPr="0031099C" w:rsidTr="0016298B">
        <w:trPr>
          <w:divId w:val="1548566716"/>
          <w:trHeight w:val="161"/>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female</w:t>
            </w:r>
          </w:p>
        </w:tc>
        <w:tc>
          <w:tcPr>
            <w:tcW w:w="1258" w:type="dxa"/>
          </w:tcPr>
          <w:p w:rsidR="00610C33" w:rsidRPr="0031099C" w:rsidRDefault="00610C33" w:rsidP="003162AB">
            <w:proofErr w:type="spellStart"/>
            <w:r w:rsidRPr="0031099C">
              <w:t>dabigatran</w:t>
            </w:r>
            <w:proofErr w:type="spellEnd"/>
          </w:p>
        </w:tc>
        <w:tc>
          <w:tcPr>
            <w:tcW w:w="2538" w:type="dxa"/>
          </w:tcPr>
          <w:p w:rsidR="00610C33" w:rsidRPr="0031099C" w:rsidRDefault="0016298B" w:rsidP="002D3329">
            <w:r w:rsidRPr="0031099C">
              <w:t>£12,000/QALY</w:t>
            </w:r>
          </w:p>
        </w:tc>
        <w:tc>
          <w:tcPr>
            <w:tcW w:w="1418" w:type="dxa"/>
          </w:tcPr>
          <w:p w:rsidR="00610C33" w:rsidRPr="0031099C" w:rsidRDefault="0016298B" w:rsidP="002D3329">
            <w:r w:rsidRPr="0031099C">
              <w:t>Yes</w:t>
            </w:r>
          </w:p>
        </w:tc>
        <w:tc>
          <w:tcPr>
            <w:tcW w:w="1275" w:type="dxa"/>
          </w:tcPr>
          <w:p w:rsidR="00610C33" w:rsidRPr="0031099C" w:rsidRDefault="0016298B" w:rsidP="002D3329">
            <w:r w:rsidRPr="0031099C">
              <w:t>Yes</w:t>
            </w:r>
          </w:p>
        </w:tc>
      </w:tr>
    </w:tbl>
    <w:p w:rsidR="003162AB" w:rsidRPr="0031099C" w:rsidRDefault="003162AB" w:rsidP="003162AB">
      <w:pPr>
        <w:divId w:val="1548566716"/>
        <w:rPr>
          <w:lang w:val="en-GB"/>
        </w:rPr>
      </w:pPr>
    </w:p>
    <w:p w:rsidR="006E20FD" w:rsidRPr="0031099C" w:rsidRDefault="006E20FD" w:rsidP="003162AB">
      <w:pPr>
        <w:divId w:val="1548566716"/>
        <w:rPr>
          <w:lang w:val="en-GB"/>
        </w:rPr>
      </w:pPr>
    </w:p>
    <w:p w:rsidR="00EF4E89" w:rsidRDefault="00EF4E89">
      <w:pPr>
        <w:spacing w:line="276" w:lineRule="auto"/>
        <w:jc w:val="left"/>
        <w:rPr>
          <w:lang w:val="en-GB"/>
        </w:rPr>
        <w:sectPr w:rsidR="00EF4E89" w:rsidSect="00EF4E89">
          <w:pgSz w:w="11906" w:h="16838"/>
          <w:pgMar w:top="1440" w:right="1440" w:bottom="1440" w:left="1440" w:header="709" w:footer="709" w:gutter="0"/>
          <w:cols w:space="708"/>
          <w:docGrid w:linePitch="360"/>
        </w:sectPr>
      </w:pPr>
    </w:p>
    <w:p w:rsidR="006E20FD" w:rsidRDefault="006E20FD" w:rsidP="00EF4E89">
      <w:pPr>
        <w:pStyle w:val="Heading1"/>
        <w:numPr>
          <w:ilvl w:val="0"/>
          <w:numId w:val="0"/>
        </w:numPr>
        <w:divId w:val="1548566716"/>
        <w:rPr>
          <w:lang w:val="en-GB"/>
        </w:rPr>
      </w:pPr>
      <w:r w:rsidRPr="0031099C">
        <w:rPr>
          <w:lang w:val="en-GB"/>
        </w:rPr>
        <w:lastRenderedPageBreak/>
        <w:t>Appendix</w:t>
      </w:r>
    </w:p>
    <w:p w:rsidR="00EF4E89" w:rsidRDefault="00C2196C" w:rsidP="00EF4E89">
      <w:pPr>
        <w:pStyle w:val="Heading2"/>
        <w:numPr>
          <w:ilvl w:val="0"/>
          <w:numId w:val="0"/>
        </w:numPr>
        <w:divId w:val="1548566716"/>
        <w:rPr>
          <w:lang w:val="en-GB"/>
        </w:rPr>
      </w:pPr>
      <w:r>
        <w:rPr>
          <w:lang w:val="en-GB"/>
        </w:rPr>
        <w:t xml:space="preserve">Appendix </w:t>
      </w:r>
      <w:r w:rsidR="00EF4E89">
        <w:rPr>
          <w:lang w:val="en-GB"/>
        </w:rPr>
        <w:t>A: Parameters used in model</w:t>
      </w:r>
    </w:p>
    <w:tbl>
      <w:tblPr>
        <w:tblStyle w:val="TableGrid"/>
        <w:tblW w:w="0" w:type="auto"/>
        <w:tblLook w:val="04A0" w:firstRow="1" w:lastRow="0" w:firstColumn="1" w:lastColumn="0" w:noHBand="0" w:noVBand="1"/>
      </w:tblPr>
      <w:tblGrid>
        <w:gridCol w:w="1951"/>
        <w:gridCol w:w="3497"/>
        <w:gridCol w:w="4299"/>
        <w:gridCol w:w="3969"/>
      </w:tblGrid>
      <w:tr w:rsidR="00EF4E89" w:rsidRPr="00532F44" w:rsidTr="00EF4E89">
        <w:trPr>
          <w:divId w:val="1548566716"/>
        </w:trPr>
        <w:tc>
          <w:tcPr>
            <w:tcW w:w="1951" w:type="dxa"/>
            <w:tcBorders>
              <w:top w:val="nil"/>
              <w:left w:val="nil"/>
            </w:tcBorders>
          </w:tcPr>
          <w:p w:rsidR="00EF4E89" w:rsidRPr="00532F44" w:rsidRDefault="00EF4E89" w:rsidP="00EF4E89"/>
        </w:tc>
        <w:tc>
          <w:tcPr>
            <w:tcW w:w="3497" w:type="dxa"/>
          </w:tcPr>
          <w:p w:rsidR="00EF4E89" w:rsidRPr="00532F44" w:rsidRDefault="00EF4E89" w:rsidP="00EF4E89">
            <w:pPr>
              <w:rPr>
                <w:b/>
              </w:rPr>
            </w:pPr>
            <w:r w:rsidRPr="00532F44">
              <w:rPr>
                <w:b/>
              </w:rPr>
              <w:t>Category</w:t>
            </w:r>
          </w:p>
        </w:tc>
        <w:tc>
          <w:tcPr>
            <w:tcW w:w="4299" w:type="dxa"/>
          </w:tcPr>
          <w:p w:rsidR="00EF4E89" w:rsidRPr="00532F44" w:rsidRDefault="00EF4E89" w:rsidP="00EF4E89">
            <w:pPr>
              <w:rPr>
                <w:b/>
              </w:rPr>
            </w:pPr>
            <w:r w:rsidRPr="00532F44">
              <w:rPr>
                <w:b/>
              </w:rPr>
              <w:t>Description</w:t>
            </w:r>
          </w:p>
        </w:tc>
        <w:tc>
          <w:tcPr>
            <w:tcW w:w="3969" w:type="dxa"/>
          </w:tcPr>
          <w:p w:rsidR="00EF4E89" w:rsidRPr="00532F44" w:rsidRDefault="00EF4E89" w:rsidP="00EF4E89">
            <w:pPr>
              <w:rPr>
                <w:b/>
              </w:rPr>
            </w:pPr>
            <w:r w:rsidRPr="00532F44">
              <w:rPr>
                <w:b/>
              </w:rPr>
              <w:t>References</w:t>
            </w:r>
          </w:p>
        </w:tc>
      </w:tr>
      <w:tr w:rsidR="00EF4E89" w:rsidRPr="00532F44" w:rsidTr="00EF4E89">
        <w:trPr>
          <w:divId w:val="1548566716"/>
          <w:trHeight w:val="288"/>
        </w:trPr>
        <w:tc>
          <w:tcPr>
            <w:tcW w:w="1951" w:type="dxa"/>
            <w:vMerge w:val="restart"/>
          </w:tcPr>
          <w:p w:rsidR="00EF4E89" w:rsidRPr="00532F44" w:rsidRDefault="00EF4E89" w:rsidP="00EF4E89">
            <w:pPr>
              <w:rPr>
                <w:b/>
              </w:rPr>
            </w:pPr>
            <w:r w:rsidRPr="00532F44">
              <w:rPr>
                <w:b/>
              </w:rPr>
              <w:t>Risks/Probabilities</w:t>
            </w:r>
          </w:p>
        </w:tc>
        <w:tc>
          <w:tcPr>
            <w:tcW w:w="3497" w:type="dxa"/>
          </w:tcPr>
          <w:p w:rsidR="00EF4E89" w:rsidRPr="00532F44" w:rsidRDefault="00EF4E89" w:rsidP="00EF4E89">
            <w:r w:rsidRPr="00532F44">
              <w:t>Death from other causes</w:t>
            </w:r>
          </w:p>
        </w:tc>
        <w:tc>
          <w:tcPr>
            <w:tcW w:w="4299" w:type="dxa"/>
          </w:tcPr>
          <w:p w:rsidR="00EF4E89" w:rsidRPr="00532F44" w:rsidRDefault="00EF4E89" w:rsidP="00EF4E89">
            <w:r w:rsidRPr="00532F44">
              <w:t>Nonparametric</w:t>
            </w:r>
          </w:p>
        </w:tc>
        <w:tc>
          <w:tcPr>
            <w:tcW w:w="3969" w:type="dxa"/>
          </w:tcPr>
          <w:p w:rsidR="00EF4E89" w:rsidRPr="00532F44" w:rsidRDefault="00EF4E89" w:rsidP="00EF4E89">
            <w:r w:rsidRPr="00532F44">
              <w:t xml:space="preserve">UK </w:t>
            </w:r>
            <w:proofErr w:type="spellStart"/>
            <w:r w:rsidRPr="00532F44">
              <w:t>Lifetables</w:t>
            </w:r>
            <w:proofErr w:type="spellEnd"/>
            <w:r w:rsidRPr="00532F44">
              <w:t xml:space="preserve">.  </w:t>
            </w:r>
            <w:r w:rsidRPr="00532F44">
              <w:fldChar w:fldCharType="begin" w:fldLock="1"/>
            </w:r>
            <w:r>
              <w:instrText>ADDIN CSL_CITATION { "citationItems" : [ { "id" : "ITEM-1", "itemData" : { "author" : [ { "dropping-particle" : "", "family" : "ONS", "given" : "", "non-dropping-particle" : "", "parse-names" : false, "suffix" : "" } ], "id" : "ITEM-1", "issue" : "12 January", "issued" : { "date-parts" : [ [ "2011" ] ] }, "publisher" : "ONS", "publisher-place" : "Cardiff", "title" : "Interim Life Tables", "type" : "article", "volume" : "2012" }, "uris" : [ "http://www.mendeley.com/documents/?uuid=259139d0-3b10-43e3-97d9-041d472bd4a9" ] } ], "mendeley" : { "previouslyFormattedCitation" : "[19]" }, "properties" : { "noteIndex" : 0 }, "schema" : "https://github.com/citation-style-language/schema/raw/master/csl-citation.json" }</w:instrText>
            </w:r>
            <w:r w:rsidRPr="00532F44">
              <w:fldChar w:fldCharType="separate"/>
            </w:r>
            <w:r w:rsidRPr="00B54241">
              <w:rPr>
                <w:noProof/>
              </w:rPr>
              <w:t>[19]</w:t>
            </w:r>
            <w:r w:rsidRPr="00532F44">
              <w:fldChar w:fldCharType="end"/>
            </w:r>
          </w:p>
        </w:tc>
      </w:tr>
      <w:tr w:rsidR="00EF4E89" w:rsidRPr="00532F44" w:rsidTr="00EF4E89">
        <w:trPr>
          <w:divId w:val="1548566716"/>
          <w:trHeight w:val="964"/>
        </w:trPr>
        <w:tc>
          <w:tcPr>
            <w:tcW w:w="1951" w:type="dxa"/>
            <w:vMerge/>
          </w:tcPr>
          <w:p w:rsidR="00EF4E89" w:rsidRPr="00532F44" w:rsidRDefault="00EF4E89" w:rsidP="00EF4E89">
            <w:pPr>
              <w:rPr>
                <w:b/>
              </w:rPr>
            </w:pPr>
          </w:p>
        </w:tc>
        <w:tc>
          <w:tcPr>
            <w:tcW w:w="3497" w:type="dxa"/>
          </w:tcPr>
          <w:p w:rsidR="00EF4E89" w:rsidRPr="00532F44" w:rsidRDefault="00EF4E89" w:rsidP="008C662C">
            <w:r w:rsidRPr="00532F44">
              <w:t>Sensitivity and Specificity of TTE in detecting ABN</w:t>
            </w:r>
          </w:p>
        </w:tc>
        <w:tc>
          <w:tcPr>
            <w:tcW w:w="4299" w:type="dxa"/>
          </w:tcPr>
          <w:p w:rsidR="00EF4E89" w:rsidRPr="00532F44" w:rsidRDefault="00EF4E89" w:rsidP="00EF4E89">
            <w:r w:rsidRPr="00532F44">
              <w:t xml:space="preserve">Jointly estimated from </w:t>
            </w:r>
            <w:proofErr w:type="spellStart"/>
            <w:r w:rsidRPr="00532F44">
              <w:t>Dirichlet</w:t>
            </w:r>
            <w:proofErr w:type="spellEnd"/>
            <w:r w:rsidRPr="00532F44">
              <w:t xml:space="preserve"> distribution </w:t>
            </w:r>
          </w:p>
          <w:p w:rsidR="00EF4E89" w:rsidRPr="00532F44" w:rsidRDefault="00EF4E89" w:rsidP="00EF4E89">
            <w:r w:rsidRPr="00532F44">
              <w:t xml:space="preserve">(FN, TP, TN, FP) = </w:t>
            </w:r>
          </w:p>
          <w:p w:rsidR="00EF4E89" w:rsidRPr="00532F44" w:rsidRDefault="00EF4E89" w:rsidP="00EF4E89">
            <w:r w:rsidRPr="00532F44">
              <w:t>(5, 87, 83, 159)</w:t>
            </w:r>
          </w:p>
        </w:tc>
        <w:tc>
          <w:tcPr>
            <w:tcW w:w="3969" w:type="dxa"/>
          </w:tcPr>
          <w:p w:rsidR="00EF4E89" w:rsidRPr="00532F44" w:rsidRDefault="00EF4E89" w:rsidP="00EF4E89">
            <w:r w:rsidRPr="00532F44">
              <w:t xml:space="preserve">Table 2 of  </w:t>
            </w:r>
            <w:proofErr w:type="spellStart"/>
            <w:r w:rsidRPr="00532F44">
              <w:t>Providencia</w:t>
            </w:r>
            <w:proofErr w:type="spellEnd"/>
            <w:r w:rsidRPr="00532F44">
              <w:t xml:space="preserve"> et al 2012 </w:t>
            </w:r>
            <w:r w:rsidRPr="00532F44">
              <w:fldChar w:fldCharType="begin" w:fldLock="1"/>
            </w:r>
            <w:r>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"dropping-particle" : "", "family" : "Providencia", "given" : "R", "non-dropping-particle" : "", "parse-names" : false, "suffix" : "" }, { "dropping-particle" : "", "family" : "Botelho", "given" : "A", "non-dropping-particle" : "", "parse-names" : false, "suffix" : "" }, { "dropping-particle" : "", "family" : "Trigo", "given" : "J", "non-dropping-particle" : "", "parse-names" : false, "suffix" : "" }, { "dropping-particle" : "", "family" : "Quintal", "given" : "N", "non-dropping-particle" : "", "parse-names" : false, "suffix" : "" }, { "dropping-particle" : "", "family" : "Nascimento", "given" : "J", "non-dropping-particle" : "", "parse-names" : false, "suffix" : "" }, { "dropping-particle" : "", "family" : "Mota", "given" : "P", "non-dropping-particle" : "", "parse-names" : false, "suffix" : "" }, { "dropping-particle" : "", "family" : "Leitao-Marques", "given" : "A", "non-dropping-particle" : "", "parse-names" : false, "suffix" : ""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"[6]" }, "properties" : { "noteIndex" : 0 }, "schema" : "https://github.com/citation-style-language/schema/raw/master/csl-citation.json" }</w:instrText>
            </w:r>
            <w:r w:rsidRPr="00532F44">
              <w:fldChar w:fldCharType="separate"/>
            </w:r>
            <w:r w:rsidRPr="00DF52E6">
              <w:rPr>
                <w:noProof/>
              </w:rPr>
              <w:t>[6]</w:t>
            </w:r>
            <w:r w:rsidRPr="00532F44">
              <w:fldChar w:fldCharType="end"/>
            </w:r>
          </w:p>
        </w:tc>
      </w:tr>
      <w:tr w:rsidR="00EF4E89" w:rsidRPr="00532F44" w:rsidTr="00EF4E89">
        <w:trPr>
          <w:divId w:val="1548566716"/>
          <w:trHeight w:val="1073"/>
        </w:trPr>
        <w:tc>
          <w:tcPr>
            <w:tcW w:w="1951" w:type="dxa"/>
            <w:vMerge/>
          </w:tcPr>
          <w:p w:rsidR="00EF4E89" w:rsidRPr="00532F44" w:rsidRDefault="00EF4E89" w:rsidP="00EF4E89">
            <w:pPr>
              <w:rPr>
                <w:b/>
              </w:rPr>
            </w:pPr>
          </w:p>
        </w:tc>
        <w:tc>
          <w:tcPr>
            <w:tcW w:w="3497" w:type="dxa"/>
          </w:tcPr>
          <w:p w:rsidR="00EF4E89" w:rsidRPr="00532F44" w:rsidRDefault="00EF4E89" w:rsidP="008C662C">
            <w:r w:rsidRPr="00532F44">
              <w:t>Proportion of patients with ABN</w:t>
            </w:r>
          </w:p>
        </w:tc>
        <w:tc>
          <w:tcPr>
            <w:tcW w:w="4299" w:type="dxa"/>
          </w:tcPr>
          <w:p w:rsidR="00EF4E89" w:rsidRPr="00532F44" w:rsidRDefault="00EF4E89" w:rsidP="00EF4E89">
            <w:r w:rsidRPr="00532F44">
              <w:t>Beta(2.5, 22.5) for CHADS</w:t>
            </w:r>
            <w:r w:rsidRPr="00532F44">
              <w:rPr>
                <w:vertAlign w:val="subscript"/>
              </w:rPr>
              <w:t>2</w:t>
            </w:r>
          </w:p>
          <w:p w:rsidR="00EF4E89" w:rsidRPr="00532F44" w:rsidRDefault="00EF4E89" w:rsidP="00EF4E89">
            <w:pPr>
              <w:jc w:val="left"/>
            </w:pPr>
            <w:r w:rsidRPr="00532F44">
              <w:t>Beta(0.5, 11.5) for CHA</w:t>
            </w:r>
            <w:r w:rsidRPr="00532F44">
              <w:rPr>
                <w:vertAlign w:val="subscript"/>
              </w:rPr>
              <w:t>2</w:t>
            </w:r>
            <w:r w:rsidRPr="00532F44">
              <w:t>DS</w:t>
            </w:r>
            <w:r w:rsidRPr="00532F44">
              <w:rPr>
                <w:vertAlign w:val="subscript"/>
              </w:rPr>
              <w:t>2</w:t>
            </w:r>
            <w:r w:rsidRPr="00532F44">
              <w:t xml:space="preserve">-VASc </w:t>
            </w:r>
          </w:p>
          <w:p w:rsidR="00EF4E89" w:rsidRPr="00532F44" w:rsidRDefault="00EF4E89" w:rsidP="00EF4E89">
            <w:pPr>
              <w:jc w:val="left"/>
            </w:pPr>
            <w:r w:rsidRPr="00532F44">
              <w:t>(Both with prior of 0.5 added to both cell counts.)</w:t>
            </w:r>
          </w:p>
        </w:tc>
        <w:tc>
          <w:tcPr>
            <w:tcW w:w="3969" w:type="dxa"/>
          </w:tcPr>
          <w:p w:rsidR="00EF4E89" w:rsidRPr="00532F44" w:rsidRDefault="00EF4E89" w:rsidP="00EF4E89">
            <w:r w:rsidRPr="00532F44">
              <w:t xml:space="preserve">Table 2 of </w:t>
            </w:r>
            <w:proofErr w:type="spellStart"/>
            <w:r w:rsidRPr="00532F44">
              <w:t>Providencia</w:t>
            </w:r>
            <w:proofErr w:type="spellEnd"/>
            <w:r w:rsidRPr="00532F44">
              <w:t xml:space="preserve"> et al 2012 </w:t>
            </w:r>
            <w:r w:rsidRPr="00532F44">
              <w:fldChar w:fldCharType="begin" w:fldLock="1"/>
            </w:r>
            <w:r>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"dropping-particle" : "", "family" : "Providencia", "given" : "R", "non-dropping-particle" : "", "parse-names" : false, "suffix" : "" }, { "dropping-particle" : "", "family" : "Botelho", "given" : "A", "non-dropping-particle" : "", "parse-names" : false, "suffix" : "" }, { "dropping-particle" : "", "family" : "Trigo", "given" : "J", "non-dropping-particle" : "", "parse-names" : false, "suffix" : "" }, { "dropping-particle" : "", "family" : "Quintal", "given" : "N", "non-dropping-particle" : "", "parse-names" : false, "suffix" : "" }, { "dropping-particle" : "", "family" : "Nascimento", "given" : "J", "non-dropping-particle" : "", "parse-names" : false, "suffix" : "" }, { "dropping-particle" : "", "family" : "Mota", "given" : "P", "non-dropping-particle" : "", "parse-names" : false, "suffix" : "" }, { "dropping-particle" : "", "family" : "Leitao-Marques", "given" : "A", "non-dropping-particle" : "", "parse-names" : false, "suffix" : ""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"[6]" }, "properties" : { "noteIndex" : 0 }, "schema" : "https://github.com/citation-style-language/schema/raw/master/csl-citation.json" }</w:instrText>
            </w:r>
            <w:r w:rsidRPr="00532F44">
              <w:fldChar w:fldCharType="separate"/>
            </w:r>
            <w:r w:rsidRPr="00DF52E6">
              <w:rPr>
                <w:noProof/>
              </w:rPr>
              <w:t>[6]</w:t>
            </w:r>
            <w:r w:rsidRPr="00532F44">
              <w:fldChar w:fldCharType="end"/>
            </w:r>
          </w:p>
        </w:tc>
      </w:tr>
      <w:tr w:rsidR="00EF4E89" w:rsidRPr="00532F44" w:rsidTr="00EF4E89">
        <w:trPr>
          <w:divId w:val="1548566716"/>
          <w:trHeight w:val="253"/>
        </w:trPr>
        <w:tc>
          <w:tcPr>
            <w:tcW w:w="1951" w:type="dxa"/>
            <w:vMerge/>
          </w:tcPr>
          <w:p w:rsidR="00EF4E89" w:rsidRPr="00532F44" w:rsidRDefault="00EF4E89" w:rsidP="00EF4E89">
            <w:pPr>
              <w:rPr>
                <w:b/>
              </w:rPr>
            </w:pPr>
          </w:p>
        </w:tc>
        <w:tc>
          <w:tcPr>
            <w:tcW w:w="3497" w:type="dxa"/>
          </w:tcPr>
          <w:p w:rsidR="00EF4E89" w:rsidRPr="00532F44" w:rsidRDefault="00EF4E89" w:rsidP="00EF4E89">
            <w:r w:rsidRPr="00532F44">
              <w:t>Annual stroke risk by CHADS</w:t>
            </w:r>
            <w:r w:rsidRPr="00532F44">
              <w:rPr>
                <w:vertAlign w:val="subscript"/>
              </w:rPr>
              <w:t>2</w:t>
            </w:r>
            <w:r w:rsidRPr="00532F44">
              <w:t xml:space="preserve"> score</w:t>
            </w:r>
          </w:p>
        </w:tc>
        <w:tc>
          <w:tcPr>
            <w:tcW w:w="4299" w:type="dxa"/>
          </w:tcPr>
          <w:p w:rsidR="00EF4E89" w:rsidRDefault="00EF4E89" w:rsidP="00EF4E89">
            <w:pPr>
              <w:jc w:val="left"/>
            </w:pPr>
            <w:r>
              <w:t>Annual risks (95% Credible intervals) by CHADS</w:t>
            </w:r>
            <w:r w:rsidRPr="00CD6936">
              <w:rPr>
                <w:vertAlign w:val="subscript"/>
              </w:rPr>
              <w:t>2</w:t>
            </w:r>
            <w:r>
              <w:t xml:space="preserve"> were reported as follows: </w:t>
            </w:r>
          </w:p>
          <w:p w:rsidR="00EF4E89" w:rsidRDefault="00EF4E89" w:rsidP="00EF4E89">
            <w:pPr>
              <w:jc w:val="left"/>
            </w:pPr>
            <w:r>
              <w:t>0.6% (0.5% to 0.7%) for CHADS</w:t>
            </w:r>
            <w:r w:rsidRPr="00CD6936">
              <w:rPr>
                <w:vertAlign w:val="subscript"/>
              </w:rPr>
              <w:t>2</w:t>
            </w:r>
            <w:r>
              <w:t>=0</w:t>
            </w:r>
          </w:p>
          <w:p w:rsidR="00EF4E89" w:rsidRDefault="00EF4E89" w:rsidP="00EF4E89">
            <w:pPr>
              <w:jc w:val="left"/>
            </w:pPr>
            <w:r>
              <w:t>3.0% (2.9% to 3.2%) for CHADS</w:t>
            </w:r>
            <w:r w:rsidRPr="00CD6936">
              <w:rPr>
                <w:vertAlign w:val="subscript"/>
              </w:rPr>
              <w:t>2</w:t>
            </w:r>
            <w:r>
              <w:t>=1</w:t>
            </w:r>
          </w:p>
          <w:p w:rsidR="00EF4E89" w:rsidRDefault="00EF4E89" w:rsidP="00EF4E89">
            <w:pPr>
              <w:jc w:val="left"/>
            </w:pPr>
            <w:r>
              <w:t>4.2% (4.0% to 4.4%) for CHADS</w:t>
            </w:r>
            <w:r w:rsidRPr="00CD6936">
              <w:rPr>
                <w:vertAlign w:val="subscript"/>
              </w:rPr>
              <w:t>2</w:t>
            </w:r>
            <w:r>
              <w:t>=2</w:t>
            </w:r>
          </w:p>
          <w:p w:rsidR="00EF4E89" w:rsidRDefault="00EF4E89" w:rsidP="00EF4E89">
            <w:pPr>
              <w:jc w:val="left"/>
            </w:pPr>
            <w:r>
              <w:t>7.1% (6.7% to 7.5%) for CHADS</w:t>
            </w:r>
            <w:r w:rsidRPr="00CD6936">
              <w:rPr>
                <w:vertAlign w:val="subscript"/>
              </w:rPr>
              <w:t>2</w:t>
            </w:r>
            <w:r>
              <w:t>=3</w:t>
            </w:r>
          </w:p>
          <w:p w:rsidR="00EF4E89" w:rsidRPr="00532F44" w:rsidRDefault="00EF4E89" w:rsidP="00EF4E89">
            <w:pPr>
              <w:jc w:val="left"/>
            </w:pPr>
            <w:r>
              <w:t>11.1% (10.4% to 11.8%) for CHADS</w:t>
            </w:r>
            <w:r w:rsidRPr="00CD6936">
              <w:rPr>
                <w:vertAlign w:val="subscript"/>
              </w:rPr>
              <w:t>2</w:t>
            </w:r>
            <w:r>
              <w:t>=4</w:t>
            </w:r>
          </w:p>
        </w:tc>
        <w:tc>
          <w:tcPr>
            <w:tcW w:w="3969" w:type="dxa"/>
          </w:tcPr>
          <w:p w:rsidR="00EF4E89" w:rsidRPr="00532F44" w:rsidRDefault="00EF4E89" w:rsidP="00EF4E89">
            <w:proofErr w:type="spellStart"/>
            <w:r w:rsidRPr="00532F44">
              <w:t>Friberg</w:t>
            </w:r>
            <w:proofErr w:type="spellEnd"/>
            <w:r w:rsidRPr="00532F44">
              <w:t xml:space="preserve"> 2012</w:t>
            </w:r>
            <w:r w:rsidRPr="00532F44">
              <w:fldChar w:fldCharType="begin" w:fldLock="1"/>
            </w:r>
            <w:r>
              <w:instrText>ADDIN CSL_CITATION { "citationItems" : [ { "id" : "ITEM-1", "itemData" : { "DOI" : "10.1093/eurheartj/ehr488", "abstract" : "AimsThe impact of some risk factors for stroke and bleeding, and the value of stroke and bleeding risk scores, in atrial fibrillation (AF), has been debated, as clinical trial cohorts have not adequately tested these. Our objective was to investigate risk factors for stroke and bleeding in AF, and application of the new CHA(2)DS(2)-VASc and HAS-BLED schemes for stroke and bleeding risk assessments, respectively.Methods and resultsWe used the Swedish Atrial Fibrillation cohort study, a nationwide cohort study of 182 678 subjects with a diagnosis of AF at any Swedish hospital between 1 July 2005 and 31 December 2008, who were prospectively followed for an average of 1.5 years (260 000 years at risk). With the use of the National Swedish Drug Registry, all patients who used an oral anticoagulant anytime during follow-up were identified. Most of the analyses were made on a subset of 90 490 patients who never used anticoagulants. Risk factors for stroke, the composite thromboembolism endpoint (stroke, TIA, or systemic embolism), and bleeding, and the performance of published stroke and bleeding risk stratification schemes were investigated. On multivariable analysis, significant associations were found between the following 'new' risk factors and thromboembolic events; peripheral artery disease [hazard ratio (HR) 1.22 (95% CI 1.12-1.32)], 'vascular disease' [HR 1.14 (1.06-1.23)], prior myocardial infarction [HR 1.09 (1.03-1.15)], and female gender [HR 1.17 (1.11-1.22)]. Previous embolic events, intracranial haemorrhage (ICH), hypertension, diabetes, and renal failure were other independent predictors of the composite thromboembolism endpoint, while thyroid disease (or hyperthyroidism) was not an independent stroke risk factor. C-statistics for the composite thromboembolic endpoint with the CHADS(2) and CHA(2)DS(2)-VASc schemes were 0.66 (0.65-0.66) and 0.67 (0.67-0.68), respectively. On multivariable analysis, age, prior ischaemic stroke or thromboembolism, prior major bleeding events, and hypertension were significant predictors of ICH and major bleeding. Heart failure, diabetes, renal failure, liver disease, anaemia or platelet/coagulation defect, alcohol abuse, and cancer were other significant predictors for major bleeding, but not ICH. The ability for predicting ICH and major bleeding with both bleeding risk schemes (HEMORR(2)HAGES, HAS-BLED) were similar, with c-statistics of \u223c0.6.ConclusionSeveral independent risk factors (prior ICH, myocardial infarc\u2026", "author" : [ { "dropping-particle" : "", "family" : "Friberg", "given" : "Leif", "non-dropping-particle" : "", "parse-names" : false, "suffix" : "" }, { "dropping-particle" : "", "family" : "Rosenqvist", "given" : "M\u00e5rten", "non-dropping-particle" : "", "parse-names" : false, "suffix" : "" }, { "dropping-particle" : "", "family" : "Lip", "given" : "Gregory Y H", "non-dropping-particle" : "", "parse-names" : false, "suffix" : "" } ], "container-title" : "European heart journal", "id" : "ITEM-1", "issued" : { "date-parts" : [ [ "2012", "1", "13" ] ] }, "title" : "Evaluation of risk stratification schemes for ischaemic stroke and bleeding in 182 678 patients with atrial fibrillation: the Swedish Atrial Fibrillation cohort study.", "type" : "article-journal" }, "uris" : [ "http://www.mendeley.com/documents/?uuid=b760e15a-6020-47dc-be51-b4e110be21f8" ] } ], "mendeley" : { "previouslyFormattedCitation" : "[21]" }, "properties" : { "noteIndex" : 0 }, "schema" : "https://github.com/citation-style-language/schema/raw/master/csl-citation.json" }</w:instrText>
            </w:r>
            <w:r w:rsidRPr="00532F44">
              <w:fldChar w:fldCharType="separate"/>
            </w:r>
            <w:r w:rsidRPr="00B54241">
              <w:rPr>
                <w:noProof/>
              </w:rPr>
              <w:t>[21]</w:t>
            </w:r>
            <w:r w:rsidRPr="00532F44">
              <w:fldChar w:fldCharType="end"/>
            </w:r>
          </w:p>
        </w:tc>
      </w:tr>
      <w:tr w:rsidR="00EF4E89" w:rsidRPr="00532F44" w:rsidTr="00EF4E89">
        <w:trPr>
          <w:divId w:val="1548566716"/>
          <w:trHeight w:val="287"/>
        </w:trPr>
        <w:tc>
          <w:tcPr>
            <w:tcW w:w="1951" w:type="dxa"/>
            <w:vMerge/>
          </w:tcPr>
          <w:p w:rsidR="00EF4E89" w:rsidRPr="00532F44" w:rsidRDefault="00EF4E89" w:rsidP="00EF4E89">
            <w:pPr>
              <w:rPr>
                <w:b/>
              </w:rPr>
            </w:pPr>
          </w:p>
        </w:tc>
        <w:tc>
          <w:tcPr>
            <w:tcW w:w="3497" w:type="dxa"/>
          </w:tcPr>
          <w:p w:rsidR="00EF4E89" w:rsidRPr="00532F44" w:rsidRDefault="00EF4E89" w:rsidP="008C662C">
            <w:r w:rsidRPr="00532F44">
              <w:t xml:space="preserve">Annual stroke risk in those with ABN </w:t>
            </w:r>
          </w:p>
        </w:tc>
        <w:tc>
          <w:tcPr>
            <w:tcW w:w="4299" w:type="dxa"/>
          </w:tcPr>
          <w:p w:rsidR="00EF4E89" w:rsidRPr="00532F44" w:rsidRDefault="00EF4E89" w:rsidP="008C662C">
            <w:pPr>
              <w:jc w:val="left"/>
            </w:pPr>
            <w:r>
              <w:t xml:space="preserve">In the initial study four out of 50 patients with identified ABN had a stroke. This was used to produce a mean stroke rate of 8.0% and bootstrapped 95% </w:t>
            </w:r>
            <w:proofErr w:type="spellStart"/>
            <w:r>
              <w:t>CrIs</w:t>
            </w:r>
            <w:proofErr w:type="spellEnd"/>
            <w:r>
              <w:t xml:space="preserve"> of 7.2% to 8.2%</w:t>
            </w:r>
          </w:p>
        </w:tc>
        <w:tc>
          <w:tcPr>
            <w:tcW w:w="3969" w:type="dxa"/>
          </w:tcPr>
          <w:p w:rsidR="00EF4E89" w:rsidRPr="00532F44" w:rsidRDefault="00EF4E89" w:rsidP="00EF4E89">
            <w:r>
              <w:t>Stroke Prevention 1988</w:t>
            </w:r>
            <w:r w:rsidRPr="00532F44">
              <w:t xml:space="preserve"> </w:t>
            </w:r>
            <w:r w:rsidRPr="00532F44">
              <w:fldChar w:fldCharType="begin" w:fldLock="1"/>
            </w:r>
            <w:r>
              <w:instrText>ADDIN CSL_CITATION { "citationItems" : [ { "id" : "ITEM-1", "itemData" : { "ISBN" : "0003-4819 (Print)\n0003-4819 (Linking)", "abstract" : "BACKGROUND: Transesophageal echocardiography (TEE) visualizes potential sources of embolism in patients with atrial fibrillation, but the clinical significance of TEE findings has not been prospectively established. OBJECTIVE: To define TEE predictors of stroke in patients with atrial fibrillation and to examine response to antithrombotic therapy. DESIGN: Prospective correlation of TEE findings at study entry with subsequent ischemic stroke during 1.1-year mean follow-up of participants in a randomized trial. SETTING: 18 echocardiography laboratories. PATIENTS: 382 patients with atrial fibrillation at high risk for thromboembolism. INTERVENTION: Adjusted-dose warfarin (international normalized ratio, 2 to 3) or low-intensity warfarin (international normalized ratio, 1.2 to 1.5) plus aspirin (325 mg/d). MEASUREMENTS: Size of left atrium and left atrial appendage, flow velocity, spontaneous echocardiographic contrast, thrombus, and plaque on the aortic arch. RESULTS: 23 ischemic strokes occurred. In patients with dense spontaneous echocardiographic contrast (20%), the rate of stroke was 18.2% per year with combination therapy (2.9 times the rate in patients without this finding; P = 0.06) and 4.5% per year with adjusted-dose warfarin (P = 0.09 for rate reduction). Appendage thrombus, detected in 10% of patients, was associated with dense spontaneous echocardiographic contrast (P &lt; 0.001), was seen more frequently after 2 weeks of combination therapy (15%) than after 2 weeks of adjusted-dose warfarin (4%) (P = 0.004), and tripled the overall rate of stroke (P = 0.04). Patients with complex aortic plaque (35%) had a fourfold increased rate of stroke compared with plaque-free patients (P = 0.005); adjusted-dose warfarin decreased risk by 75% (P = 0.02). Dense spontaneous echocardiographic contrast and complex aortic plaque were independent of each other as predictors of thromboembolism. CONCLUSIONS: In high-risk patients with atrial fibrillation, subsequent rates of thromboembolism are correlated with dense spontaneous echocardiographic contrast, thrombus of the atrial appendage, and aortic plaque. Adjusted-dose warfarin reduces the rate of stroke among patients with dense contrast and complex plaque. In patients with atrial fibrillation, the pathogenesis of stroke is multifactorial, and warfarin seems effective for the diverse mechanisms.", "container-title" : "Ann Intern Med", "edition" : "1998/12/16", "id" : "ITEM-1", "issue" : "8", "issued" : { "date-parts" : [ [ "1998" ] ] }, "note" : "R01-NS-24224/NS/NINDS NIH HHS/United States\nR01-NS-33351/NS/NINDS NIH HHS/United States\nClinical Trial\nRandomized Controlled Trial\nResearch Support, U.S. Gov't, P.H.S.\nUnited states\nAnnals of internal medicine\nAnn Intern Med. 1998 Apr 15;128(8):639-47.", "page" : "639-647", "title" : "Transesophageal echocardiographic correlates of thromboembolism in high-risk patients with nonvalvular atrial fibrillation. The Stroke Prevention in Atrial Fibrillation Investigators Committee on Echocardiography", "type" : "article-journal", "volume" : "128" }, "uris" : [ "http://www.mendeley.com/documents/?uuid=968b0944-cf4e-4f23-91e7-760351b2bc71" ] } ], "mendeley" : { "previouslyFormattedCitation" : "[5]" }, "properties" : { "noteIndex" : 0 }, "schema" : "https://github.com/citation-style-language/schema/raw/master/csl-citation.json" }</w:instrText>
            </w:r>
            <w:r w:rsidRPr="00532F44">
              <w:fldChar w:fldCharType="separate"/>
            </w:r>
            <w:r w:rsidRPr="00DF52E6">
              <w:rPr>
                <w:noProof/>
              </w:rPr>
              <w:t>[5]</w:t>
            </w:r>
            <w:r w:rsidRPr="00532F44">
              <w:fldChar w:fldCharType="end"/>
            </w:r>
          </w:p>
        </w:tc>
      </w:tr>
      <w:tr w:rsidR="00EF4E89" w:rsidRPr="00532F44" w:rsidTr="00EF4E89">
        <w:trPr>
          <w:divId w:val="1548566716"/>
          <w:trHeight w:val="1317"/>
        </w:trPr>
        <w:tc>
          <w:tcPr>
            <w:tcW w:w="1951" w:type="dxa"/>
            <w:vMerge/>
          </w:tcPr>
          <w:p w:rsidR="00EF4E89" w:rsidRPr="00532F44" w:rsidRDefault="00EF4E89" w:rsidP="00EF4E89">
            <w:pPr>
              <w:rPr>
                <w:b/>
              </w:rPr>
            </w:pPr>
          </w:p>
        </w:tc>
        <w:tc>
          <w:tcPr>
            <w:tcW w:w="3497" w:type="dxa"/>
          </w:tcPr>
          <w:p w:rsidR="00EF4E89" w:rsidRPr="00532F44" w:rsidRDefault="00EF4E89" w:rsidP="00EF4E89">
            <w:r w:rsidRPr="00532F44">
              <w:t xml:space="preserve">Relative risk (RR) of stroke in patients receiving </w:t>
            </w:r>
            <w:proofErr w:type="spellStart"/>
            <w:r w:rsidRPr="00532F44">
              <w:t>dabigatran</w:t>
            </w:r>
            <w:proofErr w:type="spellEnd"/>
            <w:r>
              <w:t>.</w:t>
            </w:r>
          </w:p>
        </w:tc>
        <w:tc>
          <w:tcPr>
            <w:tcW w:w="4299" w:type="dxa"/>
          </w:tcPr>
          <w:p w:rsidR="00EF4E89" w:rsidRDefault="00EF4E89" w:rsidP="00EF4E89">
            <w:pPr>
              <w:jc w:val="left"/>
              <w:rPr>
                <w:lang w:val="en-GB"/>
              </w:rPr>
            </w:pPr>
            <w:r w:rsidRPr="00532F44">
              <w:t xml:space="preserve">Indirect comparison simulation </w:t>
            </w:r>
            <w:r w:rsidRPr="003A1166">
              <w:t>approach</w:t>
            </w:r>
            <w:r>
              <w:t>.</w:t>
            </w:r>
            <w:r w:rsidRPr="003A1166">
              <w:rPr>
                <w:rFonts w:ascii="Times New Roman" w:eastAsia="Times New Roman" w:hAnsi="Times New Roman"/>
                <w:sz w:val="22"/>
                <w:szCs w:val="22"/>
                <w:lang w:val="en-GB" w:eastAsia="en-GB"/>
              </w:rPr>
              <w:t xml:space="preserve"> </w:t>
            </w:r>
            <w:r>
              <w:rPr>
                <w:lang w:val="en-GB"/>
              </w:rPr>
              <w:t xml:space="preserve">One thousand </w:t>
            </w:r>
            <w:r w:rsidRPr="003A1166">
              <w:rPr>
                <w:lang w:val="en-GB"/>
              </w:rPr>
              <w:t xml:space="preserve">simulated values </w:t>
            </w:r>
            <w:r>
              <w:rPr>
                <w:lang w:val="en-GB"/>
              </w:rPr>
              <w:t xml:space="preserve">from a lognormal distribution representing the RR of warfarin compared with placebo were multiplied by 1000 simulated values from a lognormal distribution comparing </w:t>
            </w:r>
            <w:proofErr w:type="spellStart"/>
            <w:r>
              <w:rPr>
                <w:lang w:val="en-GB"/>
              </w:rPr>
              <w:t>dabigatran</w:t>
            </w:r>
            <w:proofErr w:type="spellEnd"/>
            <w:r>
              <w:rPr>
                <w:lang w:val="en-GB"/>
              </w:rPr>
              <w:t xml:space="preserve"> with warfarin, to produce 1000 estimates of the RR of </w:t>
            </w:r>
            <w:proofErr w:type="spellStart"/>
            <w:r>
              <w:rPr>
                <w:lang w:val="en-GB"/>
              </w:rPr>
              <w:t>dabigatran</w:t>
            </w:r>
            <w:proofErr w:type="spellEnd"/>
            <w:r>
              <w:rPr>
                <w:lang w:val="en-GB"/>
              </w:rPr>
              <w:t xml:space="preserve"> compared with placebo. Mean RRs and 95% CIs/</w:t>
            </w:r>
            <w:proofErr w:type="spellStart"/>
            <w:r>
              <w:rPr>
                <w:lang w:val="en-GB"/>
              </w:rPr>
              <w:t>CrIs</w:t>
            </w:r>
            <w:proofErr w:type="spellEnd"/>
            <w:r>
              <w:rPr>
                <w:lang w:val="en-GB"/>
              </w:rPr>
              <w:t xml:space="preserve"> are shown below: </w:t>
            </w:r>
          </w:p>
          <w:p w:rsidR="00EF4E89" w:rsidRDefault="00EF4E89" w:rsidP="00EF4E89">
            <w:pPr>
              <w:jc w:val="left"/>
              <w:rPr>
                <w:lang w:val="en-GB"/>
              </w:rPr>
            </w:pPr>
            <w:r>
              <w:rPr>
                <w:lang w:val="en-GB"/>
              </w:rPr>
              <w:t>Reported RR warfarin vs. placebo: 0.33 (0.24 to 0.45)</w:t>
            </w:r>
          </w:p>
          <w:p w:rsidR="00EF4E89" w:rsidRDefault="00EF4E89" w:rsidP="00EF4E89">
            <w:pPr>
              <w:jc w:val="left"/>
              <w:rPr>
                <w:lang w:val="en-GB"/>
              </w:rPr>
            </w:pPr>
            <w:r>
              <w:rPr>
                <w:lang w:val="en-GB"/>
              </w:rPr>
              <w:t xml:space="preserve">Reported RR </w:t>
            </w:r>
            <w:proofErr w:type="spellStart"/>
            <w:r>
              <w:rPr>
                <w:lang w:val="en-GB"/>
              </w:rPr>
              <w:t>dabigatran</w:t>
            </w:r>
            <w:proofErr w:type="spellEnd"/>
            <w:r>
              <w:rPr>
                <w:lang w:val="en-GB"/>
              </w:rPr>
              <w:t xml:space="preserve"> vs. warfarin: 0.66 (0.53 to 0.82)</w:t>
            </w:r>
          </w:p>
          <w:p w:rsidR="00EF4E89" w:rsidRPr="004C3BA6" w:rsidRDefault="00EF4E89" w:rsidP="00EF4E89">
            <w:pPr>
              <w:jc w:val="left"/>
              <w:rPr>
                <w:lang w:val="en-GB"/>
              </w:rPr>
            </w:pPr>
            <w:r>
              <w:rPr>
                <w:lang w:val="en-GB"/>
              </w:rPr>
              <w:t xml:space="preserve">Derived RR </w:t>
            </w:r>
            <w:proofErr w:type="spellStart"/>
            <w:r>
              <w:rPr>
                <w:lang w:val="en-GB"/>
              </w:rPr>
              <w:t>dabigatran</w:t>
            </w:r>
            <w:proofErr w:type="spellEnd"/>
            <w:r>
              <w:rPr>
                <w:lang w:val="en-GB"/>
              </w:rPr>
              <w:t xml:space="preserve"> vs. placebo: 0.22 (0.15 to 0.32)</w:t>
            </w:r>
          </w:p>
        </w:tc>
        <w:tc>
          <w:tcPr>
            <w:tcW w:w="3969" w:type="dxa"/>
          </w:tcPr>
          <w:p w:rsidR="00EF4E89" w:rsidRPr="00532F44" w:rsidRDefault="00EF4E89" w:rsidP="00EF4E89">
            <w:r w:rsidRPr="00532F44">
              <w:t xml:space="preserve">Lip et al 2006 for RR of warfarin compared with placebo </w:t>
            </w:r>
            <w:r w:rsidRPr="00532F44">
              <w:fldChar w:fldCharType="begin" w:fldLock="1"/>
            </w:r>
            <w:r>
              <w:instrText>ADDIN CSL_CITATION { "citationItems" : [ { "id" : "ITEM-1", "itemData" : { "DOI" : "10.1016/j.thromres.2005.08.007", "abstract" : "To compare the effectiveness of aspirin, warfarin, and ximelagatran as thromboprophylaxis in patients with non-valvular atrial fibrillation (NVAF).", "author" : [ { "dropping-particle" : "", "family" : "Lip", "given" : "Gregory Y H", "non-dropping-particle" : "", "parse-names" : false, "suffix" : "" }, { "dropping-particle" : "", "family" : "Edwards", "given" : "Steven J", "non-dropping-particle" : "", "parse-names" : false, "suffix" : "" } ], "container-title" : "Thrombosis research", "id" : "ITEM-1", "issue" : "3", "issued" : { "date-parts" : [ [ "2006", "1" ] ] }, "page" : "321-33", "title" : "Stroke prevention with aspirin, warfarin and ximelagatran in patients with non-valvular atrial fibrillation: a systematic review and meta-analysis.", "type" : "article-journal", "volume" : "118" }, "uris" : [ "http://www.mendeley.com/documents/?uuid=44a35ec8-9a44-4e09-b53d-e00b8d8fd08e" ] } ], "mendeley" : { "previouslyFormattedCitation" : "[22]" }, "properties" : { "noteIndex" : 0 }, "schema" : "https://github.com/citation-style-language/schema/raw/master/csl-citation.json" }</w:instrText>
            </w:r>
            <w:r w:rsidRPr="00532F44">
              <w:fldChar w:fldCharType="separate"/>
            </w:r>
            <w:r w:rsidRPr="00B54241">
              <w:rPr>
                <w:noProof/>
              </w:rPr>
              <w:t>[22]</w:t>
            </w:r>
            <w:r w:rsidRPr="00532F44">
              <w:fldChar w:fldCharType="end"/>
            </w:r>
          </w:p>
          <w:p w:rsidR="00EF4E89" w:rsidRPr="00532F44" w:rsidRDefault="00EF4E89" w:rsidP="00EF4E89">
            <w:proofErr w:type="spellStart"/>
            <w:r w:rsidRPr="00532F44">
              <w:t>Eikelboom</w:t>
            </w:r>
            <w:proofErr w:type="spellEnd"/>
            <w:r w:rsidRPr="00532F44">
              <w:t xml:space="preserve"> et al 2011 for RR of </w:t>
            </w:r>
            <w:proofErr w:type="spellStart"/>
            <w:r w:rsidRPr="00532F44">
              <w:t>dabigatran</w:t>
            </w:r>
            <w:proofErr w:type="spellEnd"/>
            <w:r w:rsidRPr="00532F44">
              <w:t xml:space="preserve"> compared with warfarin</w:t>
            </w:r>
            <w:r w:rsidRPr="00532F44">
              <w:fldChar w:fldCharType="begin" w:fldLock="1"/>
            </w:r>
            <w:r>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"dropping-particle" : "", "family" : "Eikelboom", "given" : "J W", "non-dropping-particle" : "", "parse-names" : false, "suffix" : "" }, { "dropping-particle" : "", "family" : "Wallentin", "given" : "L", "non-dropping-particle" : "", "parse-names" : false, "suffix" : "" }, { "dropping-particle" : "", "family" : "Connolly", "given" : "S J", "non-dropping-particle" : "", "parse-names" : false, "suffix" : "" }, { "dropping-particle" : "", "family" : "Ezekowitz", "given" : "M", "non-dropping-particle" : "", "parse-names" : false, "suffix" : "" }, { "dropping-particle" : "", "family" : "Healey", "given" : "J S", "non-dropping-particle" : "", "parse-names" : false, "suffix" : "" }, { "dropping-particle" : "", "family" : "Oldgren", "given" : "J", "non-dropping-particle" : "", "parse-names" : false, "suffix" : "" }, { "dropping-particle" : "", "family" : "Yang", "given" : "S", "non-dropping-particle" : "", "parse-names" : false, "suffix" : "" }, { "dropping-particle" : "", "family" : "Alings", "given" : "M", "non-dropping-particle" : "", "parse-names" : false, "suffix" : "" }, { "dropping-particle" : "", "family" : "Kaatz", "given" : "S", "non-dropping-particle" : "", "parse-names" : false, "suffix" : "" }, { "dropping-particle" : "", "family" : "Hohnloser", "given" : "S H", "non-dropping-particle" : "", "parse-names" : false, "suffix" : "" }, { "dropping-particle" : "", "family" : "Diener", "given" : "H C", "non-dropping-particle" : "", "parse-names" : false, "suffix" : "" }, { "dropping-particle" : "", "family" : "Franzosi", "given" : "M G", "non-dropping-particle" : "", "parse-names" : false, "suffix" : "" }, { "dropping-particle" : "", "family" : "Huber", "given" : "K", "non-dropping-particle" : "", "parse-names" : false, "suffix" : "" }, { "dropping-particle" : "", "family" : "Reilly", "given" : "P", "non-dropping-particle" : "", "parse-names" : false, "suffix" : "" }, { "dropping-particle" : "", "family" : "Varrone", "given" : "J", "non-dropping-particle" : "", "parse-names" : false, "suffix" : "" }, { "dropping-particle" : "", "family" : "Yusuf", "given" : "S", "non-dropping-particle" : "", "parse-names" : false, "suffix" : ""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"[15]" }, "properties" : { "noteIndex" : 0 }, "schema" : "https://github.com/citation-style-language/schema/raw/master/csl-citation.json" }</w:instrText>
            </w:r>
            <w:r w:rsidRPr="00532F44">
              <w:fldChar w:fldCharType="separate"/>
            </w:r>
            <w:r w:rsidRPr="00B54241">
              <w:rPr>
                <w:noProof/>
              </w:rPr>
              <w:t>[15]</w:t>
            </w:r>
            <w:r w:rsidRPr="00532F44">
              <w:fldChar w:fldCharType="end"/>
            </w:r>
          </w:p>
        </w:tc>
      </w:tr>
      <w:tr w:rsidR="00EF4E89" w:rsidRPr="00532F44" w:rsidTr="00EF4E89">
        <w:trPr>
          <w:divId w:val="1548566716"/>
          <w:trHeight w:val="710"/>
        </w:trPr>
        <w:tc>
          <w:tcPr>
            <w:tcW w:w="1951" w:type="dxa"/>
            <w:vMerge/>
          </w:tcPr>
          <w:p w:rsidR="00EF4E89" w:rsidRPr="00532F44" w:rsidRDefault="00EF4E89" w:rsidP="00EF4E89">
            <w:pPr>
              <w:rPr>
                <w:b/>
              </w:rPr>
            </w:pPr>
          </w:p>
        </w:tc>
        <w:tc>
          <w:tcPr>
            <w:tcW w:w="3497" w:type="dxa"/>
          </w:tcPr>
          <w:p w:rsidR="00EF4E89" w:rsidRPr="00532F44" w:rsidRDefault="00EF4E89" w:rsidP="00EF4E89">
            <w:r w:rsidRPr="00532F44">
              <w:t xml:space="preserve">Annual major bleeding risk for patients receiving </w:t>
            </w:r>
            <w:proofErr w:type="spellStart"/>
            <w:r w:rsidRPr="00532F44">
              <w:t>dabigatran</w:t>
            </w:r>
            <w:proofErr w:type="spellEnd"/>
          </w:p>
        </w:tc>
        <w:tc>
          <w:tcPr>
            <w:tcW w:w="4299" w:type="dxa"/>
          </w:tcPr>
          <w:p w:rsidR="00EF4E89" w:rsidRDefault="00EF4E89" w:rsidP="00EF4E89">
            <w:pPr>
              <w:jc w:val="left"/>
            </w:pPr>
            <w:r w:rsidRPr="00532F44">
              <w:t>St</w:t>
            </w:r>
            <w:r>
              <w:t>r</w:t>
            </w:r>
            <w:r w:rsidRPr="00532F44">
              <w:t>atified by age. Credible interval calculated using simulation approach</w:t>
            </w:r>
            <w:r>
              <w:t xml:space="preserve">. Annual risk reported separately for people under 75 years, and people aged 75 years or older. Credible intervals were calculated by assuming sample sizes of 3618 for people aged </w:t>
            </w:r>
            <w:proofErr w:type="gramStart"/>
            <w:r>
              <w:t>under</w:t>
            </w:r>
            <w:proofErr w:type="gramEnd"/>
            <w:r>
              <w:t xml:space="preserve"> 75 years and 2419 for people aged 75 years or older, then sampling repeatedly and taking the values 2.5% and 97.5% of the way along the distributions. The central estimates </w:t>
            </w:r>
            <w:r>
              <w:lastRenderedPageBreak/>
              <w:t xml:space="preserve">(95% </w:t>
            </w:r>
            <w:proofErr w:type="spellStart"/>
            <w:r>
              <w:t>CrIs</w:t>
            </w:r>
            <w:proofErr w:type="spellEnd"/>
            <w:r>
              <w:t>) are as follows:</w:t>
            </w:r>
          </w:p>
          <w:p w:rsidR="00EF4E89" w:rsidRDefault="00EF4E89" w:rsidP="00EF4E89">
            <w:pPr>
              <w:jc w:val="left"/>
            </w:pPr>
            <w:r>
              <w:t>Under 75: 2.1% (1.7 to 2.6%)</w:t>
            </w:r>
          </w:p>
          <w:p w:rsidR="00EF4E89" w:rsidRPr="00532F44" w:rsidRDefault="00EF4E89" w:rsidP="00EF4E89">
            <w:pPr>
              <w:jc w:val="left"/>
            </w:pPr>
            <w:r>
              <w:t>75 and older: 5.1% (4.2% to 6.0%)</w:t>
            </w:r>
          </w:p>
        </w:tc>
        <w:tc>
          <w:tcPr>
            <w:tcW w:w="3969" w:type="dxa"/>
          </w:tcPr>
          <w:p w:rsidR="00EF4E89" w:rsidRPr="00532F44" w:rsidRDefault="00EF4E89" w:rsidP="00EF4E89">
            <w:proofErr w:type="spellStart"/>
            <w:r w:rsidRPr="00532F44">
              <w:lastRenderedPageBreak/>
              <w:t>Eikelboom</w:t>
            </w:r>
            <w:proofErr w:type="spellEnd"/>
            <w:r w:rsidRPr="00532F44">
              <w:t xml:space="preserve"> et al 2011 </w:t>
            </w:r>
            <w:r w:rsidRPr="00532F44">
              <w:fldChar w:fldCharType="begin" w:fldLock="1"/>
            </w:r>
            <w:r>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"dropping-particle" : "", "family" : "Eikelboom", "given" : "J W", "non-dropping-particle" : "", "parse-names" : false, "suffix" : "" }, { "dropping-particle" : "", "family" : "Wallentin", "given" : "L", "non-dropping-particle" : "", "parse-names" : false, "suffix" : "" }, { "dropping-particle" : "", "family" : "Connolly", "given" : "S J", "non-dropping-particle" : "", "parse-names" : false, "suffix" : "" }, { "dropping-particle" : "", "family" : "Ezekowitz", "given" : "M", "non-dropping-particle" : "", "parse-names" : false, "suffix" : "" }, { "dropping-particle" : "", "family" : "Healey", "given" : "J S", "non-dropping-particle" : "", "parse-names" : false, "suffix" : "" }, { "dropping-particle" : "", "family" : "Oldgren", "given" : "J", "non-dropping-particle" : "", "parse-names" : false, "suffix" : "" }, { "dropping-particle" : "", "family" : "Yang", "given" : "S", "non-dropping-particle" : "", "parse-names" : false, "suffix" : "" }, { "dropping-particle" : "", "family" : "Alings", "given" : "M", "non-dropping-particle" : "", "parse-names" : false, "suffix" : "" }, { "dropping-particle" : "", "family" : "Kaatz", "given" : "S", "non-dropping-particle" : "", "parse-names" : false, "suffix" : "" }, { "dropping-particle" : "", "family" : "Hohnloser", "given" : "S H", "non-dropping-particle" : "", "parse-names" : false, "suffix" : "" }, { "dropping-particle" : "", "family" : "Diener", "given" : "H C", "non-dropping-particle" : "", "parse-names" : false, "suffix" : "" }, { "dropping-particle" : "", "family" : "Franzosi", "given" : "M G", "non-dropping-particle" : "", "parse-names" : false, "suffix" : "" }, { "dropping-particle" : "", "family" : "Huber", "given" : "K", "non-dropping-particle" : "", "parse-names" : false, "suffix" : "" }, { "dropping-particle" : "", "family" : "Reilly", "given" : "P", "non-dropping-particle" : "", "parse-names" : false, "suffix" : "" }, { "dropping-particle" : "", "family" : "Varrone", "given" : "J", "non-dropping-particle" : "", "parse-names" : false, "suffix" : "" }, { "dropping-particle" : "", "family" : "Yusuf", "given" : "S", "non-dropping-particle" : "", "parse-names" : false, "suffix" : ""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"[15]" }, "properties" : { "noteIndex" : 0 }, "schema" : "https://github.com/citation-style-language/schema/raw/master/csl-citation.json" }</w:instrText>
            </w:r>
            <w:r w:rsidRPr="00532F44">
              <w:fldChar w:fldCharType="separate"/>
            </w:r>
            <w:r w:rsidRPr="00B54241">
              <w:rPr>
                <w:noProof/>
              </w:rPr>
              <w:t>[15]</w:t>
            </w:r>
            <w:r w:rsidRPr="00532F44">
              <w:fldChar w:fldCharType="end"/>
            </w:r>
          </w:p>
        </w:tc>
      </w:tr>
      <w:tr w:rsidR="00EF4E89" w:rsidRPr="00532F44" w:rsidTr="00EF4E89">
        <w:trPr>
          <w:divId w:val="1548566716"/>
          <w:trHeight w:val="679"/>
        </w:trPr>
        <w:tc>
          <w:tcPr>
            <w:tcW w:w="1951" w:type="dxa"/>
            <w:vMerge/>
          </w:tcPr>
          <w:p w:rsidR="00EF4E89" w:rsidRPr="00532F44" w:rsidRDefault="00EF4E89" w:rsidP="00EF4E89">
            <w:pPr>
              <w:rPr>
                <w:b/>
              </w:rPr>
            </w:pPr>
          </w:p>
        </w:tc>
        <w:tc>
          <w:tcPr>
            <w:tcW w:w="3497" w:type="dxa"/>
          </w:tcPr>
          <w:p w:rsidR="00EF4E89" w:rsidRPr="00532F44" w:rsidRDefault="00EF4E89" w:rsidP="00EF4E89">
            <w:r>
              <w:t>Relative risk (RR) of stroke in patients receiving warfarin</w:t>
            </w:r>
          </w:p>
        </w:tc>
        <w:tc>
          <w:tcPr>
            <w:tcW w:w="4299" w:type="dxa"/>
          </w:tcPr>
          <w:p w:rsidR="00EF4E89" w:rsidRPr="004C3BA6" w:rsidRDefault="00EF4E89" w:rsidP="00EF4E89">
            <w:pPr>
              <w:jc w:val="left"/>
              <w:rPr>
                <w:lang w:val="en-GB"/>
              </w:rPr>
            </w:pPr>
            <w:r>
              <w:rPr>
                <w:lang w:val="en-GB"/>
              </w:rPr>
              <w:t>Reported RR warfarin vs. placebo: 0.33 (0.24 to 0.45)</w:t>
            </w:r>
          </w:p>
        </w:tc>
        <w:tc>
          <w:tcPr>
            <w:tcW w:w="3969" w:type="dxa"/>
          </w:tcPr>
          <w:p w:rsidR="00EF4E89" w:rsidRPr="00532F44" w:rsidRDefault="00EF4E89" w:rsidP="00EF4E89">
            <w:r w:rsidRPr="00532F44">
              <w:t xml:space="preserve">Lip et al 2006 </w:t>
            </w:r>
            <w:r w:rsidRPr="00532F44">
              <w:fldChar w:fldCharType="begin" w:fldLock="1"/>
            </w:r>
            <w:r>
              <w:instrText>ADDIN CSL_CITATION { "citationItems" : [ { "id" : "ITEM-1", "itemData" : { "DOI" : "10.1016/j.thromres.2005.08.007", "abstract" : "To compare the effectiveness of aspirin, warfarin, and ximelagatran as thromboprophylaxis in patients with non-valvular atrial fibrillation (NVAF).", "author" : [ { "dropping-particle" : "", "family" : "Lip", "given" : "Gregory Y H", "non-dropping-particle" : "", "parse-names" : false, "suffix" : "" }, { "dropping-particle" : "", "family" : "Edwards", "given" : "Steven J", "non-dropping-particle" : "", "parse-names" : false, "suffix" : "" } ], "container-title" : "Thrombosis research", "id" : "ITEM-1", "issue" : "3", "issued" : { "date-parts" : [ [ "2006", "1" ] ] }, "page" : "321-33", "title" : "Stroke prevention with aspirin, warfarin and ximelagatran in patients with non-valvular atrial fibrillation: a systematic review and meta-analysis.", "type" : "article-journal", "volume" : "118" }, "uris" : [ "http://www.mendeley.com/documents/?uuid=44a35ec8-9a44-4e09-b53d-e00b8d8fd08e" ] } ], "mendeley" : { "previouslyFormattedCitation" : "[22]" }, "properties" : { "noteIndex" : 0 }, "schema" : "https://github.com/citation-style-language/schema/raw/master/csl-citation.json" }</w:instrText>
            </w:r>
            <w:r w:rsidRPr="00532F44">
              <w:fldChar w:fldCharType="separate"/>
            </w:r>
            <w:r w:rsidRPr="00B54241">
              <w:rPr>
                <w:noProof/>
              </w:rPr>
              <w:t>[22]</w:t>
            </w:r>
            <w:r w:rsidRPr="00532F44">
              <w:fldChar w:fldCharType="end"/>
            </w:r>
          </w:p>
        </w:tc>
      </w:tr>
      <w:tr w:rsidR="00EF4E89" w:rsidRPr="00532F44" w:rsidTr="00EF4E89">
        <w:trPr>
          <w:divId w:val="1548566716"/>
          <w:trHeight w:val="679"/>
        </w:trPr>
        <w:tc>
          <w:tcPr>
            <w:tcW w:w="1951" w:type="dxa"/>
            <w:vMerge/>
          </w:tcPr>
          <w:p w:rsidR="00EF4E89" w:rsidRPr="00532F44" w:rsidRDefault="00EF4E89" w:rsidP="00EF4E89">
            <w:pPr>
              <w:rPr>
                <w:b/>
              </w:rPr>
            </w:pPr>
          </w:p>
        </w:tc>
        <w:tc>
          <w:tcPr>
            <w:tcW w:w="3497" w:type="dxa"/>
          </w:tcPr>
          <w:p w:rsidR="00EF4E89" w:rsidRPr="00532F44" w:rsidRDefault="00EF4E89" w:rsidP="00EF4E89">
            <w:r>
              <w:t>Annual major bleeding risk for patients receiving warfarin</w:t>
            </w:r>
          </w:p>
        </w:tc>
        <w:tc>
          <w:tcPr>
            <w:tcW w:w="4299" w:type="dxa"/>
          </w:tcPr>
          <w:p w:rsidR="00EF4E89" w:rsidRDefault="00EF4E89" w:rsidP="00EF4E89">
            <w:pPr>
              <w:jc w:val="left"/>
            </w:pPr>
            <w:r w:rsidRPr="00532F44">
              <w:t>St</w:t>
            </w:r>
            <w:r>
              <w:t>r</w:t>
            </w:r>
            <w:r w:rsidRPr="00532F44">
              <w:t>atified by age. Credible interval calculated using simulation approach</w:t>
            </w:r>
            <w:r>
              <w:t xml:space="preserve">. Annual risk reported separately for people under 75 years, and people aged 75 years or older. Credible intervals were calculated by assuming sample sizes of 3618 for people aged </w:t>
            </w:r>
            <w:proofErr w:type="gramStart"/>
            <w:r>
              <w:t>under</w:t>
            </w:r>
            <w:proofErr w:type="gramEnd"/>
            <w:r>
              <w:t xml:space="preserve"> 75 years and 2419 for people aged 75 years or older, then sampling repeatedly and taking the values 2.5% and 97.5% of the way along the distributions. The central estimates (95% </w:t>
            </w:r>
            <w:proofErr w:type="spellStart"/>
            <w:r>
              <w:t>CrIs</w:t>
            </w:r>
            <w:proofErr w:type="spellEnd"/>
            <w:r>
              <w:t>) are as follows:</w:t>
            </w:r>
          </w:p>
          <w:p w:rsidR="00EF4E89" w:rsidRDefault="00EF4E89" w:rsidP="00EF4E89">
            <w:pPr>
              <w:jc w:val="left"/>
            </w:pPr>
            <w:r>
              <w:t>Under 75: 3.4% (2.5 to 3.6%)</w:t>
            </w:r>
          </w:p>
          <w:p w:rsidR="00EF4E89" w:rsidRPr="00532F44" w:rsidRDefault="00EF4E89" w:rsidP="00EF4E89">
            <w:pPr>
              <w:jc w:val="left"/>
            </w:pPr>
            <w:r>
              <w:t>75 and older: 4.4% (3.6% to 5.2%)</w:t>
            </w:r>
          </w:p>
        </w:tc>
        <w:tc>
          <w:tcPr>
            <w:tcW w:w="3969" w:type="dxa"/>
          </w:tcPr>
          <w:p w:rsidR="00EF4E89" w:rsidRPr="00532F44" w:rsidRDefault="00EF4E89" w:rsidP="00EF4E89">
            <w:proofErr w:type="spellStart"/>
            <w:r w:rsidRPr="00532F44">
              <w:t>Eikelboom</w:t>
            </w:r>
            <w:proofErr w:type="spellEnd"/>
            <w:r w:rsidRPr="00532F44">
              <w:t xml:space="preserve"> et al 2011 </w:t>
            </w:r>
            <w:r w:rsidRPr="00532F44">
              <w:fldChar w:fldCharType="begin" w:fldLock="1"/>
            </w:r>
            <w:r>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"dropping-particle" : "", "family" : "Eikelboom", "given" : "J W", "non-dropping-particle" : "", "parse-names" : false, "suffix" : "" }, { "dropping-particle" : "", "family" : "Wallentin", "given" : "L", "non-dropping-particle" : "", "parse-names" : false, "suffix" : "" }, { "dropping-particle" : "", "family" : "Connolly", "given" : "S J", "non-dropping-particle" : "", "parse-names" : false, "suffix" : "" }, { "dropping-particle" : "", "family" : "Ezekowitz", "given" : "M", "non-dropping-particle" : "", "parse-names" : false, "suffix" : "" }, { "dropping-particle" : "", "family" : "Healey", "given" : "J S", "non-dropping-particle" : "", "parse-names" : false, "suffix" : "" }, { "dropping-particle" : "", "family" : "Oldgren", "given" : "J", "non-dropping-particle" : "", "parse-names" : false, "suffix" : "" }, { "dropping-particle" : "", "family" : "Yang", "given" : "S", "non-dropping-particle" : "", "parse-names" : false, "suffix" : "" }, { "dropping-particle" : "", "family" : "Alings", "given" : "M", "non-dropping-particle" : "", "parse-names" : false, "suffix" : "" }, { "dropping-particle" : "", "family" : "Kaatz", "given" : "S", "non-dropping-particle" : "", "parse-names" : false, "suffix" : "" }, { "dropping-particle" : "", "family" : "Hohnloser", "given" : "S H", "non-dropping-particle" : "", "parse-names" : false, "suffix" : "" }, { "dropping-particle" : "", "family" : "Diener", "given" : "H C", "non-dropping-particle" : "", "parse-names" : false, "suffix" : "" }, { "dropping-particle" : "", "family" : "Franzosi", "given" : "M G", "non-dropping-particle" : "", "parse-names" : false, "suffix" : "" }, { "dropping-particle" : "", "family" : "Huber", "given" : "K", "non-dropping-particle" : "", "parse-names" : false, "suffix" : "" }, { "dropping-particle" : "", "family" : "Reilly", "given" : "P", "non-dropping-particle" : "", "parse-names" : false, "suffix" : "" }, { "dropping-particle" : "", "family" : "Varrone", "given" : "J", "non-dropping-particle" : "", "parse-names" : false, "suffix" : "" }, { "dropping-particle" : "", "family" : "Yusuf", "given" : "S", "non-dropping-particle" : "", "parse-names" : false, "suffix" : ""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"[15]" }, "properties" : { "noteIndex" : 0 }, "schema" : "https://github.com/citation-style-language/schema/raw/master/csl-citation.json" }</w:instrText>
            </w:r>
            <w:r w:rsidRPr="00532F44">
              <w:fldChar w:fldCharType="separate"/>
            </w:r>
            <w:r w:rsidRPr="00B54241">
              <w:rPr>
                <w:noProof/>
              </w:rPr>
              <w:t>[15]</w:t>
            </w:r>
            <w:r w:rsidRPr="00532F44">
              <w:fldChar w:fldCharType="end"/>
            </w:r>
          </w:p>
        </w:tc>
      </w:tr>
      <w:tr w:rsidR="00EF4E89" w:rsidRPr="00532F44" w:rsidTr="00EF4E89">
        <w:trPr>
          <w:divId w:val="1548566716"/>
          <w:trHeight w:val="679"/>
        </w:trPr>
        <w:tc>
          <w:tcPr>
            <w:tcW w:w="1951" w:type="dxa"/>
            <w:vMerge/>
          </w:tcPr>
          <w:p w:rsidR="00EF4E89" w:rsidRPr="00532F44" w:rsidRDefault="00EF4E89" w:rsidP="00EF4E89">
            <w:pPr>
              <w:rPr>
                <w:b/>
              </w:rPr>
            </w:pPr>
          </w:p>
        </w:tc>
        <w:tc>
          <w:tcPr>
            <w:tcW w:w="3497" w:type="dxa"/>
          </w:tcPr>
          <w:p w:rsidR="00EF4E89" w:rsidRDefault="00EF4E89" w:rsidP="00EF4E89">
            <w:r>
              <w:t xml:space="preserve">Relative risk (RR) of stroke in patients receiving </w:t>
            </w:r>
            <w:proofErr w:type="spellStart"/>
            <w:r>
              <w:t>rivaroxaban</w:t>
            </w:r>
            <w:proofErr w:type="spellEnd"/>
          </w:p>
        </w:tc>
        <w:tc>
          <w:tcPr>
            <w:tcW w:w="4299" w:type="dxa"/>
          </w:tcPr>
          <w:p w:rsidR="00EF4E89" w:rsidRDefault="00EF4E89" w:rsidP="00EF4E89">
            <w:pPr>
              <w:jc w:val="left"/>
              <w:rPr>
                <w:lang w:val="en-GB"/>
              </w:rPr>
            </w:pPr>
            <w:r w:rsidRPr="00532F44">
              <w:t xml:space="preserve">Indirect comparison simulation </w:t>
            </w:r>
            <w:r w:rsidRPr="003A1166">
              <w:t>approach</w:t>
            </w:r>
            <w:r>
              <w:t>.</w:t>
            </w:r>
            <w:r w:rsidRPr="003A1166">
              <w:rPr>
                <w:rFonts w:ascii="Times New Roman" w:eastAsia="Times New Roman" w:hAnsi="Times New Roman"/>
                <w:sz w:val="22"/>
                <w:szCs w:val="22"/>
                <w:lang w:val="en-GB" w:eastAsia="en-GB"/>
              </w:rPr>
              <w:t xml:space="preserve"> </w:t>
            </w:r>
            <w:r>
              <w:rPr>
                <w:lang w:val="en-GB"/>
              </w:rPr>
              <w:t xml:space="preserve">One thousand </w:t>
            </w:r>
            <w:r w:rsidRPr="003A1166">
              <w:rPr>
                <w:lang w:val="en-GB"/>
              </w:rPr>
              <w:t xml:space="preserve">simulated values </w:t>
            </w:r>
            <w:r>
              <w:rPr>
                <w:lang w:val="en-GB"/>
              </w:rPr>
              <w:t xml:space="preserve">from a lognormal distribution representing the RR of warfarin compared with placebo were multiplied by 1000 simulated values from a lognormal distribution comparing </w:t>
            </w:r>
            <w:proofErr w:type="spellStart"/>
            <w:r>
              <w:rPr>
                <w:lang w:val="en-GB"/>
              </w:rPr>
              <w:t>dabigatran</w:t>
            </w:r>
            <w:proofErr w:type="spellEnd"/>
            <w:r>
              <w:rPr>
                <w:lang w:val="en-GB"/>
              </w:rPr>
              <w:t xml:space="preserve"> with warfarin, to produce 1000 estimates of the RR of </w:t>
            </w:r>
            <w:proofErr w:type="spellStart"/>
            <w:r>
              <w:rPr>
                <w:lang w:val="en-GB"/>
              </w:rPr>
              <w:t>dabigatran</w:t>
            </w:r>
            <w:proofErr w:type="spellEnd"/>
            <w:r>
              <w:rPr>
                <w:lang w:val="en-GB"/>
              </w:rPr>
              <w:t xml:space="preserve"> compared </w:t>
            </w:r>
            <w:r>
              <w:rPr>
                <w:lang w:val="en-GB"/>
              </w:rPr>
              <w:lastRenderedPageBreak/>
              <w:t>with placebo. Mean RRs and 95% CIs/</w:t>
            </w:r>
            <w:proofErr w:type="spellStart"/>
            <w:r>
              <w:rPr>
                <w:lang w:val="en-GB"/>
              </w:rPr>
              <w:t>CrIs</w:t>
            </w:r>
            <w:proofErr w:type="spellEnd"/>
            <w:r>
              <w:rPr>
                <w:lang w:val="en-GB"/>
              </w:rPr>
              <w:t xml:space="preserve"> are shown below: </w:t>
            </w:r>
          </w:p>
          <w:p w:rsidR="00EF4E89" w:rsidRDefault="00EF4E89" w:rsidP="00EF4E89">
            <w:pPr>
              <w:jc w:val="left"/>
              <w:rPr>
                <w:lang w:val="en-GB"/>
              </w:rPr>
            </w:pPr>
            <w:r>
              <w:rPr>
                <w:lang w:val="en-GB"/>
              </w:rPr>
              <w:t>Reported RR warfarin vs. placebo: 0.33 (0.24 to 0.45)</w:t>
            </w:r>
          </w:p>
          <w:p w:rsidR="00EF4E89" w:rsidRDefault="00EF4E89" w:rsidP="00EF4E89">
            <w:pPr>
              <w:jc w:val="left"/>
              <w:rPr>
                <w:lang w:val="en-GB"/>
              </w:rPr>
            </w:pPr>
            <w:r>
              <w:rPr>
                <w:lang w:val="en-GB"/>
              </w:rPr>
              <w:t xml:space="preserve">Reported RR </w:t>
            </w:r>
            <w:proofErr w:type="spellStart"/>
            <w:r>
              <w:rPr>
                <w:lang w:val="en-GB"/>
              </w:rPr>
              <w:t>Rivaroxaban</w:t>
            </w:r>
            <w:proofErr w:type="spellEnd"/>
            <w:r>
              <w:rPr>
                <w:lang w:val="en-GB"/>
              </w:rPr>
              <w:t xml:space="preserve">  vs. warfarin: 0.88 (0.74 to 1.03)</w:t>
            </w:r>
          </w:p>
          <w:p w:rsidR="00EF4E89" w:rsidRPr="00532F44" w:rsidRDefault="00EF4E89" w:rsidP="00EF4E89">
            <w:pPr>
              <w:jc w:val="left"/>
            </w:pPr>
            <w:r>
              <w:rPr>
                <w:lang w:val="en-GB"/>
              </w:rPr>
              <w:t xml:space="preserve">Derived RR </w:t>
            </w:r>
            <w:proofErr w:type="spellStart"/>
            <w:r>
              <w:rPr>
                <w:lang w:val="en-GB"/>
              </w:rPr>
              <w:t>Rivaroxaban</w:t>
            </w:r>
            <w:proofErr w:type="spellEnd"/>
            <w:r>
              <w:rPr>
                <w:lang w:val="en-GB"/>
              </w:rPr>
              <w:t xml:space="preserve"> vs. placebo: 0.30 (0.20 to 0.41)</w:t>
            </w:r>
          </w:p>
        </w:tc>
        <w:tc>
          <w:tcPr>
            <w:tcW w:w="3969" w:type="dxa"/>
          </w:tcPr>
          <w:p w:rsidR="00EF4E89" w:rsidRDefault="00EF4E89" w:rsidP="00EF4E89">
            <w:r w:rsidRPr="00532F44">
              <w:lastRenderedPageBreak/>
              <w:t xml:space="preserve">Lip et al 2006 for RR of warfarin compared with placebo </w:t>
            </w:r>
            <w:r w:rsidRPr="00532F44">
              <w:fldChar w:fldCharType="begin" w:fldLock="1"/>
            </w:r>
            <w:r>
              <w:instrText>ADDIN CSL_CITATION { "citationItems" : [ { "id" : "ITEM-1", "itemData" : { "DOI" : "10.1016/j.thromres.2005.08.007", "abstract" : "To compare the effectiveness of aspirin, warfarin, and ximelagatran as thromboprophylaxis in patients with non-valvular atrial fibrillation (NVAF).", "author" : [ { "dropping-particle" : "", "family" : "Lip", "given" : "Gregory Y H", "non-dropping-particle" : "", "parse-names" : false, "suffix" : "" }, { "dropping-particle" : "", "family" : "Edwards", "given" : "Steven J", "non-dropping-particle" : "", "parse-names" : false, "suffix" : "" } ], "container-title" : "Thrombosis research", "id" : "ITEM-1", "issue" : "3", "issued" : { "date-parts" : [ [ "2006", "1" ] ] }, "page" : "321-33", "title" : "Stroke prevention with aspirin, warfarin and ximelagatran in patients with non-valvular atrial fibrillation: a systematic review and meta-analysis.", "type" : "article-journal", "volume" : "118" }, "uris" : [ "http://www.mendeley.com/documents/?uuid=44a35ec8-9a44-4e09-b53d-e00b8d8fd08e" ] } ], "mendeley" : { "previouslyFormattedCitation" : "[22]" }, "properties" : { "noteIndex" : 0 }, "schema" : "https://github.com/citation-style-language/schema/raw/master/csl-citation.json" }</w:instrText>
            </w:r>
            <w:r w:rsidRPr="00532F44">
              <w:fldChar w:fldCharType="separate"/>
            </w:r>
            <w:r w:rsidRPr="00B54241">
              <w:rPr>
                <w:noProof/>
              </w:rPr>
              <w:t>[22]</w:t>
            </w:r>
            <w:r w:rsidRPr="00532F44">
              <w:fldChar w:fldCharType="end"/>
            </w:r>
          </w:p>
          <w:p w:rsidR="00EF4E89" w:rsidRPr="00532F44" w:rsidRDefault="00EF4E89" w:rsidP="00EF4E89">
            <w:r>
              <w:t xml:space="preserve">Patel et al 2011 for RR of </w:t>
            </w:r>
            <w:proofErr w:type="spellStart"/>
            <w:r>
              <w:t>rivaroxaban</w:t>
            </w:r>
            <w:proofErr w:type="spellEnd"/>
            <w:r>
              <w:t xml:space="preserve"> compared with warfarin </w:t>
            </w:r>
            <w:r>
              <w:fldChar w:fldCharType="begin" w:fldLock="1"/>
            </w:r>
            <w:r>
              <w:instrText>ADDIN CSL_CITATION { "citationItems" : [ { "id" : "ITEM-1", "itemData" : { "DOI" : "doi:10.1056/NEJMoa1009638", "author" : [ { "dropping-particle" : "", "family" : "Patel", "given" : "Manesh R", "non-dropping-particle" : "", "parse-names" : false, "suffix" : "" }, { "dropping-particle" : "", "family" : "Mahaffey", "given" : "Kenneth W", "non-dropping-particle" : "", "parse-names" : false, "suffix" : "" }, { "dropping-particle" : "", "family" : "Garg", "given" : "Jyotsna", "non-dropping-particle" : "", "parse-names" : false, "suffix" : "" }, { "dropping-particle" : "", "family" : "Pan", "given" : "Guohua", "non-dropping-particle" : "", "parse-names" : false, "suffix" : "" }, { "dropping-particle" : "", "family" : "Singer", "given" : "Daniel E", "non-dropping-particle" : "", "parse-names" : false, "suffix" : "" }, { "dropping-particle" : "", "family" : "Hacke", "given" : "Werner", "non-dropping-particle" : "", "parse-names" : false, "suffix" : "" }, { "dropping-particle" : "", "family" : "Breithardt", "given" : "G\u00fcnter", "non-dropping-particle" : "", "parse-names" : false, "suffix" : "" }, { "dropping-particle" : "", "family" : "Halperin", "given" : "Jonathan L", "non-dropping-particle" : "", "parse-names" : false, "suffix" : "" }, { "dropping-particle" : "", "family" : "Hankey", "given" : "Graeme J", "non-dropping-particle" : "", "parse-names" : false, "suffix" : "" }, { "dropping-particle" : "", "family" : "Piccini", "given" : "Jonathan P", "non-dropping-particle" : "", "parse-names" : false, "suffix" : "" }, { "dropping-particle" : "", "family" : "Becker", "given" : "Richard C", "non-dropping-particle" : "", "parse-names" : false, "suffix" : "" }, { "dropping-particle" : "", "family" : "Nessel", "given" : "Christopher C", "non-dropping-particle" : "", "parse-names" : false, "suffix" : "" }, { "dropping-particle" : "", "family" : "Paolini", "given" : "John F", "non-dropping-particle" : "", "parse-names" : false, "suffix" : "" }, { "dropping-particle" : "", "family" : "Berkowitz", "given" : "Scott D", "non-dropping-particle" : "", "parse-names" : false, "suffix" : "" }, { "dropping-particle" : "", "family" : "Fox", "given" : "Keith A A", "non-dropping-particle" : "", "parse-names" : false, "suffix" : "" }, { "dropping-particle" : "", "family" : "Califf", "given" : "Robert M", "non-dropping-particle" : "", "parse-names" : false, "suffix" : "" } ], "container-title" : "New England Journal of Medicine", "id" : "ITEM-1", "issue" : "10", "issued" : { "date-parts" : [ [ "2011" ] ] }, "page" : "883-891", "title" : "Rivaroxaban versus Warfarin in Nonvalvular Atrial Fibrillation", "type" : "article-journal", "volume" : "365" }, "uris" : [ "http://www.mendeley.com/documents/?uuid=2bccc0b9-1986-4e0c-9e56-45269b395a6b" ] } ], "mendeley" : { "previouslyFormattedCitation" : "[23]" }, "properties" : { "noteIndex" : 0 }, "schema" : "https://github.com/citation-style-language/schema/raw/master/csl-citation.json" }</w:instrText>
            </w:r>
            <w:r>
              <w:fldChar w:fldCharType="separate"/>
            </w:r>
            <w:r w:rsidRPr="00B54241">
              <w:rPr>
                <w:noProof/>
              </w:rPr>
              <w:t>[23]</w:t>
            </w:r>
            <w:r>
              <w:fldChar w:fldCharType="end"/>
            </w:r>
          </w:p>
        </w:tc>
      </w:tr>
      <w:tr w:rsidR="00EF4E89" w:rsidRPr="00532F44" w:rsidTr="00EF4E89">
        <w:trPr>
          <w:divId w:val="1548566716"/>
          <w:trHeight w:val="679"/>
        </w:trPr>
        <w:tc>
          <w:tcPr>
            <w:tcW w:w="1951" w:type="dxa"/>
            <w:vMerge/>
          </w:tcPr>
          <w:p w:rsidR="00EF4E89" w:rsidRPr="00532F44" w:rsidRDefault="00EF4E89" w:rsidP="00EF4E89">
            <w:pPr>
              <w:rPr>
                <w:b/>
              </w:rPr>
            </w:pPr>
          </w:p>
        </w:tc>
        <w:tc>
          <w:tcPr>
            <w:tcW w:w="3497" w:type="dxa"/>
          </w:tcPr>
          <w:p w:rsidR="00EF4E89" w:rsidRDefault="00EF4E89" w:rsidP="00EF4E89">
            <w:r>
              <w:t xml:space="preserve">Annual major bleeding risk for patients receiving </w:t>
            </w:r>
            <w:proofErr w:type="spellStart"/>
            <w:r>
              <w:t>rivaroxaban</w:t>
            </w:r>
            <w:proofErr w:type="spellEnd"/>
          </w:p>
        </w:tc>
        <w:tc>
          <w:tcPr>
            <w:tcW w:w="4299" w:type="dxa"/>
          </w:tcPr>
          <w:p w:rsidR="00EF4E89" w:rsidRDefault="00EF4E89" w:rsidP="00EF4E89">
            <w:pPr>
              <w:jc w:val="left"/>
            </w:pPr>
            <w:r w:rsidRPr="00B92B64">
              <w:rPr>
                <w:lang w:val="en-GB"/>
              </w:rPr>
              <w:t xml:space="preserve">The annual risk of bleeding given </w:t>
            </w:r>
            <w:proofErr w:type="spellStart"/>
            <w:r w:rsidRPr="00B92B64">
              <w:rPr>
                <w:lang w:val="en-GB"/>
              </w:rPr>
              <w:t>rivaroxaban</w:t>
            </w:r>
            <w:proofErr w:type="spellEnd"/>
            <w:r w:rsidRPr="00B92B64">
              <w:rPr>
                <w:lang w:val="en-GB"/>
              </w:rPr>
              <w:t xml:space="preserve"> was estimated indirectly by combining estimates of the risk of bleed given warfarin compared with placebo with estimates of the risk of bleed given </w:t>
            </w:r>
            <w:proofErr w:type="spellStart"/>
            <w:r w:rsidRPr="00B92B64">
              <w:rPr>
                <w:lang w:val="en-GB"/>
              </w:rPr>
              <w:t>rivaroxiban</w:t>
            </w:r>
            <w:proofErr w:type="spellEnd"/>
            <w:r w:rsidRPr="00B92B64">
              <w:rPr>
                <w:lang w:val="en-GB"/>
              </w:rPr>
              <w:t xml:space="preserve"> compared with warfarin.</w:t>
            </w:r>
            <w:r w:rsidRPr="00532F44">
              <w:t xml:space="preserve"> </w:t>
            </w:r>
            <w:r>
              <w:t xml:space="preserve">The central estimates (95% </w:t>
            </w:r>
            <w:proofErr w:type="spellStart"/>
            <w:r>
              <w:t>CrIs</w:t>
            </w:r>
            <w:proofErr w:type="spellEnd"/>
            <w:r>
              <w:t>) were estimated to be as follows:</w:t>
            </w:r>
          </w:p>
          <w:p w:rsidR="00EF4E89" w:rsidRDefault="00EF4E89" w:rsidP="00EF4E89">
            <w:pPr>
              <w:jc w:val="left"/>
            </w:pPr>
            <w:r>
              <w:t>Under 75: 3.2% (2.5% to 4.0%)</w:t>
            </w:r>
          </w:p>
          <w:p w:rsidR="00EF4E89" w:rsidRPr="00532F44" w:rsidRDefault="00EF4E89" w:rsidP="00EF4E89">
            <w:pPr>
              <w:jc w:val="left"/>
            </w:pPr>
            <w:r>
              <w:t>75 or older: 4.6% (3.6% to 5.7%)</w:t>
            </w:r>
          </w:p>
        </w:tc>
        <w:tc>
          <w:tcPr>
            <w:tcW w:w="3969" w:type="dxa"/>
          </w:tcPr>
          <w:p w:rsidR="00EF4E89" w:rsidRDefault="00EF4E89" w:rsidP="00EF4E89">
            <w:proofErr w:type="spellStart"/>
            <w:r w:rsidRPr="00532F44">
              <w:t>Eikelboom</w:t>
            </w:r>
            <w:proofErr w:type="spellEnd"/>
            <w:r w:rsidRPr="00532F44">
              <w:t xml:space="preserve"> et al 2011 </w:t>
            </w:r>
            <w:r w:rsidRPr="00532F44">
              <w:fldChar w:fldCharType="begin" w:fldLock="1"/>
            </w:r>
            <w:r>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"dropping-particle" : "", "family" : "Eikelboom", "given" : "J W", "non-dropping-particle" : "", "parse-names" : false, "suffix" : "" }, { "dropping-particle" : "", "family" : "Wallentin", "given" : "L", "non-dropping-particle" : "", "parse-names" : false, "suffix" : "" }, { "dropping-particle" : "", "family" : "Connolly", "given" : "S J", "non-dropping-particle" : "", "parse-names" : false, "suffix" : "" }, { "dropping-particle" : "", "family" : "Ezekowitz", "given" : "M", "non-dropping-particle" : "", "parse-names" : false, "suffix" : "" }, { "dropping-particle" : "", "family" : "Healey", "given" : "J S", "non-dropping-particle" : "", "parse-names" : false, "suffix" : "" }, { "dropping-particle" : "", "family" : "Oldgren", "given" : "J", "non-dropping-particle" : "", "parse-names" : false, "suffix" : "" }, { "dropping-particle" : "", "family" : "Yang", "given" : "S", "non-dropping-particle" : "", "parse-names" : false, "suffix" : "" }, { "dropping-particle" : "", "family" : "Alings", "given" : "M", "non-dropping-particle" : "", "parse-names" : false, "suffix" : "" }, { "dropping-particle" : "", "family" : "Kaatz", "given" : "S", "non-dropping-particle" : "", "parse-names" : false, "suffix" : "" }, { "dropping-particle" : "", "family" : "Hohnloser", "given" : "S H", "non-dropping-particle" : "", "parse-names" : false, "suffix" : "" }, { "dropping-particle" : "", "family" : "Diener", "given" : "H C", "non-dropping-particle" : "", "parse-names" : false, "suffix" : "" }, { "dropping-particle" : "", "family" : "Franzosi", "given" : "M G", "non-dropping-particle" : "", "parse-names" : false, "suffix" : "" }, { "dropping-particle" : "", "family" : "Huber", "given" : "K", "non-dropping-particle" : "", "parse-names" : false, "suffix" : "" }, { "dropping-particle" : "", "family" : "Reilly", "given" : "P", "non-dropping-particle" : "", "parse-names" : false, "suffix" : "" }, { "dropping-particle" : "", "family" : "Varrone", "given" : "J", "non-dropping-particle" : "", "parse-names" : false, "suffix" : "" }, { "dropping-particle" : "", "family" : "Yusuf", "given" : "S", "non-dropping-particle" : "", "parse-names" : false, "suffix" : ""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"[15]" }, "properties" : { "noteIndex" : 0 }, "schema" : "https://github.com/citation-style-language/schema/raw/master/csl-citation.json" }</w:instrText>
            </w:r>
            <w:r w:rsidRPr="00532F44">
              <w:fldChar w:fldCharType="separate"/>
            </w:r>
            <w:r w:rsidRPr="00B54241">
              <w:rPr>
                <w:noProof/>
              </w:rPr>
              <w:t>[15]</w:t>
            </w:r>
            <w:r w:rsidRPr="00532F44">
              <w:fldChar w:fldCharType="end"/>
            </w:r>
          </w:p>
          <w:p w:rsidR="00EF4E89" w:rsidRPr="00532F44" w:rsidRDefault="00EF4E89" w:rsidP="00EF4E89">
            <w:r>
              <w:t xml:space="preserve">Patel et al 2011 </w:t>
            </w:r>
            <w:r>
              <w:fldChar w:fldCharType="begin" w:fldLock="1"/>
            </w:r>
            <w:r>
              <w:instrText>ADDIN CSL_CITATION { "citationItems" : [ { "id" : "ITEM-1", "itemData" : { "DOI" : "doi:10.1056/NEJMoa1009638", "author" : [ { "dropping-particle" : "", "family" : "Patel", "given" : "Manesh R", "non-dropping-particle" : "", "parse-names" : false, "suffix" : "" }, { "dropping-particle" : "", "family" : "Mahaffey", "given" : "Kenneth W", "non-dropping-particle" : "", "parse-names" : false, "suffix" : "" }, { "dropping-particle" : "", "family" : "Garg", "given" : "Jyotsna", "non-dropping-particle" : "", "parse-names" : false, "suffix" : "" }, { "dropping-particle" : "", "family" : "Pan", "given" : "Guohua", "non-dropping-particle" : "", "parse-names" : false, "suffix" : "" }, { "dropping-particle" : "", "family" : "Singer", "given" : "Daniel E", "non-dropping-particle" : "", "parse-names" : false, "suffix" : "" }, { "dropping-particle" : "", "family" : "Hacke", "given" : "Werner", "non-dropping-particle" : "", "parse-names" : false, "suffix" : "" }, { "dropping-particle" : "", "family" : "Breithardt", "given" : "G\u00fcnter", "non-dropping-particle" : "", "parse-names" : false, "suffix" : "" }, { "dropping-particle" : "", "family" : "Halperin", "given" : "Jonathan L", "non-dropping-particle" : "", "parse-names" : false, "suffix" : "" }, { "dropping-particle" : "", "family" : "Hankey", "given" : "Graeme J", "non-dropping-particle" : "", "parse-names" : false, "suffix" : "" }, { "dropping-particle" : "", "family" : "Piccini", "given" : "Jonathan P", "non-dropping-particle" : "", "parse-names" : false, "suffix" : "" }, { "dropping-particle" : "", "family" : "Becker", "given" : "Richard C", "non-dropping-particle" : "", "parse-names" : false, "suffix" : "" }, { "dropping-particle" : "", "family" : "Nessel", "given" : "Christopher C", "non-dropping-particle" : "", "parse-names" : false, "suffix" : "" }, { "dropping-particle" : "", "family" : "Paolini", "given" : "John F", "non-dropping-particle" : "", "parse-names" : false, "suffix" : "" }, { "dropping-particle" : "", "family" : "Berkowitz", "given" : "Scott D", "non-dropping-particle" : "", "parse-names" : false, "suffix" : "" }, { "dropping-particle" : "", "family" : "Fox", "given" : "Keith A A", "non-dropping-particle" : "", "parse-names" : false, "suffix" : "" }, { "dropping-particle" : "", "family" : "Califf", "given" : "Robert M", "non-dropping-particle" : "", "parse-names" : false, "suffix" : "" } ], "container-title" : "New England Journal of Medicine", "id" : "ITEM-1", "issue" : "10", "issued" : { "date-parts" : [ [ "2011" ] ] }, "page" : "883-891", "title" : "Rivaroxaban versus Warfarin in Nonvalvular Atrial Fibrillation", "type" : "article-journal", "volume" : "365" }, "uris" : [ "http://www.mendeley.com/documents/?uuid=2bccc0b9-1986-4e0c-9e56-45269b395a6b" ] } ], "mendeley" : { "previouslyFormattedCitation" : "[23]" }, "properties" : { "noteIndex" : 0 }, "schema" : "https://github.com/citation-style-language/schema/raw/master/csl-citation.json" }</w:instrText>
            </w:r>
            <w:r>
              <w:fldChar w:fldCharType="separate"/>
            </w:r>
            <w:r w:rsidRPr="00B54241">
              <w:rPr>
                <w:noProof/>
              </w:rPr>
              <w:t>[23]</w:t>
            </w:r>
            <w:r>
              <w:fldChar w:fldCharType="end"/>
            </w:r>
          </w:p>
        </w:tc>
      </w:tr>
      <w:tr w:rsidR="00EF4E89" w:rsidRPr="00532F44" w:rsidTr="00EF4E89">
        <w:trPr>
          <w:divId w:val="1548566716"/>
          <w:trHeight w:val="679"/>
        </w:trPr>
        <w:tc>
          <w:tcPr>
            <w:tcW w:w="1951" w:type="dxa"/>
            <w:vMerge/>
          </w:tcPr>
          <w:p w:rsidR="00EF4E89" w:rsidRPr="00532F44" w:rsidRDefault="00EF4E89" w:rsidP="00EF4E89">
            <w:pPr>
              <w:rPr>
                <w:b/>
              </w:rPr>
            </w:pPr>
          </w:p>
        </w:tc>
        <w:tc>
          <w:tcPr>
            <w:tcW w:w="3497" w:type="dxa"/>
          </w:tcPr>
          <w:p w:rsidR="00EF4E89" w:rsidRPr="00532F44" w:rsidRDefault="00EF4E89" w:rsidP="00EF4E89">
            <w:r w:rsidRPr="00532F44">
              <w:t>Outcome following stroke</w:t>
            </w:r>
          </w:p>
        </w:tc>
        <w:tc>
          <w:tcPr>
            <w:tcW w:w="4299" w:type="dxa"/>
          </w:tcPr>
          <w:p w:rsidR="00EF4E89" w:rsidRDefault="00EF4E89" w:rsidP="00EF4E89">
            <w:pPr>
              <w:jc w:val="left"/>
            </w:pPr>
            <w:r w:rsidRPr="00532F44">
              <w:t>Simulation &amp; mapping based approach</w:t>
            </w:r>
            <w:r>
              <w:t xml:space="preserve"> described in an upcoming report. </w:t>
            </w:r>
          </w:p>
          <w:p w:rsidR="00EF4E89" w:rsidRPr="00532F44" w:rsidRDefault="00EF4E89" w:rsidP="00EF4E89">
            <w:pPr>
              <w:jc w:val="left"/>
            </w:pPr>
            <w:r>
              <w:t xml:space="preserve">The proportion dying of a stroke (95% </w:t>
            </w:r>
            <w:proofErr w:type="spellStart"/>
            <w:r>
              <w:t>CrI</w:t>
            </w:r>
            <w:proofErr w:type="spellEnd"/>
            <w:r>
              <w:t xml:space="preserve">) was estimated to be 0.25 (0.23 to 0.27); the proportion in an independent </w:t>
            </w:r>
            <w:proofErr w:type="gramStart"/>
            <w:r>
              <w:t>state  was</w:t>
            </w:r>
            <w:proofErr w:type="gramEnd"/>
            <w:r>
              <w:t xml:space="preserve"> estimated to be 0.56 (0.52 to 0.59); and the proportion in an dependent state following a </w:t>
            </w:r>
            <w:r>
              <w:lastRenderedPageBreak/>
              <w:t>stroke was estimated to be 0.19 (0.16 to 0.23).</w:t>
            </w:r>
          </w:p>
        </w:tc>
        <w:tc>
          <w:tcPr>
            <w:tcW w:w="3969" w:type="dxa"/>
          </w:tcPr>
          <w:p w:rsidR="00EF4E89" w:rsidRPr="00532F44" w:rsidRDefault="00EF4E89" w:rsidP="00EF4E89">
            <w:r w:rsidRPr="00532F44">
              <w:lastRenderedPageBreak/>
              <w:t xml:space="preserve">Method described in report using results published in </w:t>
            </w:r>
            <w:proofErr w:type="spellStart"/>
            <w:r w:rsidRPr="00532F44">
              <w:t>Rivero</w:t>
            </w:r>
            <w:proofErr w:type="spellEnd"/>
            <w:r w:rsidRPr="00532F44">
              <w:t xml:space="preserve">-Arias et al 2010 </w:t>
            </w:r>
            <w:r w:rsidRPr="00532F44">
              <w:fldChar w:fldCharType="begin" w:fldLock="1"/>
            </w:r>
            <w:r>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"[24]" }, "properties" : { "noteIndex" : 0 }, "schema" : "https://github.com/citation-style-language/schema/raw/master/csl-citation.json" }</w:instrText>
            </w:r>
            <w:r w:rsidRPr="00532F44">
              <w:fldChar w:fldCharType="separate"/>
            </w:r>
            <w:r w:rsidRPr="00B54241">
              <w:rPr>
                <w:noProof/>
              </w:rPr>
              <w:t>[24]</w:t>
            </w:r>
            <w:r w:rsidRPr="00532F44">
              <w:fldChar w:fldCharType="end"/>
            </w:r>
            <w:r w:rsidRPr="00532F44">
              <w:t xml:space="preserve"> </w:t>
            </w:r>
          </w:p>
        </w:tc>
      </w:tr>
      <w:tr w:rsidR="00EF4E89" w:rsidRPr="00532F44" w:rsidTr="00EF4E89">
        <w:trPr>
          <w:divId w:val="1548566716"/>
          <w:trHeight w:val="109"/>
        </w:trPr>
        <w:tc>
          <w:tcPr>
            <w:tcW w:w="1951" w:type="dxa"/>
            <w:vMerge/>
          </w:tcPr>
          <w:p w:rsidR="00EF4E89" w:rsidRPr="00532F44" w:rsidRDefault="00EF4E89" w:rsidP="00EF4E89">
            <w:pPr>
              <w:rPr>
                <w:b/>
              </w:rPr>
            </w:pPr>
          </w:p>
        </w:tc>
        <w:tc>
          <w:tcPr>
            <w:tcW w:w="3497" w:type="dxa"/>
          </w:tcPr>
          <w:p w:rsidR="00EF4E89" w:rsidRPr="00532F44" w:rsidRDefault="00EF4E89" w:rsidP="00EF4E89">
            <w:r w:rsidRPr="00532F44">
              <w:t>Outcome following a major bleeding event</w:t>
            </w:r>
          </w:p>
        </w:tc>
        <w:tc>
          <w:tcPr>
            <w:tcW w:w="4299" w:type="dxa"/>
          </w:tcPr>
          <w:p w:rsidR="00EF4E89" w:rsidRPr="00532F44" w:rsidRDefault="00EF4E89" w:rsidP="00EF4E89">
            <w:pPr>
              <w:jc w:val="left"/>
            </w:pPr>
            <w:r w:rsidRPr="00532F44">
              <w:t>Previous estimates</w:t>
            </w:r>
          </w:p>
        </w:tc>
        <w:tc>
          <w:tcPr>
            <w:tcW w:w="3969" w:type="dxa"/>
          </w:tcPr>
          <w:p w:rsidR="00EF4E89" w:rsidRPr="00532F44" w:rsidRDefault="00EF4E89" w:rsidP="00EF4E89">
            <w:r w:rsidRPr="00532F44">
              <w:t xml:space="preserve"> Simpson et al 2010 </w:t>
            </w:r>
            <w:r w:rsidRPr="00532F44">
              <w:fldChar w:fldCharType="begin" w:fldLock="1"/>
            </w:r>
            <w:r>
              <w:instrText>ADDIN CSL_CITATION { "citationItems" : [ { "id" : "ITEM-1", "itemData" : { "DOI" : "10.3310/hta13020", "author" : [ { "dropping-particle" : "", "family" : "Simpson", "given" : "E L", "non-dropping-particle" : "", "parse-names" : false, "suffix" : "" }, { "dropping-particle" : "", "family" : "Stevenson", "given" : "M D", "non-dropping-particle" : "", "parse-names" : false, "suffix" : "" }, { "dropping-particle" : "", "family" : "Rawdin", "given" : "A", "non-dropping-particle" : "", "parse-names" : false, "suffix" : "" }, { "dropping-particle" : "", "family" : "Papaioannou", "given" : "D", "non-dropping-particle" : "", "parse-names" : false, "suffix" : "" } ], "container-title" : "Health Technology Assessment", "id" : "ITEM-1", "issue" : "2", "issued" : { "date-parts" : [ [ "2009" ] ] }, "title" : "Thrombophilia testing in people with venous thromboembolism: systematic review and cost-effectiveness analysis", "type" : "article-journal", "volume" : "13" }, "uris" : [ "http://www.mendeley.com/documents/?uuid=dbac3526-14ee-4ea7-9960-f60763d63120" ] } ], "mendeley" : { "previouslyFormattedCitation" : "[25]" }, "properties" : { "noteIndex" : 0 }, "schema" : "https://github.com/citation-style-language/schema/raw/master/csl-citation.json" }</w:instrText>
            </w:r>
            <w:r w:rsidRPr="00532F44">
              <w:fldChar w:fldCharType="separate"/>
            </w:r>
            <w:r w:rsidRPr="00B54241">
              <w:rPr>
                <w:noProof/>
              </w:rPr>
              <w:t>[25]</w:t>
            </w:r>
            <w:r w:rsidRPr="00532F44">
              <w:fldChar w:fldCharType="end"/>
            </w:r>
          </w:p>
        </w:tc>
      </w:tr>
      <w:tr w:rsidR="00EF4E89" w:rsidRPr="00532F44" w:rsidTr="00EF4E89">
        <w:trPr>
          <w:divId w:val="1548566716"/>
          <w:trHeight w:val="612"/>
        </w:trPr>
        <w:tc>
          <w:tcPr>
            <w:tcW w:w="1951" w:type="dxa"/>
            <w:vMerge w:val="restart"/>
          </w:tcPr>
          <w:p w:rsidR="00EF4E89" w:rsidRPr="00532F44" w:rsidRDefault="00EF4E89" w:rsidP="00EF4E89">
            <w:pPr>
              <w:rPr>
                <w:b/>
              </w:rPr>
            </w:pPr>
            <w:r w:rsidRPr="00532F44">
              <w:rPr>
                <w:b/>
              </w:rPr>
              <w:t>Utilities</w:t>
            </w:r>
          </w:p>
        </w:tc>
        <w:tc>
          <w:tcPr>
            <w:tcW w:w="3497" w:type="dxa"/>
          </w:tcPr>
          <w:p w:rsidR="00EF4E89" w:rsidRPr="00532F44" w:rsidRDefault="00EF4E89" w:rsidP="00EF4E89">
            <w:r w:rsidRPr="00532F44">
              <w:t>Baseline utilities by age and gender</w:t>
            </w:r>
          </w:p>
        </w:tc>
        <w:tc>
          <w:tcPr>
            <w:tcW w:w="4299" w:type="dxa"/>
          </w:tcPr>
          <w:p w:rsidR="00EF4E89" w:rsidRPr="00532F44" w:rsidRDefault="00EF4E89" w:rsidP="00EF4E89">
            <w:r w:rsidRPr="00532F44">
              <w:t>Regression based approach</w:t>
            </w:r>
            <w:r>
              <w:t xml:space="preserve">, described in full in the reference. </w:t>
            </w:r>
            <w:proofErr w:type="spellStart"/>
            <w:r>
              <w:t>HRQoL</w:t>
            </w:r>
            <w:proofErr w:type="spellEnd"/>
            <w:r>
              <w:t xml:space="preserve"> is estimated as a function of age and gender, using the equation for the general population.</w:t>
            </w:r>
          </w:p>
        </w:tc>
        <w:tc>
          <w:tcPr>
            <w:tcW w:w="3969" w:type="dxa"/>
          </w:tcPr>
          <w:p w:rsidR="00EF4E89" w:rsidRPr="00532F44" w:rsidRDefault="00EF4E89" w:rsidP="00EF4E89">
            <w:proofErr w:type="spellStart"/>
            <w:r w:rsidRPr="00532F44">
              <w:t>Ara</w:t>
            </w:r>
            <w:proofErr w:type="spellEnd"/>
            <w:r w:rsidRPr="00532F44">
              <w:t xml:space="preserve"> et al 2010 </w:t>
            </w:r>
            <w:r w:rsidRPr="00532F44">
              <w:fldChar w:fldCharType="begin" w:fldLock="1"/>
            </w:r>
            <w:r>
              <w:instrText>ADDIN CSL_CITATION { "citationItems" : [ { "id" : "ITEM-1", "itemData" : { "DOI" : "10.1111/j.1524-4733.2010.00700.x", "abstract" : "The methods used to estimate health-state utility values (HSUV) for multiple health conditions can produce very different values. Economic results generated using baselines of perfect health are not comparable with those generated using baselines adjusted to reflect the HSUVs associated with the health condition. Despite this, there is no guidance on the preferred techniques and little research describing the effect on cost per quality adjusted life-year (QALY) results when using the different methods.", "author" : [ { "dropping-particle" : "", "family" : "Ara", "given" : "Roberta", "non-dropping-particle" : "", "parse-names" : false, "suffix" : "" }, { "dropping-particle" : "", "family" : "Brazier", "given" : "John E", "non-dropping-particle" : "", "parse-names" : false, "suffix" : "" } ], "container-title" : "Value in health : the journal of the International Society for Pharmacoeconomics and Outcomes Research", "id" : "ITEM-1", "issue" : "5", "issued" : { "date-parts" : [ [ "2010", "8" ] ] }, "page" : "509-18", "title" : "Populating an economic model with health state utility values: moving toward better practice.", "type" : "article-journal", "volume" : "13" }, "uris" : [ "http://www.mendeley.com/documents/?uuid=bfe4d3b7-823a-4c85-b21f-49ab22620108" ] } ], "mendeley" : { "previouslyFormattedCitation" : "[26]" }, "properties" : { "noteIndex" : 0 }, "schema" : "https://github.com/citation-style-language/schema/raw/master/csl-citation.json" }</w:instrText>
            </w:r>
            <w:r w:rsidRPr="00532F44">
              <w:fldChar w:fldCharType="separate"/>
            </w:r>
            <w:r w:rsidRPr="00B54241">
              <w:rPr>
                <w:noProof/>
              </w:rPr>
              <w:t>[26]</w:t>
            </w:r>
            <w:r w:rsidRPr="00532F44">
              <w:fldChar w:fldCharType="end"/>
            </w:r>
          </w:p>
          <w:p w:rsidR="00EF4E89" w:rsidRPr="00532F44" w:rsidRDefault="00EF4E89" w:rsidP="00EF4E89"/>
        </w:tc>
      </w:tr>
      <w:tr w:rsidR="00EF4E89" w:rsidRPr="00532F44" w:rsidTr="00EF4E89">
        <w:trPr>
          <w:divId w:val="1548566716"/>
          <w:trHeight w:val="122"/>
        </w:trPr>
        <w:tc>
          <w:tcPr>
            <w:tcW w:w="1951" w:type="dxa"/>
            <w:vMerge/>
          </w:tcPr>
          <w:p w:rsidR="00EF4E89" w:rsidRPr="00532F44" w:rsidRDefault="00EF4E89" w:rsidP="00EF4E89"/>
        </w:tc>
        <w:tc>
          <w:tcPr>
            <w:tcW w:w="3497" w:type="dxa"/>
          </w:tcPr>
          <w:p w:rsidR="00EF4E89" w:rsidRPr="00532F44" w:rsidRDefault="00EF4E89" w:rsidP="00EF4E89">
            <w:r w:rsidRPr="00532F44">
              <w:t>Utility multiplier following stroke, utility multiplier following major non-fatal intracranial bleed</w:t>
            </w:r>
          </w:p>
        </w:tc>
        <w:tc>
          <w:tcPr>
            <w:tcW w:w="4299" w:type="dxa"/>
          </w:tcPr>
          <w:p w:rsidR="00EF4E89" w:rsidRDefault="00EF4E89" w:rsidP="00EF4E89">
            <w:pPr>
              <w:jc w:val="left"/>
            </w:pPr>
            <w:r w:rsidRPr="00532F44">
              <w:t>Simulation &amp; mapping based approach</w:t>
            </w:r>
            <w:r>
              <w:t xml:space="preserve"> described in an upcoming report. </w:t>
            </w:r>
          </w:p>
          <w:p w:rsidR="00EF4E89" w:rsidRPr="00532F44" w:rsidRDefault="00EF4E89" w:rsidP="00EF4E89">
            <w:pPr>
              <w:jc w:val="left"/>
            </w:pPr>
            <w:r>
              <w:t xml:space="preserve">Utility multipliers (95% </w:t>
            </w:r>
            <w:proofErr w:type="spellStart"/>
            <w:r>
              <w:t>CrIs</w:t>
            </w:r>
            <w:proofErr w:type="spellEnd"/>
            <w:r>
              <w:t>) were estimated to be 0.822 (0.819 to 0.824) for an independent state following a stroke, and 0.482 (0.477 to 0.487) for a dependent state following a stroke.</w:t>
            </w:r>
          </w:p>
        </w:tc>
        <w:tc>
          <w:tcPr>
            <w:tcW w:w="3969" w:type="dxa"/>
          </w:tcPr>
          <w:p w:rsidR="00EF4E89" w:rsidRPr="00532F44" w:rsidRDefault="00EF4E89" w:rsidP="00EF4E89">
            <w:r w:rsidRPr="00532F44">
              <w:t xml:space="preserve">Method described in report results published in </w:t>
            </w:r>
          </w:p>
          <w:p w:rsidR="00EF4E89" w:rsidRPr="00532F44" w:rsidRDefault="00EF4E89" w:rsidP="00EF4E89">
            <w:proofErr w:type="spellStart"/>
            <w:r w:rsidRPr="00532F44">
              <w:t>Rivero</w:t>
            </w:r>
            <w:proofErr w:type="spellEnd"/>
            <w:r w:rsidRPr="00532F44">
              <w:t xml:space="preserve">-Arias et al 2010 </w:t>
            </w:r>
            <w:r w:rsidRPr="00532F44">
              <w:fldChar w:fldCharType="begin" w:fldLock="1"/>
            </w:r>
            <w:r>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"[24]" }, "properties" : { "noteIndex" : 0 }, "schema" : "https://github.com/citation-style-language/schema/raw/master/csl-citation.json" }</w:instrText>
            </w:r>
            <w:r w:rsidRPr="00532F44">
              <w:fldChar w:fldCharType="separate"/>
            </w:r>
            <w:r w:rsidRPr="00B54241">
              <w:rPr>
                <w:noProof/>
              </w:rPr>
              <w:t>[24]</w:t>
            </w:r>
            <w:r w:rsidRPr="00532F44">
              <w:fldChar w:fldCharType="end"/>
            </w:r>
          </w:p>
        </w:tc>
      </w:tr>
      <w:tr w:rsidR="00EF4E89" w:rsidRPr="00532F44" w:rsidTr="00EF4E89">
        <w:trPr>
          <w:divId w:val="1548566716"/>
          <w:trHeight w:val="304"/>
        </w:trPr>
        <w:tc>
          <w:tcPr>
            <w:tcW w:w="1951" w:type="dxa"/>
            <w:vMerge w:val="restart"/>
          </w:tcPr>
          <w:p w:rsidR="00EF4E89" w:rsidRPr="00532F44" w:rsidRDefault="00EF4E89" w:rsidP="00EF4E89">
            <w:pPr>
              <w:rPr>
                <w:b/>
              </w:rPr>
            </w:pPr>
            <w:r w:rsidRPr="00532F44">
              <w:rPr>
                <w:b/>
              </w:rPr>
              <w:t>Costs</w:t>
            </w:r>
          </w:p>
        </w:tc>
        <w:tc>
          <w:tcPr>
            <w:tcW w:w="3497" w:type="dxa"/>
          </w:tcPr>
          <w:p w:rsidR="00EF4E89" w:rsidRPr="00532F44" w:rsidRDefault="00EF4E89" w:rsidP="00EF4E89">
            <w:r w:rsidRPr="00532F44">
              <w:t xml:space="preserve">Annual cost of </w:t>
            </w:r>
            <w:proofErr w:type="spellStart"/>
            <w:r w:rsidRPr="00532F44">
              <w:t>dabigatran</w:t>
            </w:r>
            <w:proofErr w:type="spellEnd"/>
          </w:p>
        </w:tc>
        <w:tc>
          <w:tcPr>
            <w:tcW w:w="4299" w:type="dxa"/>
          </w:tcPr>
          <w:p w:rsidR="00EF4E89" w:rsidRPr="00532F44" w:rsidRDefault="00EF4E89" w:rsidP="00EF4E89">
            <w:r w:rsidRPr="00532F44">
              <w:t>£</w:t>
            </w:r>
            <w:r>
              <w:t>920. A fixed cost was assumed.</w:t>
            </w:r>
          </w:p>
        </w:tc>
        <w:tc>
          <w:tcPr>
            <w:tcW w:w="3969" w:type="dxa"/>
          </w:tcPr>
          <w:p w:rsidR="00EF4E89" w:rsidRPr="00532F44" w:rsidRDefault="00EF4E89" w:rsidP="00EF4E89">
            <w:r w:rsidRPr="00532F44">
              <w:t xml:space="preserve">NICE FAD, 2011   </w:t>
            </w:r>
            <w:r w:rsidRPr="00532F44">
              <w:fldChar w:fldCharType="begin" w:fldLock="1"/>
            </w:r>
            <w:r>
              <w:instrText>ADDIN CSL_CITATION { "citationItems" : [ { "id" : "ITEM-1", "itemData" : { "author" : [ { "dropping-particle" : "", "family" : "NICE", "given" : "", "non-dropping-particle" : "", "parse-names" : false, "suffix" : "" } ], "id" : "ITEM-1", "issue" : "12 January", "issued" : { "date-parts" : [ [ "2011" ] ] }, "title" : "Dabigatran etexilate for the prevention of stroke and systemic embolism in atrial fibrillation: Final appraisal determination", "type" : "article", "volume" : "2012" }, "uris" : [ "http://www.mendeley.com/documents/?uuid=6d827589-3505-4467-8e9e-7bf24f2e9e81" ] } ], "mendeley" : { "previouslyFormattedCitation" : "[27]" }, "properties" : { "noteIndex" : 0 }, "schema" : "https://github.com/citation-style-language/schema/raw/master/csl-citation.json" }</w:instrText>
            </w:r>
            <w:r w:rsidRPr="00532F44">
              <w:fldChar w:fldCharType="separate"/>
            </w:r>
            <w:r w:rsidRPr="00B54241">
              <w:rPr>
                <w:noProof/>
              </w:rPr>
              <w:t>[27]</w:t>
            </w:r>
            <w:r w:rsidRPr="00532F44">
              <w:fldChar w:fldCharType="end"/>
            </w:r>
          </w:p>
        </w:tc>
      </w:tr>
      <w:tr w:rsidR="00EF4E89" w:rsidRPr="00532F44" w:rsidTr="00EF4E89">
        <w:trPr>
          <w:divId w:val="1548566716"/>
          <w:trHeight w:val="231"/>
        </w:trPr>
        <w:tc>
          <w:tcPr>
            <w:tcW w:w="1951" w:type="dxa"/>
            <w:vMerge/>
          </w:tcPr>
          <w:p w:rsidR="00EF4E89" w:rsidRPr="00532F44" w:rsidRDefault="00EF4E89" w:rsidP="00EF4E89"/>
        </w:tc>
        <w:tc>
          <w:tcPr>
            <w:tcW w:w="3497" w:type="dxa"/>
          </w:tcPr>
          <w:p w:rsidR="00EF4E89" w:rsidRPr="00532F44" w:rsidRDefault="00EF4E89" w:rsidP="00EF4E89">
            <w:r>
              <w:t xml:space="preserve">Annual cost of </w:t>
            </w:r>
            <w:proofErr w:type="spellStart"/>
            <w:r>
              <w:t>rivaroxaban</w:t>
            </w:r>
            <w:proofErr w:type="spellEnd"/>
          </w:p>
        </w:tc>
        <w:tc>
          <w:tcPr>
            <w:tcW w:w="4299" w:type="dxa"/>
          </w:tcPr>
          <w:p w:rsidR="00EF4E89" w:rsidRPr="00532F44" w:rsidRDefault="00EF4E89" w:rsidP="00EF4E89">
            <w:r>
              <w:t>£767. A fixed cost was assumed.</w:t>
            </w:r>
          </w:p>
        </w:tc>
        <w:tc>
          <w:tcPr>
            <w:tcW w:w="3969" w:type="dxa"/>
          </w:tcPr>
          <w:p w:rsidR="00EF4E89" w:rsidRPr="00532F44" w:rsidRDefault="00EF4E89" w:rsidP="00EF4E89">
            <w:r>
              <w:t xml:space="preserve">London New Drugs Group </w:t>
            </w:r>
            <w:r>
              <w:fldChar w:fldCharType="begin" w:fldLock="1"/>
            </w:r>
            <w:r>
              <w:instrText>ADDIN CSL_CITATION { "citationItems" : [ { "id" : "ITEM-1", "itemData" : { "author" : [ { "dropping-particle" : "", "family" : "Group", "given" : "London New Drugs", "non-dropping-particle" : "", "parse-names" : false, "suffix" : "" } ], "id" : "ITEM-1", "issue" : "2 February", "issued" : { "date-parts" : [ [ "2012" ] ] }, "publisher" : "UKMI", "publisher-place" : "London", "title" : "A briefing paper on Dabigatran and Rivaroxaban: What we know so far...", "type" : "article", "volume" : "2012" }, "uris" : [ "http://www.mendeley.com/documents/?uuid=6da80716-8a4b-4d44-aaf3-c1d24ea8c9b8" ] } ], "mendeley" : { "previouslyFormattedCitation" : "[28]" }, "properties" : { "noteIndex" : 0 }, "schema" : "https://github.com/citation-style-language/schema/raw/master/csl-citation.json" }</w:instrText>
            </w:r>
            <w:r>
              <w:fldChar w:fldCharType="separate"/>
            </w:r>
            <w:r w:rsidRPr="00B54241">
              <w:rPr>
                <w:noProof/>
              </w:rPr>
              <w:t>[28]</w:t>
            </w:r>
            <w:r>
              <w:fldChar w:fldCharType="end"/>
            </w:r>
          </w:p>
        </w:tc>
      </w:tr>
      <w:tr w:rsidR="00EF4E89" w:rsidRPr="00532F44" w:rsidTr="00EF4E89">
        <w:trPr>
          <w:divId w:val="1548566716"/>
          <w:trHeight w:val="231"/>
        </w:trPr>
        <w:tc>
          <w:tcPr>
            <w:tcW w:w="1951" w:type="dxa"/>
            <w:vMerge/>
          </w:tcPr>
          <w:p w:rsidR="00EF4E89" w:rsidRPr="00532F44" w:rsidRDefault="00EF4E89" w:rsidP="00EF4E89"/>
        </w:tc>
        <w:tc>
          <w:tcPr>
            <w:tcW w:w="3497" w:type="dxa"/>
          </w:tcPr>
          <w:p w:rsidR="00EF4E89" w:rsidRDefault="00EF4E89" w:rsidP="00EF4E89">
            <w:r>
              <w:t>Annual cost of warfarin</w:t>
            </w:r>
          </w:p>
        </w:tc>
        <w:tc>
          <w:tcPr>
            <w:tcW w:w="4299" w:type="dxa"/>
          </w:tcPr>
          <w:p w:rsidR="00EF4E89" w:rsidRDefault="00EF4E89" w:rsidP="00EF4E89">
            <w:r>
              <w:t>£252 to £259 including monitoring costs. A uniform distribution was assumed.</w:t>
            </w:r>
          </w:p>
        </w:tc>
        <w:tc>
          <w:tcPr>
            <w:tcW w:w="3969" w:type="dxa"/>
          </w:tcPr>
          <w:p w:rsidR="00EF4E89" w:rsidRPr="00532F44" w:rsidRDefault="00EF4E89" w:rsidP="00EF4E89">
            <w:r>
              <w:t xml:space="preserve">BNF </w:t>
            </w:r>
            <w:r>
              <w:fldChar w:fldCharType="begin" w:fldLock="1"/>
            </w:r>
            <w:r>
              <w:instrText>ADDIN CSL_CITATION { "citationItems" : [ { "id" : "ITEM-1", "itemData" : { "author" : [ { "dropping-particle" : "", "family" : "BNF", "given" : "", "non-dropping-particle" : "", "parse-names" : false, "suffix" : "" } ], "id" : "ITEM-1", "issue" : "18 January", "issued" : { "date-parts" : [ [ "2011" ] ] }, "note" : "Tablets, warfarin sodium 500 micrograms (white), net price 28-tab pack = \u00a31.67; 1 mg (brown), 28-tab pack = 86p; 3 mg (blue), 28-tab pack = 86p; 5 mg (pink), 28-tab pack = 92p. Label: 10, anticoagulant card\nBrands include Marevan\u00ae\nOral suspension, warfarin sodium 5 mg/5 mL, net price 150 mL = \u00a390.00. Label: 10, anticoagulant card", "title" : "Warfarin", "type" : "article", "volume" : "2012" }, "uris" : [ "http://www.mendeley.com/documents/?uuid=cec702a9-a87f-424a-b46c-3f39d2e26706" ] } ], "mendeley" : { "previouslyFormattedCitation" : "[29]" }, "properties" : { "noteIndex" : 0 }, "schema" : "https://github.com/citation-style-language/schema/raw/master/csl-citation.json" }</w:instrText>
            </w:r>
            <w:r>
              <w:fldChar w:fldCharType="separate"/>
            </w:r>
            <w:r w:rsidRPr="00B54241">
              <w:rPr>
                <w:noProof/>
              </w:rPr>
              <w:t>[29]</w:t>
            </w:r>
            <w:r>
              <w:fldChar w:fldCharType="end"/>
            </w:r>
          </w:p>
        </w:tc>
      </w:tr>
      <w:tr w:rsidR="00EF4E89" w:rsidRPr="00532F44" w:rsidTr="00EF4E89">
        <w:trPr>
          <w:divId w:val="1548566716"/>
          <w:trHeight w:val="231"/>
        </w:trPr>
        <w:tc>
          <w:tcPr>
            <w:tcW w:w="1951" w:type="dxa"/>
            <w:vMerge/>
          </w:tcPr>
          <w:p w:rsidR="00EF4E89" w:rsidRPr="00532F44" w:rsidRDefault="00EF4E89" w:rsidP="00EF4E89"/>
        </w:tc>
        <w:tc>
          <w:tcPr>
            <w:tcW w:w="3497" w:type="dxa"/>
          </w:tcPr>
          <w:p w:rsidR="00EF4E89" w:rsidRPr="00621BC9" w:rsidRDefault="00EF4E89" w:rsidP="00EF4E89">
            <w:r w:rsidRPr="00621BC9">
              <w:t>Cost of TTE</w:t>
            </w:r>
          </w:p>
        </w:tc>
        <w:tc>
          <w:tcPr>
            <w:tcW w:w="4299" w:type="dxa"/>
          </w:tcPr>
          <w:p w:rsidR="00EF4E89" w:rsidRPr="00532F44" w:rsidRDefault="00EF4E89" w:rsidP="00EF4E89">
            <w:r w:rsidRPr="00532F44">
              <w:t>£66</w:t>
            </w:r>
          </w:p>
        </w:tc>
        <w:tc>
          <w:tcPr>
            <w:tcW w:w="3969" w:type="dxa"/>
          </w:tcPr>
          <w:p w:rsidR="00EF4E89" w:rsidRPr="00532F44" w:rsidRDefault="00EF4E89" w:rsidP="00EF4E89">
            <w:r w:rsidRPr="00532F44">
              <w:t xml:space="preserve">NHS Reference Costs </w:t>
            </w:r>
            <w:r>
              <w:fldChar w:fldCharType="begin" w:fldLock="1"/>
            </w:r>
            <w:r>
              <w:instrText>ADDIN CSL_CITATION { "citationItems" : [ { "id" : "ITEM-1", "itemData" : { "author" : [ { "dropping-particle" : "", "family" : "DoH", "given" : "", "non-dropping-particle" : "", "parse-names" : false, "suffix" : "" } ], "id" : "ITEM-1", "issue" : "12 January", "issued" : { "date-parts" : [ [ "2011" ] ] }, "publisher" : "Crown", "publisher-place" : "London", "title" : "NHS Reference Costs 2009-2010", "type" : "article", "volume" : "2012" }, "uris" : [ "http://www.mendeley.com/documents/?uuid=83ecf639-a58b-4bc0-9392-407007d1467d" ] } ], "mendeley" : { "previouslyFormattedCitation" : "[20]" }, "properties" : { "noteIndex" : 0 }, "schema" : "https://github.com/citation-style-language/schema/raw/master/csl-citation.json" }</w:instrText>
            </w:r>
            <w:r>
              <w:fldChar w:fldCharType="separate"/>
            </w:r>
            <w:r w:rsidRPr="00B54241">
              <w:rPr>
                <w:noProof/>
              </w:rPr>
              <w:t>[20]</w:t>
            </w:r>
            <w:r>
              <w:fldChar w:fldCharType="end"/>
            </w:r>
          </w:p>
        </w:tc>
      </w:tr>
      <w:tr w:rsidR="00EF4E89" w:rsidRPr="00532F44" w:rsidTr="00EF4E89">
        <w:trPr>
          <w:divId w:val="1548566716"/>
          <w:trHeight w:val="399"/>
        </w:trPr>
        <w:tc>
          <w:tcPr>
            <w:tcW w:w="1951" w:type="dxa"/>
            <w:vMerge/>
          </w:tcPr>
          <w:p w:rsidR="00EF4E89" w:rsidRPr="00532F44" w:rsidRDefault="00EF4E89" w:rsidP="00EF4E89"/>
        </w:tc>
        <w:tc>
          <w:tcPr>
            <w:tcW w:w="3497" w:type="dxa"/>
          </w:tcPr>
          <w:p w:rsidR="00EF4E89" w:rsidRPr="00532F44" w:rsidRDefault="00EF4E89" w:rsidP="00EF4E89">
            <w:r w:rsidRPr="00532F44">
              <w:t>Cost of death due to stroke</w:t>
            </w:r>
          </w:p>
        </w:tc>
        <w:tc>
          <w:tcPr>
            <w:tcW w:w="4299" w:type="dxa"/>
          </w:tcPr>
          <w:p w:rsidR="00EF4E89" w:rsidRPr="00532F44" w:rsidRDefault="00EF4E89" w:rsidP="00EF4E89">
            <w:r w:rsidRPr="00532F44">
              <w:t xml:space="preserve">£7,019 (95% </w:t>
            </w:r>
            <w:proofErr w:type="spellStart"/>
            <w:r w:rsidRPr="00532F44">
              <w:t>CrI</w:t>
            </w:r>
            <w:proofErr w:type="spellEnd"/>
            <w:r w:rsidRPr="00532F44">
              <w:t xml:space="preserve"> £6,975 to £7,064)</w:t>
            </w:r>
          </w:p>
        </w:tc>
        <w:tc>
          <w:tcPr>
            <w:tcW w:w="3969" w:type="dxa"/>
          </w:tcPr>
          <w:p w:rsidR="00EF4E89" w:rsidRPr="00532F44" w:rsidRDefault="00EF4E89" w:rsidP="00EF4E89">
            <w:proofErr w:type="spellStart"/>
            <w:r w:rsidRPr="00532F44">
              <w:t>Sandercock</w:t>
            </w:r>
            <w:proofErr w:type="spellEnd"/>
            <w:r w:rsidRPr="00532F44">
              <w:t xml:space="preserve"> et al 2002 </w:t>
            </w:r>
            <w:r w:rsidRPr="00532F44">
              <w:fldChar w:fldCharType="begin" w:fldLock="1"/>
            </w:r>
            <w:r>
              <w:instrText>ADDIN CSL_CITATION { "citationItems" : [ { "id" : "ITEM-1", "itemData" : { "author" : [ { "dropping-particle" : "", "family" : "Sandercock", "given" : "P", "non-dropping-particle" : "", "parse-names" : false, "suffix" : "" }, { "dropping-particle" : "", "family" : "Berge", "given" : "E", "non-dropping-particle" : "", "parse-names" : false, "suffix" : "" }, { "dropping-particle" : "", "family" : "Dennis", "given" : "M", "non-dropping-particle" : "", "parse-names" : false, "suffix" : "" }, { "dropping-particle" : "", "family" : "Forbes", "given" : "J", "non-dropping-particle" : "", "parse-names" : false, "suffix" : "" }, { "dropping-particle" : "", "family" : "Hand", "given" : "P", "non-dropping-particle" : "", "parse-names" : false, "suffix" : "" }, { "dropping-particle" : "", "family" : "Kwan", "given" : "J", "non-dropping-particle" : "", "parse-names" : false, "suffix" : "" }, { "dropping-particle" : "", "family" : "Lewis", "given" : "S", "non-dropping-particle" : "", "parse-names" : false, "suffix" : "" }, { "dropping-particle" : "", "family" : "Lindley", "given" : "R", "non-dropping-particle" : "", "parse-names" : false, "suffix" : "" }, { "dropping-particle" : "", "family" : "Neilson", "given" : "A", "non-dropping-particle" : "", "parse-names" : false, "suffix" : "" }, { "dropping-particle" : "", "family" : "Thomas", "given" : "B", "non-dropping-particle" : "", "parse-names" : false, "suffix" : "" }, { "dropping-particle" : "", "family" : "Wardlaw", "given" : "J", "non-dropping-particle" : "", "parse-names" : false, "suffix" : "" } ], "container-title" : "Health Technology Assessment", "id" : "ITEM-1", "issue" : "26", "issued" : { "date-parts" : [ [ "2002" ] ] }, "title" : "A systematic review of the effectiveness, cost-effectiveness and barriers to implementation of thrombolytic and neuroprotective therapy for acute ischaemic stroke in the NHS", "type" : "article-journal", "volume" : "6" }, "uris" : [ "http://www.mendeley.com/documents/?uuid=bd4d8f3a-ea79-42f8-98dd-23e6f4f46cb5" ] } ], "mendeley" : { "previouslyFormattedCitation" : "[30]" }, "properties" : { "noteIndex" : 0 }, "schema" : "https://github.com/citation-style-language/schema/raw/master/csl-citation.json" }</w:instrText>
            </w:r>
            <w:r w:rsidRPr="00532F44">
              <w:fldChar w:fldCharType="separate"/>
            </w:r>
            <w:r w:rsidRPr="00B54241">
              <w:rPr>
                <w:noProof/>
              </w:rPr>
              <w:t>[30]</w:t>
            </w:r>
            <w:r w:rsidRPr="00532F44">
              <w:fldChar w:fldCharType="end"/>
            </w:r>
          </w:p>
        </w:tc>
      </w:tr>
      <w:tr w:rsidR="00EF4E89" w:rsidRPr="00532F44" w:rsidTr="00EF4E89">
        <w:trPr>
          <w:divId w:val="1548566716"/>
          <w:trHeight w:val="699"/>
        </w:trPr>
        <w:tc>
          <w:tcPr>
            <w:tcW w:w="1951" w:type="dxa"/>
            <w:vMerge/>
          </w:tcPr>
          <w:p w:rsidR="00EF4E89" w:rsidRPr="00532F44" w:rsidRDefault="00EF4E89" w:rsidP="00EF4E89"/>
        </w:tc>
        <w:tc>
          <w:tcPr>
            <w:tcW w:w="3497" w:type="dxa"/>
          </w:tcPr>
          <w:p w:rsidR="00EF4E89" w:rsidRPr="00532F44" w:rsidRDefault="00EF4E89" w:rsidP="00EF4E89">
            <w:r w:rsidRPr="00532F44">
              <w:t>Costs in stroke survivors</w:t>
            </w:r>
          </w:p>
        </w:tc>
        <w:tc>
          <w:tcPr>
            <w:tcW w:w="4299" w:type="dxa"/>
          </w:tcPr>
          <w:p w:rsidR="00EF4E89" w:rsidRDefault="00EF4E89" w:rsidP="00EF4E89">
            <w:r w:rsidRPr="00532F44">
              <w:t xml:space="preserve">Various. Differing according to dependent and independent states. Subdivided into </w:t>
            </w:r>
            <w:r>
              <w:t xml:space="preserve">one-off </w:t>
            </w:r>
            <w:r w:rsidRPr="00532F44">
              <w:t>and continuing costs</w:t>
            </w:r>
            <w:r>
              <w:t xml:space="preserve">. Estimates (95% </w:t>
            </w:r>
            <w:proofErr w:type="spellStart"/>
            <w:r>
              <w:t>CrIs</w:t>
            </w:r>
            <w:proofErr w:type="spellEnd"/>
            <w:r>
              <w:t>) are as follows:</w:t>
            </w:r>
          </w:p>
          <w:p w:rsidR="00EF4E89" w:rsidRDefault="00EF4E89" w:rsidP="00EF4E89">
            <w:r>
              <w:lastRenderedPageBreak/>
              <w:t>Dependent stroke, one-off costs: £2830 (£2708 to £2952)</w:t>
            </w:r>
          </w:p>
          <w:p w:rsidR="00EF4E89" w:rsidRDefault="00EF4E89" w:rsidP="00EF4E89">
            <w:r>
              <w:t>Dependent stroke, continuing annual cost: £6386 (£5749 to £7023)</w:t>
            </w:r>
          </w:p>
          <w:p w:rsidR="00EF4E89" w:rsidRDefault="00EF4E89" w:rsidP="00EF4E89">
            <w:r>
              <w:t>Independent stroke, one-off costs: £542 (£513 to £571)</w:t>
            </w:r>
          </w:p>
          <w:p w:rsidR="00EF4E89" w:rsidRPr="00532F44" w:rsidRDefault="00EF4E89" w:rsidP="00EF4E89">
            <w:r>
              <w:t>Independent stroke, continuing annual cost: £3195 (£2871 to £3518)</w:t>
            </w:r>
          </w:p>
        </w:tc>
        <w:tc>
          <w:tcPr>
            <w:tcW w:w="3969" w:type="dxa"/>
          </w:tcPr>
          <w:p w:rsidR="00EF4E89" w:rsidRPr="00532F44" w:rsidRDefault="00EF4E89" w:rsidP="00EF4E89">
            <w:r w:rsidRPr="00532F44">
              <w:lastRenderedPageBreak/>
              <w:t xml:space="preserve">NHS Reference Costs </w:t>
            </w:r>
            <w:r w:rsidRPr="00532F44">
              <w:fldChar w:fldCharType="begin" w:fldLock="1"/>
            </w:r>
            <w:r>
              <w:instrText>ADDIN CSL_CITATION { "citationItems" : [ { "id" : "ITEM-1", "itemData" : { "author" : [ { "dropping-particle" : "", "family" : "DoH", "given" : "", "non-dropping-particle" : "", "parse-names" : false, "suffix" : "" } ], "id" : "ITEM-1", "issue" : "12 January", "issued" : { "date-parts" : [ [ "2011" ] ] }, "publisher" : "Crown", "publisher-place" : "London", "title" : "NHS Reference Costs 2009-2010", "type" : "article", "volume" : "2012" }, "uris" : [ "http://www.mendeley.com/documents/?uuid=83ecf639-a58b-4bc0-9392-407007d1467d" ] } ], "mendeley" : { "previouslyFormattedCitation" : "[20]" }, "properties" : { "noteIndex" : 0 }, "schema" : "https://github.com/citation-style-language/schema/raw/master/csl-citation.json" }</w:instrText>
            </w:r>
            <w:r w:rsidRPr="00532F44">
              <w:fldChar w:fldCharType="separate"/>
            </w:r>
            <w:r w:rsidRPr="00B54241">
              <w:rPr>
                <w:noProof/>
              </w:rPr>
              <w:t>[20]</w:t>
            </w:r>
            <w:r w:rsidRPr="00532F44">
              <w:fldChar w:fldCharType="end"/>
            </w:r>
          </w:p>
          <w:p w:rsidR="00EF4E89" w:rsidRPr="00532F44" w:rsidRDefault="00EF4E89" w:rsidP="00EF4E89">
            <w:r w:rsidRPr="00532F44">
              <w:t xml:space="preserve">NHS Stroke Strategy Impact Assessment  </w:t>
            </w:r>
            <w:r w:rsidRPr="00532F44">
              <w:fldChar w:fldCharType="begin" w:fldLock="1"/>
            </w:r>
            <w:r>
              <w:instrText>ADDIN CSL_CITATION { "citationItems" : [ { "id" : "ITEM-1", "itemData" : { "author" : [ { "dropping-particle" : "", "family" : "NHS", "given" : "", "non-dropping-particle" : "", "parse-names" : false, "suffix" : "" } ], "id" : "ITEM-1", "issue" : "13 January", "issued" : { "date-parts" : [ [ "2007" ] ] }, "title" : "National Stroke Strategy Impact Assessment", "type" : "article", "volume" : "2012" }, "uris" : [ "http://www.mendeley.com/documents/?uuid=a0421089-5288-4a8d-a7a4-42744d167907" ] } ], "mendeley" : { "previouslyFormattedCitation" : "[31]" }, "properties" : { "noteIndex" : 0 }, "schema" : "https://github.com/citation-style-language/schema/raw/master/csl-citation.json" }</w:instrText>
            </w:r>
            <w:r w:rsidRPr="00532F44">
              <w:fldChar w:fldCharType="separate"/>
            </w:r>
            <w:r w:rsidRPr="00B54241">
              <w:rPr>
                <w:noProof/>
              </w:rPr>
              <w:t>[31]</w:t>
            </w:r>
            <w:r w:rsidRPr="00532F44">
              <w:fldChar w:fldCharType="end"/>
            </w:r>
          </w:p>
          <w:p w:rsidR="00EF4E89" w:rsidRPr="00532F44" w:rsidRDefault="00EF4E89" w:rsidP="00EF4E89">
            <w:r w:rsidRPr="00532F44">
              <w:t xml:space="preserve">Unit Costs of Health and Social Care 2010 </w:t>
            </w:r>
            <w:r w:rsidRPr="00532F44">
              <w:fldChar w:fldCharType="begin" w:fldLock="1"/>
            </w:r>
            <w:r>
              <w:instrText>ADDIN CSL_CITATION { "citationItems" : [ { "id" : "ITEM-1", "itemData" : { "author" : [ { "dropping-particle" : "", "family" : "Curtis", "given" : "L", "non-dropping-particle" : "", "parse-names" : false, "suffix" : "" } ], "id" : "ITEM-1", "issued" : { "date-parts" : [ [ "2010" ] ] }, "page" : "257", "publisher-place" : "Kent", "title" : "Unit Costs of Health and Social Care 2010", "type" : "report" }, "uris" : [ "http://www.mendeley.com/documents/?uuid=83ce0d2a-1f8f-4642-908d-f6d610aa3940" ] } ], "mendeley" : { "previouslyFormattedCitation" : "[32]" }, "properties" : { "noteIndex" : 0 }, "schema" : "https://github.com/citation-style-language/schema/raw/master/csl-citation.json" }</w:instrText>
            </w:r>
            <w:r w:rsidRPr="00532F44">
              <w:fldChar w:fldCharType="separate"/>
            </w:r>
            <w:r w:rsidRPr="00B54241">
              <w:rPr>
                <w:noProof/>
              </w:rPr>
              <w:t>[32]</w:t>
            </w:r>
            <w:r w:rsidRPr="00532F44">
              <w:fldChar w:fldCharType="end"/>
            </w:r>
          </w:p>
        </w:tc>
      </w:tr>
      <w:tr w:rsidR="00EF4E89" w:rsidRPr="00532F44" w:rsidTr="00EF4E89">
        <w:trPr>
          <w:divId w:val="1548566716"/>
          <w:trHeight w:val="231"/>
        </w:trPr>
        <w:tc>
          <w:tcPr>
            <w:tcW w:w="1951" w:type="dxa"/>
            <w:vMerge/>
          </w:tcPr>
          <w:p w:rsidR="00EF4E89" w:rsidRPr="00532F44" w:rsidRDefault="00EF4E89" w:rsidP="00EF4E89"/>
        </w:tc>
        <w:tc>
          <w:tcPr>
            <w:tcW w:w="3497" w:type="dxa"/>
          </w:tcPr>
          <w:p w:rsidR="00EF4E89" w:rsidRPr="00532F44" w:rsidRDefault="00EF4E89" w:rsidP="00EF4E89">
            <w:r w:rsidRPr="00532F44">
              <w:t>Costs of fatal bleed</w:t>
            </w:r>
          </w:p>
        </w:tc>
        <w:tc>
          <w:tcPr>
            <w:tcW w:w="8268" w:type="dxa"/>
            <w:gridSpan w:val="2"/>
          </w:tcPr>
          <w:p w:rsidR="00EF4E89" w:rsidRPr="00532F44" w:rsidRDefault="00EF4E89" w:rsidP="00EF4E89">
            <w:r w:rsidRPr="00532F44">
              <w:t>Assumed identical to costs of death due to stroke</w:t>
            </w:r>
          </w:p>
        </w:tc>
      </w:tr>
      <w:tr w:rsidR="00EF4E89" w:rsidRPr="00532F44" w:rsidTr="00EF4E89">
        <w:trPr>
          <w:divId w:val="1548566716"/>
          <w:trHeight w:val="122"/>
        </w:trPr>
        <w:tc>
          <w:tcPr>
            <w:tcW w:w="1951" w:type="dxa"/>
            <w:vMerge/>
          </w:tcPr>
          <w:p w:rsidR="00EF4E89" w:rsidRPr="00532F44" w:rsidRDefault="00EF4E89" w:rsidP="00EF4E89"/>
        </w:tc>
        <w:tc>
          <w:tcPr>
            <w:tcW w:w="3497" w:type="dxa"/>
          </w:tcPr>
          <w:p w:rsidR="00EF4E89" w:rsidRPr="00532F44" w:rsidRDefault="00EF4E89" w:rsidP="00EF4E89">
            <w:r w:rsidRPr="00532F44">
              <w:t>Costs of nonfatal bleed</w:t>
            </w:r>
          </w:p>
        </w:tc>
        <w:tc>
          <w:tcPr>
            <w:tcW w:w="4299" w:type="dxa"/>
          </w:tcPr>
          <w:p w:rsidR="00EF4E89" w:rsidRDefault="00EF4E89" w:rsidP="00EF4E89">
            <w:pPr>
              <w:jc w:val="left"/>
            </w:pPr>
            <w:r>
              <w:t xml:space="preserve">Major bleeds subdivided into gastrointestinal (GI) and intracranial (IC). GI bleeds were assumed to incur a one-off cost but no continuing costs. The one-off cost (95% </w:t>
            </w:r>
            <w:proofErr w:type="spellStart"/>
            <w:r>
              <w:t>CrI</w:t>
            </w:r>
            <w:proofErr w:type="spellEnd"/>
            <w:r>
              <w:t>) was £1261 (£1212 to £1310).</w:t>
            </w:r>
          </w:p>
          <w:p w:rsidR="00EF4E89" w:rsidRDefault="00EF4E89" w:rsidP="00EF4E89">
            <w:pPr>
              <w:jc w:val="left"/>
            </w:pPr>
            <w:r>
              <w:t xml:space="preserve">For IC bleeds, the costs depended on the Glasgow Outcome Scale (GOS) level of disability that they cause, from GOS 2 (most severe) to GOS 5 (least severe). </w:t>
            </w:r>
          </w:p>
          <w:p w:rsidR="00EF4E89" w:rsidRDefault="00EF4E89" w:rsidP="00EF4E89">
            <w:pPr>
              <w:jc w:val="left"/>
            </w:pPr>
            <w:r>
              <w:t xml:space="preserve">The one-off costs (95% </w:t>
            </w:r>
            <w:proofErr w:type="spellStart"/>
            <w:r>
              <w:t>CrIs</w:t>
            </w:r>
            <w:proofErr w:type="spellEnd"/>
            <w:r>
              <w:t>) used were as follows:</w:t>
            </w:r>
          </w:p>
          <w:p w:rsidR="00EF4E89" w:rsidRDefault="00EF4E89" w:rsidP="00EF4E89">
            <w:pPr>
              <w:jc w:val="left"/>
            </w:pPr>
            <w:r>
              <w:t>GOS 2: £46785 (£40895 to £53250)</w:t>
            </w:r>
          </w:p>
          <w:p w:rsidR="00EF4E89" w:rsidRDefault="00EF4E89" w:rsidP="00EF4E89">
            <w:pPr>
              <w:jc w:val="left"/>
            </w:pPr>
            <w:r>
              <w:t>GOS 3: £10096 (£8849 to £11363)</w:t>
            </w:r>
          </w:p>
          <w:p w:rsidR="00EF4E89" w:rsidRDefault="00EF4E89" w:rsidP="00EF4E89">
            <w:pPr>
              <w:jc w:val="left"/>
            </w:pPr>
            <w:r>
              <w:t>GOS 4: £27419 (£22582 to £32964)</w:t>
            </w:r>
          </w:p>
          <w:p w:rsidR="00EF4E89" w:rsidRDefault="00EF4E89" w:rsidP="00EF4E89">
            <w:pPr>
              <w:jc w:val="left"/>
            </w:pPr>
            <w:r>
              <w:t>GOS 5: £1261 (£1211 to £1309)</w:t>
            </w:r>
          </w:p>
          <w:p w:rsidR="00EF4E89" w:rsidRDefault="00EF4E89" w:rsidP="00EF4E89">
            <w:pPr>
              <w:jc w:val="left"/>
            </w:pPr>
          </w:p>
          <w:p w:rsidR="00EF4E89" w:rsidRDefault="00EF4E89" w:rsidP="00EF4E89">
            <w:pPr>
              <w:jc w:val="left"/>
            </w:pPr>
            <w:r>
              <w:lastRenderedPageBreak/>
              <w:t xml:space="preserve">GOS 4 and GOS 5 states were assumed not to have ongoing costs. The ongoing annual costs (95% </w:t>
            </w:r>
            <w:proofErr w:type="spellStart"/>
            <w:r>
              <w:t>CrIs</w:t>
            </w:r>
            <w:proofErr w:type="spellEnd"/>
            <w:r>
              <w:t>) of the other states were as follows:</w:t>
            </w:r>
          </w:p>
          <w:p w:rsidR="00EF4E89" w:rsidRDefault="00EF4E89" w:rsidP="00EF4E89">
            <w:pPr>
              <w:jc w:val="left"/>
            </w:pPr>
            <w:r>
              <w:t>GOS 2: £50047 (£49645 to £50343)</w:t>
            </w:r>
          </w:p>
          <w:p w:rsidR="00EF4E89" w:rsidRPr="00532F44" w:rsidRDefault="00EF4E89" w:rsidP="00EF4E89">
            <w:pPr>
              <w:jc w:val="left"/>
            </w:pPr>
            <w:r>
              <w:t>GOS 3: £33949 (£33843 to £33969)</w:t>
            </w:r>
          </w:p>
        </w:tc>
        <w:tc>
          <w:tcPr>
            <w:tcW w:w="3969" w:type="dxa"/>
          </w:tcPr>
          <w:p w:rsidR="00EF4E89" w:rsidRPr="00532F44" w:rsidRDefault="00EF4E89" w:rsidP="00EF4E89">
            <w:pPr>
              <w:keepNext/>
            </w:pPr>
            <w:r w:rsidRPr="00532F44">
              <w:lastRenderedPageBreak/>
              <w:t xml:space="preserve">NHS Reference Costs </w:t>
            </w:r>
            <w:r w:rsidRPr="00532F44">
              <w:fldChar w:fldCharType="begin" w:fldLock="1"/>
            </w:r>
            <w:r>
              <w:instrText>ADDIN CSL_CITATION { "citationItems" : [ { "id" : "ITEM-1", "itemData" : { "author" : [ { "dropping-particle" : "", "family" : "DoH", "given" : "", "non-dropping-particle" : "", "parse-names" : false, "suffix" : "" } ], "id" : "ITEM-1", "issue" : "12 January", "issued" : { "date-parts" : [ [ "2011" ] ] }, "publisher" : "Crown", "publisher-place" : "London", "title" : "NHS Reference Costs 2009-2010", "type" : "article", "volume" : "2012" }, "uris" : [ "http://www.mendeley.com/documents/?uuid=83ecf639-a58b-4bc0-9392-407007d1467d" ] } ], "mendeley" : { "previouslyFormattedCitation" : "[20]" }, "properties" : { "noteIndex" : 0 }, "schema" : "https://github.com/citation-style-language/schema/raw/master/csl-citation.json" }</w:instrText>
            </w:r>
            <w:r w:rsidRPr="00532F44">
              <w:fldChar w:fldCharType="separate"/>
            </w:r>
            <w:r w:rsidRPr="00B54241">
              <w:rPr>
                <w:noProof/>
              </w:rPr>
              <w:t>[20]</w:t>
            </w:r>
            <w:r w:rsidRPr="00532F44">
              <w:fldChar w:fldCharType="end"/>
            </w:r>
          </w:p>
          <w:p w:rsidR="00EF4E89" w:rsidRPr="00532F44" w:rsidRDefault="00EF4E89" w:rsidP="00EF4E89">
            <w:pPr>
              <w:keepNext/>
            </w:pPr>
          </w:p>
        </w:tc>
      </w:tr>
    </w:tbl>
    <w:p w:rsidR="00EF4E89" w:rsidRPr="00EF4E89" w:rsidRDefault="00EF4E89" w:rsidP="00EF4E89">
      <w:pPr>
        <w:pStyle w:val="Caption"/>
        <w:divId w:val="1548566716"/>
      </w:pPr>
      <w:bookmarkStart w:id="13" w:name="_Ref349918428"/>
      <w:r>
        <w:lastRenderedPageBreak/>
        <w:t xml:space="preserve">Table </w:t>
      </w:r>
      <w:r>
        <w:fldChar w:fldCharType="begin"/>
      </w:r>
      <w:r>
        <w:instrText xml:space="preserve"> SEQ Table \* ARABIC </w:instrText>
      </w:r>
      <w:r>
        <w:fldChar w:fldCharType="separate"/>
      </w:r>
      <w:r w:rsidR="00B66501">
        <w:rPr>
          <w:noProof/>
        </w:rPr>
        <w:t>5</w:t>
      </w:r>
      <w:r>
        <w:fldChar w:fldCharType="end"/>
      </w:r>
      <w:bookmarkEnd w:id="13"/>
      <w:r>
        <w:t xml:space="preserve"> Parameters used in model</w:t>
      </w:r>
    </w:p>
    <w:p w:rsidR="00EF4E89" w:rsidRDefault="00EF4E89" w:rsidP="00EF4E89">
      <w:pPr>
        <w:pStyle w:val="Heading2"/>
        <w:numPr>
          <w:ilvl w:val="0"/>
          <w:numId w:val="0"/>
        </w:numPr>
        <w:divId w:val="1548566716"/>
        <w:rPr>
          <w:lang w:val="en-GB"/>
        </w:rPr>
      </w:pPr>
    </w:p>
    <w:p w:rsidR="00EF4E89" w:rsidRDefault="00EF4E89" w:rsidP="00EF4E89">
      <w:pPr>
        <w:pStyle w:val="Heading2"/>
        <w:numPr>
          <w:ilvl w:val="0"/>
          <w:numId w:val="0"/>
        </w:numPr>
        <w:divId w:val="1548566716"/>
        <w:rPr>
          <w:lang w:val="en-GB"/>
        </w:rPr>
        <w:sectPr w:rsidR="00EF4E89" w:rsidSect="00EF4E89">
          <w:pgSz w:w="16838" w:h="11906" w:orient="landscape"/>
          <w:pgMar w:top="1440" w:right="1440" w:bottom="1440" w:left="1440" w:header="709" w:footer="709" w:gutter="0"/>
          <w:cols w:space="708"/>
          <w:docGrid w:linePitch="360"/>
        </w:sectPr>
      </w:pPr>
    </w:p>
    <w:p w:rsidR="00EF4E89" w:rsidRPr="0031099C" w:rsidRDefault="00C2196C" w:rsidP="00EF4E89">
      <w:pPr>
        <w:pStyle w:val="Heading2"/>
        <w:numPr>
          <w:ilvl w:val="0"/>
          <w:numId w:val="0"/>
        </w:numPr>
        <w:divId w:val="1548566716"/>
        <w:rPr>
          <w:lang w:val="en-GB"/>
        </w:rPr>
      </w:pPr>
      <w:r>
        <w:rPr>
          <w:lang w:val="en-GB"/>
        </w:rPr>
        <w:lastRenderedPageBreak/>
        <w:t xml:space="preserve">Appendix </w:t>
      </w:r>
      <w:r w:rsidR="00EF4E89">
        <w:rPr>
          <w:lang w:val="en-GB"/>
        </w:rPr>
        <w:t xml:space="preserve">B: </w:t>
      </w:r>
      <w:r w:rsidR="00EF4E89" w:rsidRPr="0031099C">
        <w:rPr>
          <w:lang w:val="en-GB"/>
        </w:rPr>
        <w:t>Sensitivity and Specificity tables</w:t>
      </w:r>
    </w:p>
    <w:tbl>
      <w:tblPr>
        <w:tblStyle w:val="TableGrid"/>
        <w:tblW w:w="0" w:type="auto"/>
        <w:tblLook w:val="04A0" w:firstRow="1" w:lastRow="0" w:firstColumn="1" w:lastColumn="0" w:noHBand="0" w:noVBand="1"/>
      </w:tblPr>
      <w:tblGrid>
        <w:gridCol w:w="7905"/>
        <w:gridCol w:w="141"/>
        <w:gridCol w:w="1196"/>
      </w:tblGrid>
      <w:tr w:rsidR="004B4D95" w:rsidRPr="0031099C" w:rsidTr="006E20FD">
        <w:trPr>
          <w:gridAfter w:val="2"/>
          <w:divId w:val="1548566716"/>
          <w:wAfter w:w="1337" w:type="dxa"/>
        </w:trPr>
        <w:tc>
          <w:tcPr>
            <w:tcW w:w="7905" w:type="dxa"/>
          </w:tcPr>
          <w:tbl>
            <w:tblPr>
              <w:tblW w:w="0" w:type="auto"/>
              <w:tblInd w:w="93" w:type="dxa"/>
              <w:tblLook w:val="04A0" w:firstRow="1" w:lastRow="0" w:firstColumn="1" w:lastColumn="0" w:noHBand="0" w:noVBand="1"/>
            </w:tblPr>
            <w:tblGrid>
              <w:gridCol w:w="556"/>
              <w:gridCol w:w="557"/>
              <w:gridCol w:w="391"/>
              <w:gridCol w:w="554"/>
              <w:gridCol w:w="554"/>
              <w:gridCol w:w="554"/>
              <w:gridCol w:w="554"/>
              <w:gridCol w:w="554"/>
              <w:gridCol w:w="610"/>
              <w:gridCol w:w="702"/>
              <w:gridCol w:w="702"/>
              <w:gridCol w:w="702"/>
              <w:gridCol w:w="552"/>
            </w:tblGrid>
            <w:tr w:rsidR="004B4D95" w:rsidRPr="0031099C" w:rsidTr="006E20FD">
              <w:trPr>
                <w:trHeight w:val="329"/>
              </w:trPr>
              <w:tc>
                <w:tcPr>
                  <w:tcW w:w="1113"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W_50</w:t>
                  </w:r>
                </w:p>
              </w:tc>
              <w:tc>
                <w:tcPr>
                  <w:tcW w:w="6429"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4B4D95" w:rsidRPr="0031099C" w:rsidTr="006E20FD">
              <w:trPr>
                <w:trHeight w:val="329"/>
              </w:trPr>
              <w:tc>
                <w:tcPr>
                  <w:tcW w:w="1113"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4B4D95" w:rsidRPr="0031099C" w:rsidTr="006E20FD">
              <w:trPr>
                <w:trHeight w:val="329"/>
              </w:trPr>
              <w:tc>
                <w:tcPr>
                  <w:tcW w:w="556"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70.7</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26.2</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17.1</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65.6</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13.1</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35.0</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10.9</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24.5</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63.9</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19.2</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8.5</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40.2</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16.0</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bl>
          <w:p w:rsidR="006E20FD" w:rsidRPr="0031099C" w:rsidRDefault="006E20FD" w:rsidP="006E20FD">
            <w:pPr>
              <w:jc w:val="center"/>
            </w:pPr>
          </w:p>
        </w:tc>
      </w:tr>
      <w:tr w:rsidR="006E20FD" w:rsidRPr="0031099C" w:rsidTr="006E20FD">
        <w:trPr>
          <w:gridAfter w:val="2"/>
          <w:divId w:val="1548566716"/>
          <w:wAfter w:w="1337" w:type="dxa"/>
        </w:trPr>
        <w:tc>
          <w:tcPr>
            <w:tcW w:w="7905" w:type="dxa"/>
          </w:tcPr>
          <w:p w:rsidR="006E20FD" w:rsidRPr="0031099C" w:rsidRDefault="006E20FD" w:rsidP="006E20FD">
            <w:pPr>
              <w:pStyle w:val="ListParagraph"/>
              <w:numPr>
                <w:ilvl w:val="0"/>
                <w:numId w:val="17"/>
              </w:numPr>
              <w:spacing w:line="240" w:lineRule="auto"/>
              <w:jc w:val="center"/>
            </w:pPr>
            <w:r w:rsidRPr="0031099C">
              <w:t>W_50_0_M</w:t>
            </w:r>
          </w:p>
        </w:tc>
      </w:tr>
      <w:tr w:rsidR="006E20FD" w:rsidRPr="0031099C" w:rsidTr="006E20FD">
        <w:trPr>
          <w:gridAfter w:val="2"/>
          <w:divId w:val="1548566716"/>
          <w:wAfter w:w="1337" w:type="dxa"/>
          <w:trHeight w:val="274"/>
        </w:trPr>
        <w:tc>
          <w:tcPr>
            <w:tcW w:w="7905" w:type="dxa"/>
          </w:tcPr>
          <w:tbl>
            <w:tblPr>
              <w:tblW w:w="7414" w:type="dxa"/>
              <w:tblInd w:w="93" w:type="dxa"/>
              <w:tblLook w:val="04A0" w:firstRow="1" w:lastRow="0" w:firstColumn="1" w:lastColumn="0" w:noHBand="0" w:noVBand="1"/>
            </w:tblPr>
            <w:tblGrid>
              <w:gridCol w:w="519"/>
              <w:gridCol w:w="519"/>
              <w:gridCol w:w="365"/>
              <w:gridCol w:w="517"/>
              <w:gridCol w:w="570"/>
              <w:gridCol w:w="630"/>
              <w:gridCol w:w="630"/>
              <w:gridCol w:w="630"/>
              <w:gridCol w:w="630"/>
              <w:gridCol w:w="630"/>
              <w:gridCol w:w="630"/>
              <w:gridCol w:w="630"/>
              <w:gridCol w:w="514"/>
            </w:tblGrid>
            <w:tr w:rsidR="004B4D95" w:rsidRPr="0031099C" w:rsidTr="006E20FD">
              <w:trPr>
                <w:trHeight w:val="305"/>
              </w:trPr>
              <w:tc>
                <w:tcPr>
                  <w:tcW w:w="1038"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W_65</w:t>
                  </w:r>
                </w:p>
              </w:tc>
              <w:tc>
                <w:tcPr>
                  <w:tcW w:w="6374"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4B4D95" w:rsidRPr="0031099C" w:rsidTr="006E20FD">
              <w:trPr>
                <w:trHeight w:val="305"/>
              </w:trPr>
              <w:tc>
                <w:tcPr>
                  <w:tcW w:w="1038"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4B4D95" w:rsidRPr="0031099C" w:rsidTr="006E20FD">
              <w:trPr>
                <w:trHeight w:val="305"/>
              </w:trPr>
              <w:tc>
                <w:tcPr>
                  <w:tcW w:w="519"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29.8</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62.8</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13.9</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25.0</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9.3</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38.8</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56.6</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11.8</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32.1</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42.3</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22.6</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17.5</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69.3</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36.1</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22.1</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bl>
          <w:p w:rsidR="006E20FD" w:rsidRPr="0031099C" w:rsidRDefault="006E20FD" w:rsidP="006E20FD">
            <w:pPr>
              <w:pStyle w:val="ListParagraph"/>
              <w:numPr>
                <w:ilvl w:val="0"/>
                <w:numId w:val="17"/>
              </w:numPr>
              <w:spacing w:line="240" w:lineRule="auto"/>
              <w:jc w:val="center"/>
            </w:pPr>
            <w:r w:rsidRPr="0031099C">
              <w:t>W_65_0_M</w:t>
            </w:r>
          </w:p>
        </w:tc>
      </w:tr>
      <w:tr w:rsidR="006E20FD" w:rsidRPr="0031099C" w:rsidTr="006E20FD">
        <w:trPr>
          <w:gridAfter w:val="1"/>
          <w:divId w:val="1548566716"/>
          <w:wAfter w:w="1196" w:type="dxa"/>
        </w:trPr>
        <w:tc>
          <w:tcPr>
            <w:tcW w:w="8046" w:type="dxa"/>
            <w:gridSpan w:val="2"/>
          </w:tcPr>
          <w:tbl>
            <w:tblPr>
              <w:tblW w:w="7449" w:type="dxa"/>
              <w:tblInd w:w="93" w:type="dxa"/>
              <w:tblLook w:val="04A0" w:firstRow="1" w:lastRow="0" w:firstColumn="1" w:lastColumn="0" w:noHBand="0" w:noVBand="1"/>
            </w:tblPr>
            <w:tblGrid>
              <w:gridCol w:w="500"/>
              <w:gridCol w:w="500"/>
              <w:gridCol w:w="549"/>
              <w:gridCol w:w="549"/>
              <w:gridCol w:w="607"/>
              <w:gridCol w:w="607"/>
              <w:gridCol w:w="607"/>
              <w:gridCol w:w="607"/>
              <w:gridCol w:w="607"/>
              <w:gridCol w:w="607"/>
              <w:gridCol w:w="607"/>
              <w:gridCol w:w="607"/>
              <w:gridCol w:w="495"/>
            </w:tblGrid>
            <w:tr w:rsidR="00DE6F42" w:rsidRPr="0031099C" w:rsidTr="006E20FD">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W_65</w:t>
                  </w:r>
                </w:p>
              </w:tc>
              <w:tc>
                <w:tcPr>
                  <w:tcW w:w="6449"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4B4D95"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Specificity</w:t>
                  </w:r>
                </w:p>
              </w:tc>
            </w:tr>
            <w:tr w:rsidR="00DE6F42" w:rsidRPr="0031099C" w:rsidTr="006E20FD">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0_F</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E6F42" w:rsidRPr="0031099C" w:rsidTr="006E20FD">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8.1</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12.9</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DE6F42"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68.6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94.7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DE6F42"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4B4D95"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27.1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w:t>
                  </w:r>
                </w:p>
              </w:tc>
            </w:tr>
          </w:tbl>
          <w:p w:rsidR="006E20FD" w:rsidRPr="0031099C" w:rsidRDefault="006E20FD" w:rsidP="006E20FD">
            <w:pPr>
              <w:jc w:val="center"/>
            </w:pPr>
          </w:p>
        </w:tc>
      </w:tr>
      <w:tr w:rsidR="006E20FD" w:rsidRPr="0031099C" w:rsidTr="006E20FD">
        <w:trPr>
          <w:gridAfter w:val="1"/>
          <w:divId w:val="1548566716"/>
          <w:wAfter w:w="1196" w:type="dxa"/>
          <w:trHeight w:val="151"/>
        </w:trPr>
        <w:tc>
          <w:tcPr>
            <w:tcW w:w="8046" w:type="dxa"/>
            <w:gridSpan w:val="2"/>
          </w:tcPr>
          <w:p w:rsidR="006E20FD" w:rsidRPr="0031099C" w:rsidRDefault="006E20FD" w:rsidP="006E20FD">
            <w:pPr>
              <w:pStyle w:val="ListParagraph"/>
              <w:numPr>
                <w:ilvl w:val="0"/>
                <w:numId w:val="17"/>
              </w:numPr>
              <w:spacing w:line="240" w:lineRule="auto"/>
              <w:jc w:val="center"/>
            </w:pPr>
            <w:r w:rsidRPr="0031099C">
              <w:t>W_65_0_F</w:t>
            </w:r>
          </w:p>
        </w:tc>
      </w:tr>
      <w:tr w:rsidR="006E20FD" w:rsidRPr="0031099C" w:rsidTr="006E20FD">
        <w:trPr>
          <w:gridAfter w:val="1"/>
          <w:divId w:val="1548566716"/>
          <w:wAfter w:w="1196" w:type="dxa"/>
          <w:trHeight w:val="117"/>
        </w:trPr>
        <w:tc>
          <w:tcPr>
            <w:tcW w:w="8046" w:type="dxa"/>
            <w:gridSpan w:val="2"/>
          </w:tcPr>
          <w:tbl>
            <w:tblPr>
              <w:tblW w:w="7520" w:type="dxa"/>
              <w:tblInd w:w="93" w:type="dxa"/>
              <w:tblLook w:val="04A0" w:firstRow="1" w:lastRow="0" w:firstColumn="1" w:lastColumn="0" w:noHBand="0" w:noVBand="1"/>
            </w:tblPr>
            <w:tblGrid>
              <w:gridCol w:w="551"/>
              <w:gridCol w:w="551"/>
              <w:gridCol w:w="388"/>
              <w:gridCol w:w="548"/>
              <w:gridCol w:w="548"/>
              <w:gridCol w:w="548"/>
              <w:gridCol w:w="548"/>
              <w:gridCol w:w="548"/>
              <w:gridCol w:w="686"/>
              <w:gridCol w:w="686"/>
              <w:gridCol w:w="686"/>
              <w:gridCol w:w="686"/>
              <w:gridCol w:w="547"/>
            </w:tblGrid>
            <w:tr w:rsidR="006E20FD" w:rsidRPr="0031099C" w:rsidTr="006E20FD">
              <w:trPr>
                <w:trHeight w:val="306"/>
              </w:trPr>
              <w:tc>
                <w:tcPr>
                  <w:tcW w:w="1101"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lastRenderedPageBreak/>
                    <w:br w:type="page"/>
                  </w:r>
                  <w:r w:rsidRPr="0031099C">
                    <w:rPr>
                      <w:rFonts w:ascii="Calibri" w:eastAsia="Times New Roman" w:hAnsi="Calibri" w:cs="Calibri"/>
                      <w:b/>
                      <w:bCs/>
                      <w:i/>
                      <w:iCs/>
                      <w:lang w:eastAsia="en-GB"/>
                    </w:rPr>
                    <w:t>R_50</w:t>
                  </w:r>
                </w:p>
              </w:tc>
              <w:tc>
                <w:tcPr>
                  <w:tcW w:w="6419"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6"/>
              </w:trPr>
              <w:tc>
                <w:tcPr>
                  <w:tcW w:w="1101"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6"/>
              </w:trPr>
              <w:tc>
                <w:tcPr>
                  <w:tcW w:w="551"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38.2</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19.0</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82.0</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10.5</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23.2</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54.8</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17.7</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34.4</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14.5</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78.5</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25.5</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r>
          </w:tbl>
          <w:p w:rsidR="006E20FD" w:rsidRPr="0031099C" w:rsidRDefault="006E20FD" w:rsidP="006E20FD">
            <w:pPr>
              <w:jc w:val="center"/>
            </w:pPr>
          </w:p>
        </w:tc>
      </w:tr>
      <w:tr w:rsidR="006E20FD" w:rsidRPr="0031099C" w:rsidTr="006E20FD">
        <w:trPr>
          <w:gridAfter w:val="1"/>
          <w:divId w:val="1548566716"/>
          <w:wAfter w:w="1196" w:type="dxa"/>
          <w:trHeight w:val="118"/>
        </w:trPr>
        <w:tc>
          <w:tcPr>
            <w:tcW w:w="8046" w:type="dxa"/>
            <w:gridSpan w:val="2"/>
          </w:tcPr>
          <w:p w:rsidR="006E20FD" w:rsidRPr="0031099C" w:rsidRDefault="006E20FD" w:rsidP="006E20FD">
            <w:pPr>
              <w:pStyle w:val="ListParagraph"/>
              <w:numPr>
                <w:ilvl w:val="0"/>
                <w:numId w:val="17"/>
              </w:numPr>
              <w:spacing w:line="240" w:lineRule="auto"/>
              <w:jc w:val="center"/>
            </w:pPr>
            <w:r w:rsidRPr="0031099C">
              <w:t>R_50_0_M</w:t>
            </w:r>
          </w:p>
        </w:tc>
      </w:tr>
      <w:tr w:rsidR="006E20FD" w:rsidRPr="0031099C" w:rsidTr="006E20FD">
        <w:trPr>
          <w:divId w:val="1548566716"/>
          <w:trHeight w:val="117"/>
        </w:trPr>
        <w:tc>
          <w:tcPr>
            <w:tcW w:w="9242" w:type="dxa"/>
            <w:gridSpan w:val="3"/>
          </w:tcPr>
          <w:tbl>
            <w:tblPr>
              <w:tblW w:w="7541" w:type="dxa"/>
              <w:tblInd w:w="93" w:type="dxa"/>
              <w:tblLook w:val="04A0" w:firstRow="1" w:lastRow="0" w:firstColumn="1" w:lastColumn="0" w:noHBand="0" w:noVBand="1"/>
            </w:tblPr>
            <w:tblGrid>
              <w:gridCol w:w="552"/>
              <w:gridCol w:w="552"/>
              <w:gridCol w:w="389"/>
              <w:gridCol w:w="550"/>
              <w:gridCol w:w="550"/>
              <w:gridCol w:w="550"/>
              <w:gridCol w:w="550"/>
              <w:gridCol w:w="550"/>
              <w:gridCol w:w="688"/>
              <w:gridCol w:w="688"/>
              <w:gridCol w:w="688"/>
              <w:gridCol w:w="688"/>
              <w:gridCol w:w="546"/>
            </w:tblGrid>
            <w:tr w:rsidR="006E20FD" w:rsidRPr="0031099C" w:rsidTr="006E20FD">
              <w:trPr>
                <w:trHeight w:val="316"/>
              </w:trPr>
              <w:tc>
                <w:tcPr>
                  <w:tcW w:w="1104"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R_50</w:t>
                  </w:r>
                </w:p>
              </w:tc>
              <w:tc>
                <w:tcPr>
                  <w:tcW w:w="6437"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16"/>
              </w:trPr>
              <w:tc>
                <w:tcPr>
                  <w:tcW w:w="1104"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0_F</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16"/>
              </w:trPr>
              <w:tc>
                <w:tcPr>
                  <w:tcW w:w="552"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35.2</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19.1</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63.0</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13.7</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90.7</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9.4</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46.8</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8.3</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32.2</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60.7</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24.8</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bl>
          <w:p w:rsidR="006E20FD" w:rsidRPr="0031099C" w:rsidRDefault="006E20FD" w:rsidP="006E20FD">
            <w:pPr>
              <w:jc w:val="center"/>
            </w:pPr>
          </w:p>
        </w:tc>
      </w:tr>
      <w:tr w:rsidR="006E20FD" w:rsidRPr="0031099C" w:rsidTr="006E20FD">
        <w:trPr>
          <w:divId w:val="1548566716"/>
          <w:trHeight w:val="118"/>
        </w:trPr>
        <w:tc>
          <w:tcPr>
            <w:tcW w:w="9242" w:type="dxa"/>
            <w:gridSpan w:val="3"/>
          </w:tcPr>
          <w:p w:rsidR="006E20FD" w:rsidRPr="0031099C" w:rsidRDefault="006E20FD" w:rsidP="006E20FD">
            <w:pPr>
              <w:pStyle w:val="ListParagraph"/>
              <w:numPr>
                <w:ilvl w:val="0"/>
                <w:numId w:val="17"/>
              </w:numPr>
              <w:spacing w:line="240" w:lineRule="auto"/>
              <w:jc w:val="center"/>
            </w:pPr>
            <w:r w:rsidRPr="0031099C">
              <w:t>R_50_0_F</w:t>
            </w:r>
          </w:p>
        </w:tc>
      </w:tr>
      <w:tr w:rsidR="006E20FD" w:rsidRPr="0031099C" w:rsidTr="006E20FD">
        <w:trPr>
          <w:divId w:val="1548566716"/>
          <w:trHeight w:val="134"/>
        </w:trPr>
        <w:tc>
          <w:tcPr>
            <w:tcW w:w="9242" w:type="dxa"/>
            <w:gridSpan w:val="3"/>
          </w:tcPr>
          <w:tbl>
            <w:tblPr>
              <w:tblW w:w="7558" w:type="dxa"/>
              <w:tblInd w:w="93" w:type="dxa"/>
              <w:tblLook w:val="04A0" w:firstRow="1" w:lastRow="0" w:firstColumn="1" w:lastColumn="0" w:noHBand="0" w:noVBand="1"/>
            </w:tblPr>
            <w:tblGrid>
              <w:gridCol w:w="503"/>
              <w:gridCol w:w="504"/>
              <w:gridCol w:w="553"/>
              <w:gridCol w:w="611"/>
              <w:gridCol w:w="611"/>
              <w:gridCol w:w="611"/>
              <w:gridCol w:w="611"/>
              <w:gridCol w:w="611"/>
              <w:gridCol w:w="611"/>
              <w:gridCol w:w="611"/>
              <w:gridCol w:w="611"/>
              <w:gridCol w:w="611"/>
              <w:gridCol w:w="499"/>
            </w:tblGrid>
            <w:tr w:rsidR="006E20FD" w:rsidRPr="0031099C" w:rsidTr="006E20FD">
              <w:trPr>
                <w:trHeight w:val="305"/>
              </w:trPr>
              <w:tc>
                <w:tcPr>
                  <w:tcW w:w="1007"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R_65</w:t>
                  </w:r>
                </w:p>
              </w:tc>
              <w:tc>
                <w:tcPr>
                  <w:tcW w:w="6551"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5"/>
              </w:trPr>
              <w:tc>
                <w:tcPr>
                  <w:tcW w:w="1007"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5"/>
              </w:trPr>
              <w:tc>
                <w:tcPr>
                  <w:tcW w:w="50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20.4</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10.8</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59.1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28.2</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4.8</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66.7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19.6</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73.8</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15.2</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43.2</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27.1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86.3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47.7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30.6</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21.0</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14.8</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bl>
          <w:p w:rsidR="006E20FD" w:rsidRPr="0031099C" w:rsidRDefault="006E20FD" w:rsidP="006E20FD">
            <w:pPr>
              <w:jc w:val="center"/>
            </w:pPr>
          </w:p>
        </w:tc>
      </w:tr>
      <w:tr w:rsidR="006E20FD" w:rsidRPr="0031099C" w:rsidTr="006E20FD">
        <w:trPr>
          <w:divId w:val="1548566716"/>
          <w:trHeight w:val="134"/>
        </w:trPr>
        <w:tc>
          <w:tcPr>
            <w:tcW w:w="9242" w:type="dxa"/>
            <w:gridSpan w:val="3"/>
          </w:tcPr>
          <w:p w:rsidR="006E20FD" w:rsidRPr="0031099C" w:rsidRDefault="006E20FD" w:rsidP="006E20FD">
            <w:pPr>
              <w:pStyle w:val="ListParagraph"/>
              <w:numPr>
                <w:ilvl w:val="0"/>
                <w:numId w:val="17"/>
              </w:numPr>
              <w:spacing w:line="240" w:lineRule="auto"/>
              <w:jc w:val="center"/>
            </w:pPr>
            <w:r w:rsidRPr="0031099C">
              <w:t>R_65_0_M</w:t>
            </w:r>
          </w:p>
        </w:tc>
      </w:tr>
      <w:tr w:rsidR="00C2196C" w:rsidRPr="0031099C" w:rsidTr="006E20FD">
        <w:trPr>
          <w:divId w:val="1548566716"/>
          <w:trHeight w:val="134"/>
        </w:trPr>
        <w:tc>
          <w:tcPr>
            <w:tcW w:w="9242" w:type="dxa"/>
            <w:gridSpan w:val="3"/>
          </w:tcPr>
          <w:p w:rsidR="00C2196C" w:rsidRDefault="00C2196C" w:rsidP="00C2196C">
            <w:pPr>
              <w:pStyle w:val="ListParagraph"/>
              <w:spacing w:line="240" w:lineRule="auto"/>
            </w:pPr>
          </w:p>
          <w:p w:rsidR="00C2196C" w:rsidRPr="0031099C" w:rsidRDefault="00C2196C" w:rsidP="00C2196C">
            <w:pPr>
              <w:pStyle w:val="ListParagraph"/>
              <w:spacing w:line="240" w:lineRule="auto"/>
            </w:pPr>
          </w:p>
        </w:tc>
      </w:tr>
      <w:tr w:rsidR="006E20FD" w:rsidRPr="0031099C" w:rsidTr="006E20FD">
        <w:trPr>
          <w:divId w:val="1548566716"/>
          <w:trHeight w:val="118"/>
        </w:trPr>
        <w:tc>
          <w:tcPr>
            <w:tcW w:w="9242" w:type="dxa"/>
            <w:gridSpan w:val="3"/>
          </w:tcPr>
          <w:tbl>
            <w:tblPr>
              <w:tblW w:w="7767" w:type="dxa"/>
              <w:tblInd w:w="93" w:type="dxa"/>
              <w:tblLook w:val="04A0" w:firstRow="1" w:lastRow="0" w:firstColumn="1" w:lastColumn="0" w:noHBand="0" w:noVBand="1"/>
            </w:tblPr>
            <w:tblGrid>
              <w:gridCol w:w="513"/>
              <w:gridCol w:w="514"/>
              <w:gridCol w:w="623"/>
              <w:gridCol w:w="623"/>
              <w:gridCol w:w="623"/>
              <w:gridCol w:w="623"/>
              <w:gridCol w:w="623"/>
              <w:gridCol w:w="623"/>
              <w:gridCol w:w="623"/>
              <w:gridCol w:w="623"/>
              <w:gridCol w:w="623"/>
              <w:gridCol w:w="623"/>
              <w:gridCol w:w="510"/>
            </w:tblGrid>
            <w:tr w:rsidR="006E20FD" w:rsidRPr="0031099C" w:rsidTr="006E20FD">
              <w:trPr>
                <w:trHeight w:val="307"/>
              </w:trPr>
              <w:tc>
                <w:tcPr>
                  <w:tcW w:w="1027"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lastRenderedPageBreak/>
                    <w:t>R_65</w:t>
                  </w:r>
                </w:p>
              </w:tc>
              <w:tc>
                <w:tcPr>
                  <w:tcW w:w="6740"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7"/>
              </w:trPr>
              <w:tc>
                <w:tcPr>
                  <w:tcW w:w="1027"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0_F</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7"/>
              </w:trPr>
              <w:tc>
                <w:tcPr>
                  <w:tcW w:w="51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77.0</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17.4</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59.5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14.8</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21.8</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4.8</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93.2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28.5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21.1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22.9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17.5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bl>
          <w:p w:rsidR="006E20FD" w:rsidRPr="0031099C" w:rsidRDefault="006E20FD" w:rsidP="006E20FD">
            <w:pPr>
              <w:jc w:val="center"/>
            </w:pPr>
          </w:p>
        </w:tc>
      </w:tr>
      <w:tr w:rsidR="006E20FD" w:rsidRPr="0031099C" w:rsidTr="006E20FD">
        <w:trPr>
          <w:divId w:val="1548566716"/>
          <w:trHeight w:val="117"/>
        </w:trPr>
        <w:tc>
          <w:tcPr>
            <w:tcW w:w="9242" w:type="dxa"/>
            <w:gridSpan w:val="3"/>
          </w:tcPr>
          <w:p w:rsidR="006E20FD" w:rsidRPr="0031099C" w:rsidRDefault="006E20FD" w:rsidP="006E20FD">
            <w:pPr>
              <w:pStyle w:val="ListParagraph"/>
              <w:numPr>
                <w:ilvl w:val="0"/>
                <w:numId w:val="17"/>
              </w:numPr>
              <w:spacing w:line="240" w:lineRule="auto"/>
              <w:jc w:val="center"/>
            </w:pPr>
            <w:r w:rsidRPr="0031099C">
              <w:t>R_65_0_F</w:t>
            </w:r>
          </w:p>
        </w:tc>
      </w:tr>
      <w:tr w:rsidR="006E20FD" w:rsidRPr="0031099C" w:rsidTr="006E20FD">
        <w:trPr>
          <w:divId w:val="1548566716"/>
          <w:trHeight w:val="118"/>
        </w:trPr>
        <w:tc>
          <w:tcPr>
            <w:tcW w:w="9242" w:type="dxa"/>
            <w:gridSpan w:val="3"/>
          </w:tcPr>
          <w:p w:rsidR="006E20FD" w:rsidRPr="0031099C" w:rsidRDefault="006E20FD" w:rsidP="006E20FD">
            <w:r w:rsidRPr="0031099C">
              <w:br w:type="page"/>
            </w:r>
          </w:p>
          <w:tbl>
            <w:tblPr>
              <w:tblW w:w="7565" w:type="dxa"/>
              <w:tblInd w:w="93" w:type="dxa"/>
              <w:tblLook w:val="04A0" w:firstRow="1" w:lastRow="0" w:firstColumn="1" w:lastColumn="0" w:noHBand="0" w:noVBand="1"/>
            </w:tblPr>
            <w:tblGrid>
              <w:gridCol w:w="500"/>
              <w:gridCol w:w="500"/>
              <w:gridCol w:w="607"/>
              <w:gridCol w:w="607"/>
              <w:gridCol w:w="607"/>
              <w:gridCol w:w="607"/>
              <w:gridCol w:w="607"/>
              <w:gridCol w:w="607"/>
              <w:gridCol w:w="607"/>
              <w:gridCol w:w="607"/>
              <w:gridCol w:w="607"/>
              <w:gridCol w:w="607"/>
              <w:gridCol w:w="495"/>
            </w:tblGrid>
            <w:tr w:rsidR="006E20FD" w:rsidRPr="0031099C" w:rsidTr="006E20FD">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D_65</w:t>
                  </w:r>
                </w:p>
              </w:tc>
              <w:tc>
                <w:tcPr>
                  <w:tcW w:w="6565"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44.1</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6.8</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12.8</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7.6</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5.5</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79.3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66.5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2.7</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17.8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13.8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14.8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11.7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w:t>
                  </w:r>
                </w:p>
              </w:tc>
            </w:tr>
          </w:tbl>
          <w:p w:rsidR="006E20FD" w:rsidRPr="0031099C" w:rsidRDefault="006E20FD" w:rsidP="006E20FD">
            <w:pPr>
              <w:jc w:val="center"/>
            </w:pPr>
          </w:p>
        </w:tc>
      </w:tr>
      <w:tr w:rsidR="006E20FD" w:rsidRPr="0031099C" w:rsidTr="006E20FD">
        <w:trPr>
          <w:divId w:val="1548566716"/>
          <w:trHeight w:val="117"/>
        </w:trPr>
        <w:tc>
          <w:tcPr>
            <w:tcW w:w="9242" w:type="dxa"/>
            <w:gridSpan w:val="3"/>
          </w:tcPr>
          <w:p w:rsidR="006E20FD" w:rsidRPr="0031099C" w:rsidRDefault="006E20FD" w:rsidP="006E20FD">
            <w:pPr>
              <w:pStyle w:val="ListParagraph"/>
              <w:numPr>
                <w:ilvl w:val="0"/>
                <w:numId w:val="17"/>
              </w:numPr>
              <w:spacing w:line="240" w:lineRule="auto"/>
              <w:jc w:val="center"/>
            </w:pPr>
            <w:r w:rsidRPr="0031099C">
              <w:t>D_65_0_M</w:t>
            </w:r>
          </w:p>
        </w:tc>
      </w:tr>
      <w:tr w:rsidR="006E20FD" w:rsidRPr="0031099C" w:rsidTr="006E20FD">
        <w:trPr>
          <w:divId w:val="1548566716"/>
          <w:trHeight w:val="118"/>
        </w:trPr>
        <w:tc>
          <w:tcPr>
            <w:tcW w:w="9242" w:type="dxa"/>
            <w:gridSpan w:val="3"/>
          </w:tcPr>
          <w:tbl>
            <w:tblPr>
              <w:tblW w:w="6500" w:type="dxa"/>
              <w:tblInd w:w="93" w:type="dxa"/>
              <w:tblLook w:val="04A0" w:firstRow="1" w:lastRow="0" w:firstColumn="1" w:lastColumn="0" w:noHBand="0" w:noVBand="1"/>
            </w:tblPr>
            <w:tblGrid>
              <w:gridCol w:w="500"/>
              <w:gridCol w:w="500"/>
              <w:gridCol w:w="607"/>
              <w:gridCol w:w="607"/>
              <w:gridCol w:w="607"/>
              <w:gridCol w:w="607"/>
              <w:gridCol w:w="607"/>
              <w:gridCol w:w="607"/>
              <w:gridCol w:w="607"/>
              <w:gridCol w:w="607"/>
              <w:gridCol w:w="607"/>
              <w:gridCol w:w="607"/>
              <w:gridCol w:w="495"/>
            </w:tblGrid>
            <w:tr w:rsidR="006E20FD" w:rsidRPr="0031099C" w:rsidTr="006E20FD">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D_65</w:t>
                  </w:r>
                </w:p>
              </w:tc>
              <w:tc>
                <w:tcPr>
                  <w:tcW w:w="5500"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0_F</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28.3</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11.2</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99.6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22.2</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97.7</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5.3</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96.6</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49.8</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37.2</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16.1</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12.2</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31.0</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25.3</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29.3</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20.4</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20.2</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14.3</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11.8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17.3</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12.4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10.3</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bl>
          <w:p w:rsidR="006E20FD" w:rsidRPr="0031099C" w:rsidRDefault="006E20FD" w:rsidP="006E20FD">
            <w:pPr>
              <w:jc w:val="center"/>
            </w:pPr>
          </w:p>
        </w:tc>
      </w:tr>
      <w:tr w:rsidR="006E20FD" w:rsidRPr="0031099C" w:rsidTr="006E20FD">
        <w:trPr>
          <w:divId w:val="1548566716"/>
          <w:trHeight w:val="117"/>
        </w:trPr>
        <w:tc>
          <w:tcPr>
            <w:tcW w:w="9242" w:type="dxa"/>
            <w:gridSpan w:val="3"/>
          </w:tcPr>
          <w:p w:rsidR="006E20FD" w:rsidRPr="0031099C" w:rsidRDefault="006E20FD" w:rsidP="006E20FD">
            <w:pPr>
              <w:pStyle w:val="ListParagraph"/>
              <w:numPr>
                <w:ilvl w:val="0"/>
                <w:numId w:val="17"/>
              </w:numPr>
              <w:spacing w:line="240" w:lineRule="auto"/>
              <w:jc w:val="center"/>
            </w:pPr>
            <w:r w:rsidRPr="0031099C">
              <w:t>D_65_0_F</w:t>
            </w:r>
          </w:p>
        </w:tc>
      </w:tr>
    </w:tbl>
    <w:p w:rsidR="00EF4E89" w:rsidRDefault="00C2196C" w:rsidP="00C2196C">
      <w:pPr>
        <w:pStyle w:val="Caption"/>
      </w:pPr>
      <w:proofErr w:type="gramStart"/>
      <w:r>
        <w:t xml:space="preserve">Table </w:t>
      </w:r>
      <w:r>
        <w:fldChar w:fldCharType="begin"/>
      </w:r>
      <w:r>
        <w:instrText xml:space="preserve"> SEQ Table \* ARABIC </w:instrText>
      </w:r>
      <w:r>
        <w:fldChar w:fldCharType="separate"/>
      </w:r>
      <w:r w:rsidR="00B66501">
        <w:rPr>
          <w:noProof/>
        </w:rPr>
        <w:t>6</w:t>
      </w:r>
      <w:r>
        <w:fldChar w:fldCharType="end"/>
      </w:r>
      <w:r>
        <w:t xml:space="preserve"> Effect of assumed sensitivity and specificity of device on estimated cost effectiveness.</w:t>
      </w:r>
      <w:proofErr w:type="gramEnd"/>
      <w:r>
        <w:t xml:space="preserve"> D: </w:t>
      </w:r>
      <w:proofErr w:type="spellStart"/>
      <w:r>
        <w:t>dabigatran</w:t>
      </w:r>
      <w:proofErr w:type="spellEnd"/>
      <w:r>
        <w:t xml:space="preserve">; W: Warfarin; R: </w:t>
      </w:r>
      <w:proofErr w:type="spellStart"/>
      <w:r>
        <w:t>rivaroxaban</w:t>
      </w:r>
      <w:proofErr w:type="spellEnd"/>
      <w:r>
        <w:t>; M: Male; F: Female; 65: 65 years old; 50: 50 years old</w:t>
      </w:r>
    </w:p>
    <w:p w:rsidR="00C2196C" w:rsidRPr="0031099C" w:rsidRDefault="00C2196C">
      <w:pPr>
        <w:spacing w:line="276" w:lineRule="auto"/>
        <w:jc w:val="left"/>
        <w:rPr>
          <w:lang w:val="en-GB"/>
        </w:rPr>
        <w:sectPr w:rsidR="00C2196C" w:rsidRPr="0031099C" w:rsidSect="00EF4E89">
          <w:pgSz w:w="11906" w:h="16838"/>
          <w:pgMar w:top="1440" w:right="1440" w:bottom="1440" w:left="1440" w:header="709" w:footer="709" w:gutter="0"/>
          <w:cols w:space="708"/>
          <w:docGrid w:linePitch="360"/>
        </w:sectPr>
      </w:pPr>
    </w:p>
    <w:tbl>
      <w:tblPr>
        <w:tblStyle w:val="TableGrid"/>
        <w:tblpPr w:leftFromText="180" w:rightFromText="180" w:horzAnchor="margin" w:tblpY="780"/>
        <w:tblW w:w="13396" w:type="dxa"/>
        <w:tblLook w:val="04A0" w:firstRow="1" w:lastRow="0" w:firstColumn="1" w:lastColumn="0" w:noHBand="0" w:noVBand="1"/>
      </w:tblPr>
      <w:tblGrid>
        <w:gridCol w:w="1254"/>
        <w:gridCol w:w="2812"/>
        <w:gridCol w:w="1418"/>
        <w:gridCol w:w="992"/>
        <w:gridCol w:w="851"/>
        <w:gridCol w:w="850"/>
        <w:gridCol w:w="832"/>
        <w:gridCol w:w="1143"/>
        <w:gridCol w:w="1285"/>
        <w:gridCol w:w="851"/>
        <w:gridCol w:w="1108"/>
      </w:tblGrid>
      <w:tr w:rsidR="00770134" w:rsidRPr="0031099C" w:rsidTr="00C2196C">
        <w:trPr>
          <w:divId w:val="1548566716"/>
        </w:trPr>
        <w:tc>
          <w:tcPr>
            <w:tcW w:w="1254" w:type="dxa"/>
            <w:tcBorders>
              <w:top w:val="single" w:sz="4" w:space="0" w:color="auto"/>
              <w:left w:val="single" w:sz="4" w:space="0" w:color="auto"/>
              <w:bottom w:val="single" w:sz="4" w:space="0" w:color="auto"/>
              <w:right w:val="single" w:sz="4" w:space="0" w:color="auto"/>
            </w:tcBorders>
          </w:tcPr>
          <w:p w:rsidR="00C2196C" w:rsidRPr="0031099C" w:rsidRDefault="00C2196C" w:rsidP="00C2196C">
            <w:pPr>
              <w:rPr>
                <w:rFonts w:ascii="Times New Roman" w:eastAsia="Times New Roman" w:hAnsi="Times New Roman"/>
              </w:rPr>
            </w:pPr>
          </w:p>
        </w:tc>
        <w:tc>
          <w:tcPr>
            <w:tcW w:w="2812"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rPr>
            </w:pPr>
          </w:p>
        </w:tc>
        <w:tc>
          <w:tcPr>
            <w:tcW w:w="992"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rPr>
            </w:pPr>
          </w:p>
        </w:tc>
        <w:tc>
          <w:tcPr>
            <w:tcW w:w="2533" w:type="dxa"/>
            <w:gridSpan w:val="3"/>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jc w:val="center"/>
              <w:rPr>
                <w:rFonts w:ascii="Times New Roman" w:eastAsia="Times New Roman" w:hAnsi="Times New Roman"/>
                <w:b/>
                <w:i/>
              </w:rPr>
            </w:pPr>
            <w:r w:rsidRPr="0031099C">
              <w:rPr>
                <w:b/>
                <w:i/>
              </w:rPr>
              <w:t>Cause of Death (%)</w:t>
            </w:r>
          </w:p>
        </w:tc>
        <w:tc>
          <w:tcPr>
            <w:tcW w:w="4387" w:type="dxa"/>
            <w:gridSpan w:val="4"/>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jc w:val="center"/>
              <w:rPr>
                <w:rFonts w:ascii="Times New Roman" w:eastAsia="Times New Roman" w:hAnsi="Times New Roman"/>
                <w:b/>
                <w:i/>
              </w:rPr>
            </w:pPr>
            <w:r w:rsidRPr="0031099C">
              <w:rPr>
                <w:b/>
                <w:i/>
              </w:rPr>
              <w:t>Average Number of Events</w:t>
            </w:r>
          </w:p>
        </w:tc>
      </w:tr>
      <w:tr w:rsidR="00770134" w:rsidRPr="0031099C" w:rsidTr="00C2196C">
        <w:trPr>
          <w:divId w:val="1548566716"/>
        </w:trPr>
        <w:tc>
          <w:tcPr>
            <w:tcW w:w="1254" w:type="dxa"/>
            <w:tcBorders>
              <w:top w:val="single" w:sz="4" w:space="0" w:color="auto"/>
              <w:left w:val="single" w:sz="4" w:space="0" w:color="auto"/>
              <w:bottom w:val="single" w:sz="4" w:space="0" w:color="auto"/>
              <w:right w:val="single" w:sz="4" w:space="0" w:color="auto"/>
            </w:tcBorders>
          </w:tcPr>
          <w:p w:rsidR="00770134" w:rsidRPr="00770134" w:rsidRDefault="00770134" w:rsidP="00C2196C">
            <w:pPr>
              <w:rPr>
                <w:rFonts w:ascii="Times New Roman" w:eastAsia="Times New Roman" w:hAnsi="Times New Roman"/>
                <w:b/>
                <w:i/>
              </w:rPr>
            </w:pPr>
            <w:r>
              <w:rPr>
                <w:rFonts w:ascii="Times New Roman" w:eastAsia="Times New Roman" w:hAnsi="Times New Roman"/>
                <w:b/>
                <w:i/>
              </w:rPr>
              <w:t>OAC</w:t>
            </w:r>
          </w:p>
        </w:tc>
        <w:tc>
          <w:tcPr>
            <w:tcW w:w="2812" w:type="dxa"/>
            <w:tcBorders>
              <w:top w:val="single" w:sz="4" w:space="0" w:color="auto"/>
              <w:left w:val="single" w:sz="4" w:space="0" w:color="auto"/>
              <w:bottom w:val="single" w:sz="4" w:space="0" w:color="auto"/>
              <w:right w:val="single" w:sz="4" w:space="0" w:color="auto"/>
            </w:tcBorders>
          </w:tcPr>
          <w:p w:rsidR="00770134" w:rsidRPr="00770134" w:rsidRDefault="00770134" w:rsidP="00C2196C">
            <w:pPr>
              <w:rPr>
                <w:b/>
                <w:i/>
              </w:rPr>
            </w:pPr>
            <w:r w:rsidRPr="00770134">
              <w:rPr>
                <w:rFonts w:ascii="Times New Roman" w:eastAsia="Times New Roman" w:hAnsi="Times New Roman"/>
                <w:b/>
                <w:i/>
              </w:rPr>
              <w:t>Patient population</w:t>
            </w:r>
            <w:r>
              <w:rPr>
                <w:rStyle w:val="FootnoteReference"/>
                <w:rFonts w:ascii="Times New Roman" w:eastAsia="Times New Roman" w:hAnsi="Times New Roman"/>
                <w:b/>
                <w:i/>
              </w:rPr>
              <w:footnoteReference w:id="2"/>
            </w:r>
          </w:p>
        </w:tc>
        <w:tc>
          <w:tcPr>
            <w:tcW w:w="1418"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i/>
              </w:rPr>
            </w:pPr>
            <w:r w:rsidRPr="0031099C">
              <w:rPr>
                <w:b/>
                <w:i/>
              </w:rPr>
              <w:t>Strategy</w:t>
            </w:r>
          </w:p>
        </w:tc>
        <w:tc>
          <w:tcPr>
            <w:tcW w:w="992"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Life Years</w:t>
            </w:r>
          </w:p>
        </w:tc>
        <w:tc>
          <w:tcPr>
            <w:tcW w:w="851"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Stroke</w:t>
            </w:r>
          </w:p>
        </w:tc>
        <w:tc>
          <w:tcPr>
            <w:tcW w:w="850"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Bleed</w:t>
            </w:r>
          </w:p>
        </w:tc>
        <w:tc>
          <w:tcPr>
            <w:tcW w:w="832"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Other</w:t>
            </w:r>
          </w:p>
        </w:tc>
        <w:tc>
          <w:tcPr>
            <w:tcW w:w="1143"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Dependent Strokes</w:t>
            </w:r>
          </w:p>
        </w:tc>
        <w:tc>
          <w:tcPr>
            <w:tcW w:w="1285"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Independent Strokes</w:t>
            </w:r>
          </w:p>
        </w:tc>
        <w:tc>
          <w:tcPr>
            <w:tcW w:w="851"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ICH</w:t>
            </w:r>
          </w:p>
        </w:tc>
        <w:tc>
          <w:tcPr>
            <w:tcW w:w="1108"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NICH</w:t>
            </w:r>
          </w:p>
        </w:tc>
      </w:tr>
      <w:tr w:rsidR="00770134" w:rsidRPr="0031099C" w:rsidTr="00C2196C">
        <w:trPr>
          <w:divId w:val="1548566716"/>
        </w:trPr>
        <w:tc>
          <w:tcPr>
            <w:tcW w:w="1254" w:type="dxa"/>
            <w:vMerge w:val="restart"/>
            <w:tcBorders>
              <w:top w:val="single" w:sz="4" w:space="0" w:color="auto"/>
              <w:left w:val="single" w:sz="4" w:space="0" w:color="auto"/>
              <w:right w:val="single" w:sz="4" w:space="0" w:color="auto"/>
            </w:tcBorders>
            <w:vAlign w:val="center"/>
          </w:tcPr>
          <w:p w:rsidR="00770134" w:rsidRDefault="00770134" w:rsidP="00C2196C">
            <w:pPr>
              <w:jc w:val="center"/>
              <w:rPr>
                <w:b/>
              </w:rPr>
            </w:pPr>
            <w:r>
              <w:rPr>
                <w:b/>
              </w:rPr>
              <w:t>Warfarin</w:t>
            </w:r>
          </w:p>
        </w:tc>
        <w:tc>
          <w:tcPr>
            <w:tcW w:w="2812" w:type="dxa"/>
            <w:vMerge w:val="restart"/>
            <w:tcBorders>
              <w:top w:val="single" w:sz="4" w:space="0" w:color="auto"/>
              <w:left w:val="single" w:sz="4" w:space="0" w:color="auto"/>
              <w:right w:val="single" w:sz="4" w:space="0" w:color="auto"/>
            </w:tcBorders>
            <w:vAlign w:val="center"/>
          </w:tcPr>
          <w:p w:rsidR="00770134" w:rsidRPr="0031099C" w:rsidRDefault="00770134" w:rsidP="00C2196C">
            <w:pPr>
              <w:jc w:val="center"/>
              <w:rPr>
                <w:b/>
              </w:rPr>
            </w:pPr>
            <w:r>
              <w:rPr>
                <w:b/>
              </w:rPr>
              <w:t>Male, 50 years old</w:t>
            </w:r>
          </w:p>
        </w:tc>
        <w:tc>
          <w:tcPr>
            <w:tcW w:w="1418"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28.840</w:t>
            </w:r>
          </w:p>
        </w:tc>
        <w:tc>
          <w:tcPr>
            <w:tcW w:w="851"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11.7</w:t>
            </w:r>
          </w:p>
        </w:tc>
        <w:tc>
          <w:tcPr>
            <w:tcW w:w="850"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87.1</w:t>
            </w:r>
          </w:p>
        </w:tc>
        <w:tc>
          <w:tcPr>
            <w:tcW w:w="1143"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0.120</w:t>
            </w:r>
          </w:p>
        </w:tc>
        <w:tc>
          <w:tcPr>
            <w:tcW w:w="1285"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0.242</w:t>
            </w:r>
          </w:p>
        </w:tc>
        <w:tc>
          <w:tcPr>
            <w:tcW w:w="851"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0.075</w:t>
            </w:r>
          </w:p>
        </w:tc>
      </w:tr>
      <w:tr w:rsidR="00770134" w:rsidRPr="0031099C" w:rsidTr="00C2196C">
        <w:trPr>
          <w:divId w:val="1548566716"/>
        </w:trPr>
        <w:tc>
          <w:tcPr>
            <w:tcW w:w="1254" w:type="dxa"/>
            <w:vMerge/>
            <w:tcBorders>
              <w:left w:val="single" w:sz="4" w:space="0" w:color="auto"/>
              <w:right w:val="single" w:sz="4" w:space="0" w:color="auto"/>
            </w:tcBorders>
          </w:tcPr>
          <w:p w:rsidR="00770134" w:rsidRPr="0031099C" w:rsidRDefault="00770134" w:rsidP="00C2196C">
            <w:pPr>
              <w:rPr>
                <w:b/>
              </w:rPr>
            </w:pPr>
          </w:p>
        </w:tc>
        <w:tc>
          <w:tcPr>
            <w:tcW w:w="2812" w:type="dxa"/>
            <w:vMerge/>
            <w:tcBorders>
              <w:left w:val="single" w:sz="4" w:space="0" w:color="auto"/>
              <w:bottom w:val="single" w:sz="4" w:space="0" w:color="auto"/>
              <w:right w:val="single" w:sz="4" w:space="0" w:color="auto"/>
            </w:tcBorders>
          </w:tcPr>
          <w:p w:rsidR="00770134" w:rsidRPr="0031099C" w:rsidRDefault="00770134" w:rsidP="00C2196C">
            <w:pPr>
              <w:rPr>
                <w:b/>
              </w:rPr>
            </w:pPr>
          </w:p>
        </w:tc>
        <w:tc>
          <w:tcPr>
            <w:tcW w:w="1418"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28.928</w:t>
            </w:r>
          </w:p>
        </w:tc>
        <w:tc>
          <w:tcPr>
            <w:tcW w:w="851"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10.8</w:t>
            </w:r>
          </w:p>
        </w:tc>
        <w:tc>
          <w:tcPr>
            <w:tcW w:w="850"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1.8</w:t>
            </w:r>
          </w:p>
        </w:tc>
        <w:tc>
          <w:tcPr>
            <w:tcW w:w="832"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87.4</w:t>
            </w:r>
          </w:p>
        </w:tc>
        <w:tc>
          <w:tcPr>
            <w:tcW w:w="1143"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0.111</w:t>
            </w:r>
          </w:p>
        </w:tc>
        <w:tc>
          <w:tcPr>
            <w:tcW w:w="1285"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0.223</w:t>
            </w:r>
          </w:p>
        </w:tc>
        <w:tc>
          <w:tcPr>
            <w:tcW w:w="851"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0.014</w:t>
            </w:r>
          </w:p>
        </w:tc>
        <w:tc>
          <w:tcPr>
            <w:tcW w:w="1108"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0.112</w:t>
            </w:r>
          </w:p>
        </w:tc>
      </w:tr>
      <w:tr w:rsidR="00770134" w:rsidRPr="0031099C" w:rsidTr="00C2196C">
        <w:trPr>
          <w:divId w:val="1548566716"/>
        </w:trPr>
        <w:tc>
          <w:tcPr>
            <w:tcW w:w="1254" w:type="dxa"/>
            <w:vMerge/>
            <w:tcBorders>
              <w:left w:val="single" w:sz="4" w:space="0" w:color="auto"/>
              <w:right w:val="single" w:sz="4" w:space="0" w:color="auto"/>
            </w:tcBorders>
          </w:tcPr>
          <w:p w:rsidR="00770134" w:rsidRDefault="00770134" w:rsidP="00C2196C">
            <w:pPr>
              <w:rPr>
                <w:b/>
              </w:rPr>
            </w:pPr>
          </w:p>
        </w:tc>
        <w:tc>
          <w:tcPr>
            <w:tcW w:w="2812" w:type="dxa"/>
            <w:vMerge w:val="restart"/>
            <w:tcBorders>
              <w:left w:val="single" w:sz="4" w:space="0" w:color="auto"/>
              <w:right w:val="single" w:sz="4" w:space="0" w:color="auto"/>
            </w:tcBorders>
            <w:vAlign w:val="center"/>
          </w:tcPr>
          <w:p w:rsidR="00770134" w:rsidRPr="0031099C" w:rsidRDefault="00770134" w:rsidP="00C2196C">
            <w:pPr>
              <w:jc w:val="center"/>
              <w:rPr>
                <w:b/>
              </w:rPr>
            </w:pPr>
            <w:r>
              <w:rPr>
                <w:b/>
              </w:rPr>
              <w:t>Female, 50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31.633</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13.5</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1.6</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84.9</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0.139</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0.278</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0.012</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0.091</w:t>
            </w:r>
          </w:p>
        </w:tc>
      </w:tr>
      <w:tr w:rsidR="00770134" w:rsidRPr="0031099C" w:rsidTr="00C2196C">
        <w:trPr>
          <w:divId w:val="1548566716"/>
        </w:trPr>
        <w:tc>
          <w:tcPr>
            <w:tcW w:w="1254" w:type="dxa"/>
            <w:vMerge/>
            <w:tcBorders>
              <w:left w:val="single" w:sz="4" w:space="0" w:color="auto"/>
              <w:right w:val="single" w:sz="4" w:space="0" w:color="auto"/>
            </w:tcBorders>
          </w:tcPr>
          <w:p w:rsidR="00770134" w:rsidRPr="0031099C" w:rsidRDefault="00770134" w:rsidP="00C2196C">
            <w:pPr>
              <w:rPr>
                <w:b/>
              </w:rPr>
            </w:pPr>
          </w:p>
        </w:tc>
        <w:tc>
          <w:tcPr>
            <w:tcW w:w="2812" w:type="dxa"/>
            <w:vMerge/>
            <w:tcBorders>
              <w:left w:val="single" w:sz="4" w:space="0" w:color="auto"/>
              <w:bottom w:val="single" w:sz="4" w:space="0" w:color="auto"/>
              <w:right w:val="single" w:sz="4" w:space="0" w:color="auto"/>
            </w:tcBorders>
          </w:tcPr>
          <w:p w:rsidR="00770134" w:rsidRPr="0031099C" w:rsidRDefault="00770134" w:rsidP="00C2196C">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31.734</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12.6</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2.1</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85.2</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0.130</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0.259</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0.017</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0.130</w:t>
            </w:r>
          </w:p>
        </w:tc>
      </w:tr>
      <w:tr w:rsidR="00770134" w:rsidRPr="0031099C" w:rsidTr="00C2196C">
        <w:trPr>
          <w:divId w:val="1548566716"/>
          <w:trHeight w:val="329"/>
        </w:trPr>
        <w:tc>
          <w:tcPr>
            <w:tcW w:w="1254" w:type="dxa"/>
            <w:vMerge/>
            <w:tcBorders>
              <w:left w:val="single" w:sz="4" w:space="0" w:color="auto"/>
              <w:right w:val="single" w:sz="4" w:space="0" w:color="auto"/>
            </w:tcBorders>
          </w:tcPr>
          <w:p w:rsidR="00770134" w:rsidRDefault="00770134" w:rsidP="00C2196C">
            <w:pPr>
              <w:rPr>
                <w:b/>
              </w:rPr>
            </w:pPr>
          </w:p>
        </w:tc>
        <w:tc>
          <w:tcPr>
            <w:tcW w:w="2812" w:type="dxa"/>
            <w:vMerge w:val="restart"/>
            <w:tcBorders>
              <w:left w:val="single" w:sz="4" w:space="0" w:color="auto"/>
              <w:right w:val="single" w:sz="4" w:space="0" w:color="auto"/>
            </w:tcBorders>
            <w:vAlign w:val="center"/>
          </w:tcPr>
          <w:p w:rsidR="00770134" w:rsidRPr="0031099C" w:rsidRDefault="00770134" w:rsidP="00C2196C">
            <w:pPr>
              <w:jc w:val="center"/>
              <w:rPr>
                <w:b/>
              </w:rPr>
            </w:pPr>
            <w:r>
              <w:rPr>
                <w:b/>
              </w:rPr>
              <w:t>Male, 65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17.131</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9.0</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0.9</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90.2</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0.087</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0.192</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0.007</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0.052</w:t>
            </w:r>
          </w:p>
        </w:tc>
      </w:tr>
      <w:tr w:rsidR="00770134" w:rsidRPr="0031099C" w:rsidTr="00C2196C">
        <w:trPr>
          <w:divId w:val="1548566716"/>
          <w:trHeight w:val="235"/>
        </w:trPr>
        <w:tc>
          <w:tcPr>
            <w:tcW w:w="1254" w:type="dxa"/>
            <w:vMerge/>
            <w:tcBorders>
              <w:left w:val="single" w:sz="4" w:space="0" w:color="auto"/>
              <w:right w:val="single" w:sz="4" w:space="0" w:color="auto"/>
            </w:tcBorders>
          </w:tcPr>
          <w:p w:rsidR="00770134" w:rsidRDefault="00770134" w:rsidP="00C2196C">
            <w:pPr>
              <w:rPr>
                <w:b/>
              </w:rPr>
            </w:pPr>
          </w:p>
        </w:tc>
        <w:tc>
          <w:tcPr>
            <w:tcW w:w="2812" w:type="dxa"/>
            <w:vMerge/>
            <w:tcBorders>
              <w:left w:val="single" w:sz="4" w:space="0" w:color="auto"/>
              <w:bottom w:val="single" w:sz="4" w:space="0" w:color="auto"/>
              <w:right w:val="single" w:sz="4" w:space="0" w:color="auto"/>
            </w:tcBorders>
          </w:tcPr>
          <w:p w:rsidR="00770134" w:rsidRDefault="00770134" w:rsidP="00C2196C">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17.204</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8.0</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90.7</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0.078</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0.172</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0.079</w:t>
            </w:r>
          </w:p>
        </w:tc>
      </w:tr>
      <w:tr w:rsidR="00770134" w:rsidRPr="0031099C" w:rsidTr="00C2196C">
        <w:trPr>
          <w:divId w:val="1548566716"/>
          <w:trHeight w:val="201"/>
        </w:trPr>
        <w:tc>
          <w:tcPr>
            <w:tcW w:w="1254" w:type="dxa"/>
            <w:vMerge/>
            <w:tcBorders>
              <w:left w:val="single" w:sz="4" w:space="0" w:color="auto"/>
              <w:right w:val="single" w:sz="4" w:space="0" w:color="auto"/>
            </w:tcBorders>
          </w:tcPr>
          <w:p w:rsidR="00770134" w:rsidRDefault="00770134" w:rsidP="00C2196C">
            <w:pPr>
              <w:rPr>
                <w:b/>
              </w:rPr>
            </w:pPr>
          </w:p>
        </w:tc>
        <w:tc>
          <w:tcPr>
            <w:tcW w:w="2812" w:type="dxa"/>
            <w:vMerge w:val="restart"/>
            <w:tcBorders>
              <w:left w:val="single" w:sz="4" w:space="0" w:color="auto"/>
              <w:right w:val="single" w:sz="4" w:space="0" w:color="auto"/>
            </w:tcBorders>
            <w:vAlign w:val="center"/>
          </w:tcPr>
          <w:p w:rsidR="00770134" w:rsidRDefault="00770134" w:rsidP="00C2196C">
            <w:pPr>
              <w:jc w:val="center"/>
              <w:rPr>
                <w:b/>
              </w:rPr>
            </w:pPr>
            <w:r>
              <w:rPr>
                <w:b/>
              </w:rPr>
              <w:t>Female, 65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19.447</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10.6</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1.1</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88.3</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0.105</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0.225</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0.009</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0.065</w:t>
            </w:r>
          </w:p>
        </w:tc>
      </w:tr>
      <w:tr w:rsidR="00770134" w:rsidRPr="0031099C" w:rsidTr="00C2196C">
        <w:trPr>
          <w:divId w:val="1548566716"/>
          <w:trHeight w:val="167"/>
        </w:trPr>
        <w:tc>
          <w:tcPr>
            <w:tcW w:w="1254" w:type="dxa"/>
            <w:vMerge/>
            <w:tcBorders>
              <w:left w:val="single" w:sz="4" w:space="0" w:color="auto"/>
              <w:bottom w:val="single" w:sz="4" w:space="0" w:color="auto"/>
              <w:right w:val="single" w:sz="4" w:space="0" w:color="auto"/>
            </w:tcBorders>
          </w:tcPr>
          <w:p w:rsidR="00770134" w:rsidRDefault="00770134" w:rsidP="00C2196C">
            <w:pPr>
              <w:rPr>
                <w:b/>
              </w:rPr>
            </w:pPr>
          </w:p>
        </w:tc>
        <w:tc>
          <w:tcPr>
            <w:tcW w:w="2812" w:type="dxa"/>
            <w:vMerge/>
            <w:tcBorders>
              <w:left w:val="single" w:sz="4" w:space="0" w:color="auto"/>
              <w:bottom w:val="single" w:sz="4" w:space="0" w:color="auto"/>
              <w:right w:val="single" w:sz="4" w:space="0" w:color="auto"/>
            </w:tcBorders>
          </w:tcPr>
          <w:p w:rsidR="00770134" w:rsidRDefault="00770134" w:rsidP="00C2196C">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19.531</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9.6</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1.6</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88.8</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0.096</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0.205</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0.012</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0.095</w:t>
            </w:r>
          </w:p>
        </w:tc>
      </w:tr>
      <w:tr w:rsidR="00770134" w:rsidRPr="0031099C" w:rsidTr="00C2196C">
        <w:trPr>
          <w:divId w:val="1548566716"/>
          <w:trHeight w:val="351"/>
        </w:trPr>
        <w:tc>
          <w:tcPr>
            <w:tcW w:w="1254" w:type="dxa"/>
            <w:vMerge w:val="restart"/>
            <w:tcBorders>
              <w:left w:val="single" w:sz="4" w:space="0" w:color="auto"/>
              <w:right w:val="single" w:sz="4" w:space="0" w:color="auto"/>
            </w:tcBorders>
            <w:vAlign w:val="center"/>
          </w:tcPr>
          <w:p w:rsidR="00770134" w:rsidRDefault="00770134" w:rsidP="00C2196C">
            <w:pPr>
              <w:jc w:val="center"/>
              <w:rPr>
                <w:b/>
              </w:rPr>
            </w:pPr>
            <w:proofErr w:type="spellStart"/>
            <w:r>
              <w:rPr>
                <w:b/>
              </w:rPr>
              <w:t>Rivaroxaban</w:t>
            </w:r>
            <w:proofErr w:type="spellEnd"/>
          </w:p>
        </w:tc>
        <w:tc>
          <w:tcPr>
            <w:tcW w:w="2812" w:type="dxa"/>
            <w:vMerge w:val="restart"/>
            <w:tcBorders>
              <w:left w:val="single" w:sz="4" w:space="0" w:color="auto"/>
              <w:right w:val="single" w:sz="4" w:space="0" w:color="auto"/>
            </w:tcBorders>
            <w:vAlign w:val="center"/>
          </w:tcPr>
          <w:p w:rsidR="00770134" w:rsidRDefault="00770134" w:rsidP="00C2196C">
            <w:pPr>
              <w:jc w:val="center"/>
              <w:rPr>
                <w:b/>
              </w:rPr>
            </w:pPr>
            <w:r>
              <w:rPr>
                <w:b/>
              </w:rPr>
              <w:t>Male, 50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28.861</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11.5</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87.2</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0.117</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0.239</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0.075</w:t>
            </w:r>
          </w:p>
        </w:tc>
      </w:tr>
      <w:tr w:rsidR="00770134" w:rsidRPr="0031099C" w:rsidTr="00C2196C">
        <w:trPr>
          <w:divId w:val="1548566716"/>
          <w:trHeight w:val="364"/>
        </w:trPr>
        <w:tc>
          <w:tcPr>
            <w:tcW w:w="1254" w:type="dxa"/>
            <w:vMerge/>
            <w:tcBorders>
              <w:left w:val="single" w:sz="4" w:space="0" w:color="auto"/>
              <w:right w:val="single" w:sz="4" w:space="0" w:color="auto"/>
            </w:tcBorders>
          </w:tcPr>
          <w:p w:rsidR="00770134" w:rsidRDefault="00770134" w:rsidP="00C2196C">
            <w:pPr>
              <w:rPr>
                <w:b/>
              </w:rPr>
            </w:pPr>
          </w:p>
        </w:tc>
        <w:tc>
          <w:tcPr>
            <w:tcW w:w="2812" w:type="dxa"/>
            <w:vMerge/>
            <w:tcBorders>
              <w:left w:val="single" w:sz="4" w:space="0" w:color="auto"/>
              <w:bottom w:val="single" w:sz="4" w:space="0" w:color="auto"/>
              <w:right w:val="single" w:sz="4" w:space="0" w:color="auto"/>
            </w:tcBorders>
          </w:tcPr>
          <w:p w:rsidR="00770134" w:rsidRDefault="00770134" w:rsidP="00C2196C">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28.963</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10.5</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1.8</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87.6</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0.108</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0.219</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0.014</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0.113</w:t>
            </w:r>
          </w:p>
        </w:tc>
      </w:tr>
      <w:tr w:rsidR="00770134" w:rsidRPr="0031099C" w:rsidTr="00C2196C">
        <w:trPr>
          <w:divId w:val="1548566716"/>
          <w:trHeight w:val="351"/>
        </w:trPr>
        <w:tc>
          <w:tcPr>
            <w:tcW w:w="1254" w:type="dxa"/>
            <w:vMerge/>
            <w:tcBorders>
              <w:left w:val="single" w:sz="4" w:space="0" w:color="auto"/>
              <w:right w:val="single" w:sz="4" w:space="0" w:color="auto"/>
            </w:tcBorders>
          </w:tcPr>
          <w:p w:rsidR="00770134" w:rsidRDefault="00770134" w:rsidP="00C2196C">
            <w:pPr>
              <w:rPr>
                <w:b/>
              </w:rPr>
            </w:pPr>
          </w:p>
        </w:tc>
        <w:tc>
          <w:tcPr>
            <w:tcW w:w="2812" w:type="dxa"/>
            <w:vMerge w:val="restart"/>
            <w:tcBorders>
              <w:left w:val="single" w:sz="4" w:space="0" w:color="auto"/>
              <w:right w:val="single" w:sz="4" w:space="0" w:color="auto"/>
            </w:tcBorders>
            <w:vAlign w:val="center"/>
          </w:tcPr>
          <w:p w:rsidR="00770134" w:rsidRDefault="00770134" w:rsidP="00C2196C">
            <w:pPr>
              <w:jc w:val="center"/>
              <w:rPr>
                <w:b/>
              </w:rPr>
            </w:pPr>
            <w:r>
              <w:rPr>
                <w:b/>
              </w:rPr>
              <w:t>Female, 50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31.657</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13.3</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1.6</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85.1</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0.136</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0.275</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0.012</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0.091</w:t>
            </w:r>
          </w:p>
        </w:tc>
      </w:tr>
      <w:tr w:rsidR="00770134" w:rsidRPr="0031099C" w:rsidTr="00C2196C">
        <w:trPr>
          <w:divId w:val="1548566716"/>
          <w:trHeight w:val="364"/>
        </w:trPr>
        <w:tc>
          <w:tcPr>
            <w:tcW w:w="1254" w:type="dxa"/>
            <w:vMerge/>
            <w:tcBorders>
              <w:left w:val="single" w:sz="4" w:space="0" w:color="auto"/>
              <w:right w:val="single" w:sz="4" w:space="0" w:color="auto"/>
            </w:tcBorders>
          </w:tcPr>
          <w:p w:rsidR="00770134" w:rsidRDefault="00770134" w:rsidP="00C2196C">
            <w:pPr>
              <w:rPr>
                <w:b/>
              </w:rPr>
            </w:pPr>
          </w:p>
        </w:tc>
        <w:tc>
          <w:tcPr>
            <w:tcW w:w="2812" w:type="dxa"/>
            <w:vMerge/>
            <w:tcBorders>
              <w:left w:val="single" w:sz="4" w:space="0" w:color="auto"/>
              <w:bottom w:val="single" w:sz="4" w:space="0" w:color="auto"/>
              <w:right w:val="single" w:sz="4" w:space="0" w:color="auto"/>
            </w:tcBorders>
          </w:tcPr>
          <w:p w:rsidR="00770134" w:rsidRDefault="00770134" w:rsidP="00C2196C">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31.772</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12.4</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2.1</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85.5</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0.127</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0.255</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0.017</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0.130</w:t>
            </w:r>
          </w:p>
        </w:tc>
      </w:tr>
      <w:tr w:rsidR="00421B11" w:rsidRPr="0031099C" w:rsidTr="00C2196C">
        <w:trPr>
          <w:divId w:val="1548566716"/>
          <w:trHeight w:val="330"/>
        </w:trPr>
        <w:tc>
          <w:tcPr>
            <w:tcW w:w="1254" w:type="dxa"/>
            <w:vMerge/>
            <w:tcBorders>
              <w:left w:val="single" w:sz="4" w:space="0" w:color="auto"/>
              <w:right w:val="single" w:sz="4" w:space="0" w:color="auto"/>
            </w:tcBorders>
          </w:tcPr>
          <w:p w:rsidR="00421B11" w:rsidRDefault="00421B11" w:rsidP="00C2196C">
            <w:pPr>
              <w:rPr>
                <w:b/>
              </w:rPr>
            </w:pPr>
          </w:p>
        </w:tc>
        <w:tc>
          <w:tcPr>
            <w:tcW w:w="2812" w:type="dxa"/>
            <w:vMerge w:val="restart"/>
            <w:tcBorders>
              <w:left w:val="single" w:sz="4" w:space="0" w:color="auto"/>
              <w:right w:val="single" w:sz="4" w:space="0" w:color="auto"/>
            </w:tcBorders>
            <w:vAlign w:val="center"/>
          </w:tcPr>
          <w:p w:rsidR="00421B11" w:rsidRDefault="00421B11" w:rsidP="00C2196C">
            <w:pPr>
              <w:jc w:val="center"/>
              <w:rPr>
                <w:b/>
              </w:rPr>
            </w:pPr>
            <w:r>
              <w:rPr>
                <w:b/>
              </w:rPr>
              <w:t>Male, 65 years old</w:t>
            </w: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17.141</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8.8</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0.9</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90.3</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0.085</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0.190</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0.007</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0.052</w:t>
            </w:r>
          </w:p>
        </w:tc>
      </w:tr>
      <w:tr w:rsidR="00421B11" w:rsidRPr="0031099C" w:rsidTr="00C2196C">
        <w:trPr>
          <w:divId w:val="1548566716"/>
          <w:trHeight w:val="385"/>
        </w:trPr>
        <w:tc>
          <w:tcPr>
            <w:tcW w:w="1254" w:type="dxa"/>
            <w:vMerge/>
            <w:tcBorders>
              <w:left w:val="single" w:sz="4" w:space="0" w:color="auto"/>
              <w:right w:val="single" w:sz="4" w:space="0" w:color="auto"/>
            </w:tcBorders>
          </w:tcPr>
          <w:p w:rsidR="00421B11" w:rsidRDefault="00421B11" w:rsidP="00C2196C">
            <w:pPr>
              <w:rPr>
                <w:b/>
              </w:rPr>
            </w:pPr>
          </w:p>
        </w:tc>
        <w:tc>
          <w:tcPr>
            <w:tcW w:w="2812" w:type="dxa"/>
            <w:vMerge/>
            <w:tcBorders>
              <w:left w:val="single" w:sz="4" w:space="0" w:color="auto"/>
              <w:bottom w:val="single" w:sz="4" w:space="0" w:color="auto"/>
              <w:right w:val="single" w:sz="4" w:space="0" w:color="auto"/>
            </w:tcBorders>
          </w:tcPr>
          <w:p w:rsidR="00421B11" w:rsidRDefault="00421B11" w:rsidP="00C2196C">
            <w:pPr>
              <w:rPr>
                <w:b/>
              </w:rPr>
            </w:pP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17.221</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7.8</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90.9</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0.076</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0.169</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0.080</w:t>
            </w:r>
          </w:p>
        </w:tc>
      </w:tr>
      <w:tr w:rsidR="00421B11" w:rsidRPr="0031099C" w:rsidTr="00C2196C">
        <w:trPr>
          <w:divId w:val="1548566716"/>
          <w:trHeight w:val="201"/>
        </w:trPr>
        <w:tc>
          <w:tcPr>
            <w:tcW w:w="1254" w:type="dxa"/>
            <w:vMerge/>
            <w:tcBorders>
              <w:left w:val="single" w:sz="4" w:space="0" w:color="auto"/>
              <w:right w:val="single" w:sz="4" w:space="0" w:color="auto"/>
            </w:tcBorders>
          </w:tcPr>
          <w:p w:rsidR="00421B11" w:rsidRDefault="00421B11" w:rsidP="00C2196C">
            <w:pPr>
              <w:rPr>
                <w:b/>
              </w:rPr>
            </w:pPr>
          </w:p>
        </w:tc>
        <w:tc>
          <w:tcPr>
            <w:tcW w:w="2812" w:type="dxa"/>
            <w:vMerge w:val="restart"/>
            <w:tcBorders>
              <w:left w:val="single" w:sz="4" w:space="0" w:color="auto"/>
              <w:right w:val="single" w:sz="4" w:space="0" w:color="auto"/>
            </w:tcBorders>
            <w:vAlign w:val="center"/>
          </w:tcPr>
          <w:p w:rsidR="00421B11" w:rsidRDefault="00421B11" w:rsidP="00C2196C">
            <w:pPr>
              <w:jc w:val="center"/>
              <w:rPr>
                <w:b/>
              </w:rPr>
            </w:pPr>
            <w:r>
              <w:rPr>
                <w:b/>
              </w:rPr>
              <w:t>Female, 65 years old</w:t>
            </w: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19.460</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10.5</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1.1</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88.4</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0.103</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0.223</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0.009</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0.066</w:t>
            </w:r>
          </w:p>
        </w:tc>
      </w:tr>
      <w:tr w:rsidR="00421B11" w:rsidRPr="0031099C" w:rsidTr="00C2196C">
        <w:trPr>
          <w:divId w:val="1548566716"/>
          <w:trHeight w:val="299"/>
        </w:trPr>
        <w:tc>
          <w:tcPr>
            <w:tcW w:w="1254" w:type="dxa"/>
            <w:vMerge/>
            <w:tcBorders>
              <w:left w:val="single" w:sz="4" w:space="0" w:color="auto"/>
              <w:bottom w:val="single" w:sz="4" w:space="0" w:color="auto"/>
              <w:right w:val="single" w:sz="4" w:space="0" w:color="auto"/>
            </w:tcBorders>
          </w:tcPr>
          <w:p w:rsidR="00421B11" w:rsidRDefault="00421B11" w:rsidP="00C2196C">
            <w:pPr>
              <w:rPr>
                <w:b/>
              </w:rPr>
            </w:pPr>
          </w:p>
        </w:tc>
        <w:tc>
          <w:tcPr>
            <w:tcW w:w="2812" w:type="dxa"/>
            <w:vMerge/>
            <w:tcBorders>
              <w:left w:val="single" w:sz="4" w:space="0" w:color="auto"/>
              <w:bottom w:val="single" w:sz="4" w:space="0" w:color="auto"/>
              <w:right w:val="single" w:sz="4" w:space="0" w:color="auto"/>
            </w:tcBorders>
          </w:tcPr>
          <w:p w:rsidR="00421B11" w:rsidRDefault="00421B11" w:rsidP="00C2196C">
            <w:pPr>
              <w:rPr>
                <w:b/>
              </w:rPr>
            </w:pP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19.554</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9.4</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1.6</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89.0</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0.093</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0.201</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0.012</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0.096</w:t>
            </w:r>
          </w:p>
        </w:tc>
      </w:tr>
      <w:tr w:rsidR="00421B11" w:rsidRPr="0031099C" w:rsidTr="00C2196C">
        <w:trPr>
          <w:divId w:val="1548566716"/>
          <w:trHeight w:val="201"/>
        </w:trPr>
        <w:tc>
          <w:tcPr>
            <w:tcW w:w="1254" w:type="dxa"/>
            <w:vMerge w:val="restart"/>
            <w:tcBorders>
              <w:top w:val="nil"/>
              <w:left w:val="single" w:sz="4" w:space="0" w:color="auto"/>
              <w:right w:val="single" w:sz="4" w:space="0" w:color="auto"/>
            </w:tcBorders>
          </w:tcPr>
          <w:p w:rsidR="00421B11" w:rsidRDefault="00421B11" w:rsidP="00C2196C">
            <w:pPr>
              <w:rPr>
                <w:b/>
              </w:rPr>
            </w:pPr>
            <w:proofErr w:type="spellStart"/>
            <w:r>
              <w:rPr>
                <w:b/>
              </w:rPr>
              <w:t>Dabigatran</w:t>
            </w:r>
            <w:proofErr w:type="spellEnd"/>
          </w:p>
        </w:tc>
        <w:tc>
          <w:tcPr>
            <w:tcW w:w="2812" w:type="dxa"/>
            <w:tcBorders>
              <w:left w:val="single" w:sz="4" w:space="0" w:color="auto"/>
              <w:bottom w:val="single" w:sz="4" w:space="0" w:color="auto"/>
              <w:right w:val="single" w:sz="4" w:space="0" w:color="auto"/>
            </w:tcBorders>
            <w:vAlign w:val="center"/>
          </w:tcPr>
          <w:p w:rsidR="00421B11" w:rsidRDefault="00421B11" w:rsidP="00C2196C">
            <w:pPr>
              <w:jc w:val="center"/>
              <w:rPr>
                <w:b/>
              </w:rPr>
            </w:pPr>
            <w:r>
              <w:rPr>
                <w:b/>
              </w:rPr>
              <w:t>Male, 65 years old</w:t>
            </w: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17.158</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8.6</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0.9</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90.5</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0.081</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0.188</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0.007</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0.053</w:t>
            </w:r>
          </w:p>
        </w:tc>
      </w:tr>
      <w:tr w:rsidR="00421B11" w:rsidRPr="0031099C" w:rsidTr="00C2196C">
        <w:trPr>
          <w:divId w:val="1548566716"/>
          <w:trHeight w:val="184"/>
        </w:trPr>
        <w:tc>
          <w:tcPr>
            <w:tcW w:w="1254" w:type="dxa"/>
            <w:vMerge/>
            <w:tcBorders>
              <w:top w:val="nil"/>
              <w:left w:val="single" w:sz="4" w:space="0" w:color="auto"/>
              <w:bottom w:val="single" w:sz="4" w:space="0" w:color="auto"/>
              <w:right w:val="single" w:sz="4" w:space="0" w:color="auto"/>
            </w:tcBorders>
          </w:tcPr>
          <w:p w:rsidR="00421B11" w:rsidRDefault="00421B11" w:rsidP="00C2196C">
            <w:pPr>
              <w:rPr>
                <w:b/>
              </w:rPr>
            </w:pPr>
          </w:p>
        </w:tc>
        <w:tc>
          <w:tcPr>
            <w:tcW w:w="2812" w:type="dxa"/>
            <w:tcBorders>
              <w:left w:val="single" w:sz="4" w:space="0" w:color="auto"/>
              <w:bottom w:val="single" w:sz="4" w:space="0" w:color="auto"/>
              <w:right w:val="single" w:sz="4" w:space="0" w:color="auto"/>
            </w:tcBorders>
            <w:vAlign w:val="center"/>
          </w:tcPr>
          <w:p w:rsidR="00421B11" w:rsidRDefault="00421B11" w:rsidP="00C2196C">
            <w:pPr>
              <w:jc w:val="center"/>
              <w:rPr>
                <w:b/>
              </w:rPr>
            </w:pPr>
            <w:r>
              <w:rPr>
                <w:b/>
              </w:rPr>
              <w:t>Female, 65 years old</w:t>
            </w: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17.251</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7.5</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91.2</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0.072</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0.163</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0.081</w:t>
            </w:r>
          </w:p>
        </w:tc>
      </w:tr>
    </w:tbl>
    <w:p w:rsidR="00421B11" w:rsidRDefault="00C2196C" w:rsidP="00C2196C">
      <w:pPr>
        <w:pStyle w:val="Heading2"/>
        <w:numPr>
          <w:ilvl w:val="0"/>
          <w:numId w:val="0"/>
        </w:numPr>
        <w:divId w:val="1548566716"/>
      </w:pPr>
      <w:r>
        <w:t>Appendix C: Simulated clinical outcomes</w:t>
      </w: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r>
        <w:lastRenderedPageBreak/>
        <w:br w:type="page"/>
      </w:r>
    </w:p>
    <w:p w:rsidR="006E20FD" w:rsidRPr="0031099C" w:rsidRDefault="00C2196C" w:rsidP="00C2196C">
      <w:pPr>
        <w:pStyle w:val="Heading2"/>
        <w:numPr>
          <w:ilvl w:val="0"/>
          <w:numId w:val="0"/>
        </w:numPr>
        <w:divId w:val="1548566716"/>
      </w:pPr>
      <w:r>
        <w:lastRenderedPageBreak/>
        <w:t xml:space="preserve">Appendix D: Scatterplots of estimated difference in costs and health outcomes </w:t>
      </w:r>
      <w:r w:rsidR="004628AD">
        <w:t>from probabilistic sensitivity analysis</w:t>
      </w:r>
    </w:p>
    <w:tbl>
      <w:tblPr>
        <w:tblStyle w:val="TableGrid"/>
        <w:tblW w:w="0" w:type="auto"/>
        <w:tblLook w:val="04A0" w:firstRow="1" w:lastRow="0" w:firstColumn="1" w:lastColumn="0" w:noHBand="0" w:noVBand="1"/>
      </w:tblPr>
      <w:tblGrid>
        <w:gridCol w:w="7087"/>
        <w:gridCol w:w="7087"/>
      </w:tblGrid>
      <w:tr w:rsidR="0046051B" w:rsidRPr="0031099C" w:rsidTr="006E20FD">
        <w:trPr>
          <w:divId w:val="1548566716"/>
          <w:trHeight w:val="5519"/>
        </w:trPr>
        <w:tc>
          <w:tcPr>
            <w:tcW w:w="7087" w:type="dxa"/>
          </w:tcPr>
          <w:p w:rsidR="006E20FD" w:rsidRPr="0031099C" w:rsidRDefault="009F5199" w:rsidP="006E20FD">
            <w:r>
              <w:rPr>
                <w:noProof/>
                <w:lang w:val="en-GB" w:eastAsia="en-GB"/>
              </w:rPr>
              <w:drawing>
                <wp:inline distT="0" distB="0" distL="0" distR="0" wp14:anchorId="224C7DC1" wp14:editId="6B812BCE">
                  <wp:extent cx="4146698" cy="4146698"/>
                  <wp:effectExtent l="0" t="0" r="0" b="0"/>
                  <wp:docPr id="4" name="Picture 4" descr="X:\BMJ Echo AF Manuscript\S8\scatter_W_50_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BMJ Echo AF Manuscript\S8\scatter_W_50_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6645" cy="4146645"/>
                          </a:xfrm>
                          <a:prstGeom prst="rect">
                            <a:avLst/>
                          </a:prstGeom>
                          <a:noFill/>
                          <a:ln>
                            <a:noFill/>
                          </a:ln>
                        </pic:spPr>
                      </pic:pic>
                    </a:graphicData>
                  </a:graphic>
                </wp:inline>
              </w:drawing>
            </w:r>
          </w:p>
        </w:tc>
        <w:tc>
          <w:tcPr>
            <w:tcW w:w="7087" w:type="dxa"/>
          </w:tcPr>
          <w:p w:rsidR="006E20FD" w:rsidRPr="0031099C" w:rsidRDefault="009F5199" w:rsidP="006E20FD">
            <w:r>
              <w:rPr>
                <w:noProof/>
                <w:lang w:val="en-GB" w:eastAsia="en-GB"/>
              </w:rPr>
              <w:drawing>
                <wp:inline distT="0" distB="0" distL="0" distR="0" wp14:anchorId="557A74BF" wp14:editId="55DDA76A">
                  <wp:extent cx="4125433" cy="4125433"/>
                  <wp:effectExtent l="0" t="0" r="0" b="0"/>
                  <wp:docPr id="3" name="Picture 3" descr="X:\BMJ Echo AF Manuscript\S8\scatter_W_50_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BMJ Echo AF Manuscript\S8\scatter_W_50_F.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5380" cy="4125380"/>
                          </a:xfrm>
                          <a:prstGeom prst="rect">
                            <a:avLst/>
                          </a:prstGeom>
                          <a:noFill/>
                          <a:ln>
                            <a:noFill/>
                          </a:ln>
                        </pic:spPr>
                      </pic:pic>
                    </a:graphicData>
                  </a:graphic>
                </wp:inline>
              </w:drawing>
            </w:r>
          </w:p>
        </w:tc>
      </w:tr>
      <w:tr w:rsidR="0031099C" w:rsidRPr="0031099C" w:rsidTr="006E20FD">
        <w:trPr>
          <w:divId w:val="1548566716"/>
        </w:trPr>
        <w:tc>
          <w:tcPr>
            <w:tcW w:w="7087" w:type="dxa"/>
          </w:tcPr>
          <w:p w:rsidR="006E20FD" w:rsidRPr="0031099C" w:rsidRDefault="006E20FD" w:rsidP="009F5199">
            <w:r w:rsidRPr="0031099C">
              <w:t xml:space="preserve">a ) </w:t>
            </w:r>
            <w:r w:rsidR="008A3090">
              <w:t>Warfarin, 50 years old, male</w:t>
            </w:r>
            <w:r w:rsidR="009F5199">
              <w:t>s</w:t>
            </w:r>
          </w:p>
        </w:tc>
        <w:tc>
          <w:tcPr>
            <w:tcW w:w="7087" w:type="dxa"/>
          </w:tcPr>
          <w:p w:rsidR="006E20FD" w:rsidRPr="0031099C" w:rsidRDefault="006E20FD" w:rsidP="009F5199">
            <w:r w:rsidRPr="0031099C">
              <w:t xml:space="preserve">b) </w:t>
            </w:r>
            <w:r w:rsidR="009F5199">
              <w:t>Warfarin, 50 years old, females</w:t>
            </w:r>
          </w:p>
        </w:tc>
      </w:tr>
    </w:tbl>
    <w:p w:rsidR="006E20FD" w:rsidRDefault="006E20FD" w:rsidP="006E20FD">
      <w:pPr>
        <w:divId w:val="1548566716"/>
      </w:pPr>
    </w:p>
    <w:p w:rsidR="009F5199" w:rsidRDefault="009F5199" w:rsidP="006E20FD">
      <w:pPr>
        <w:divId w:val="1548566716"/>
      </w:pPr>
    </w:p>
    <w:tbl>
      <w:tblPr>
        <w:tblStyle w:val="TableGrid"/>
        <w:tblW w:w="0" w:type="auto"/>
        <w:tblLook w:val="04A0" w:firstRow="1" w:lastRow="0" w:firstColumn="1" w:lastColumn="0" w:noHBand="0" w:noVBand="1"/>
      </w:tblPr>
      <w:tblGrid>
        <w:gridCol w:w="7087"/>
        <w:gridCol w:w="7087"/>
      </w:tblGrid>
      <w:tr w:rsidR="009F5199" w:rsidRPr="0031099C" w:rsidTr="009F5199">
        <w:trPr>
          <w:divId w:val="1548566716"/>
          <w:trHeight w:val="5519"/>
        </w:trPr>
        <w:tc>
          <w:tcPr>
            <w:tcW w:w="7087" w:type="dxa"/>
          </w:tcPr>
          <w:p w:rsidR="009F5199" w:rsidRPr="0031099C" w:rsidRDefault="009F5199" w:rsidP="00FA261E">
            <w:r>
              <w:rPr>
                <w:noProof/>
                <w:lang w:val="en-GB" w:eastAsia="en-GB"/>
              </w:rPr>
              <w:lastRenderedPageBreak/>
              <w:drawing>
                <wp:inline distT="0" distB="0" distL="0" distR="0" wp14:anchorId="109FBD40" wp14:editId="5B2BE99C">
                  <wp:extent cx="3359888" cy="3359888"/>
                  <wp:effectExtent l="0" t="0" r="0" b="0"/>
                  <wp:docPr id="8" name="Picture 8" descr="X:\BMJ Echo AF Manuscript\S8\scatter_W_65_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BMJ Echo AF Manuscript\S8\scatter_W_65_M.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9845" cy="3359845"/>
                          </a:xfrm>
                          <a:prstGeom prst="rect">
                            <a:avLst/>
                          </a:prstGeom>
                          <a:noFill/>
                          <a:ln>
                            <a:noFill/>
                          </a:ln>
                        </pic:spPr>
                      </pic:pic>
                    </a:graphicData>
                  </a:graphic>
                </wp:inline>
              </w:drawing>
            </w:r>
          </w:p>
        </w:tc>
        <w:tc>
          <w:tcPr>
            <w:tcW w:w="7087" w:type="dxa"/>
          </w:tcPr>
          <w:p w:rsidR="009F5199" w:rsidRPr="0031099C" w:rsidRDefault="009F5199" w:rsidP="00FA261E">
            <w:r>
              <w:rPr>
                <w:noProof/>
                <w:lang w:val="en-GB" w:eastAsia="en-GB"/>
              </w:rPr>
              <w:drawing>
                <wp:inline distT="0" distB="0" distL="0" distR="0">
                  <wp:extent cx="3615070" cy="3615070"/>
                  <wp:effectExtent l="0" t="0" r="0" b="0"/>
                  <wp:docPr id="15" name="Picture 15" descr="X:\BMJ Echo AF Manuscript\S8\scatter_W_65_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BMJ Echo AF Manuscript\S8\scatter_W_65_F.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5196" cy="3615196"/>
                          </a:xfrm>
                          <a:prstGeom prst="rect">
                            <a:avLst/>
                          </a:prstGeom>
                          <a:noFill/>
                          <a:ln>
                            <a:noFill/>
                          </a:ln>
                        </pic:spPr>
                      </pic:pic>
                    </a:graphicData>
                  </a:graphic>
                </wp:inline>
              </w:drawing>
            </w:r>
          </w:p>
        </w:tc>
      </w:tr>
      <w:tr w:rsidR="009F5199" w:rsidRPr="0031099C" w:rsidTr="009F5199">
        <w:trPr>
          <w:divId w:val="1548566716"/>
        </w:trPr>
        <w:tc>
          <w:tcPr>
            <w:tcW w:w="7087" w:type="dxa"/>
          </w:tcPr>
          <w:p w:rsidR="009F5199" w:rsidRPr="0031099C" w:rsidRDefault="009F5199" w:rsidP="009F5199">
            <w:r>
              <w:t>c</w:t>
            </w:r>
            <w:r w:rsidRPr="0031099C">
              <w:t xml:space="preserve"> ) </w:t>
            </w:r>
            <w:r>
              <w:t>Warfarin, 65 years old, males</w:t>
            </w:r>
          </w:p>
        </w:tc>
        <w:tc>
          <w:tcPr>
            <w:tcW w:w="7087" w:type="dxa"/>
          </w:tcPr>
          <w:p w:rsidR="009F5199" w:rsidRPr="0031099C" w:rsidRDefault="009F5199" w:rsidP="009F5199">
            <w:r>
              <w:t>d</w:t>
            </w:r>
            <w:r w:rsidRPr="0031099C">
              <w:t xml:space="preserve">) </w:t>
            </w:r>
            <w:r>
              <w:t>Warfarin, 65 years old, females</w:t>
            </w:r>
          </w:p>
        </w:tc>
      </w:tr>
    </w:tbl>
    <w:p w:rsidR="009F5199" w:rsidRDefault="009F5199" w:rsidP="006E20FD">
      <w:pPr>
        <w:divId w:val="1548566716"/>
      </w:pPr>
    </w:p>
    <w:tbl>
      <w:tblPr>
        <w:tblStyle w:val="TableGrid"/>
        <w:tblW w:w="0" w:type="auto"/>
        <w:tblLook w:val="04A0" w:firstRow="1" w:lastRow="0" w:firstColumn="1" w:lastColumn="0" w:noHBand="0" w:noVBand="1"/>
      </w:tblPr>
      <w:tblGrid>
        <w:gridCol w:w="7087"/>
        <w:gridCol w:w="7087"/>
      </w:tblGrid>
      <w:tr w:rsidR="009F5199" w:rsidRPr="0031099C" w:rsidTr="009F5199">
        <w:trPr>
          <w:divId w:val="1548566716"/>
          <w:trHeight w:val="5519"/>
        </w:trPr>
        <w:tc>
          <w:tcPr>
            <w:tcW w:w="7087" w:type="dxa"/>
          </w:tcPr>
          <w:p w:rsidR="009F5199" w:rsidRPr="0031099C" w:rsidRDefault="009F5199" w:rsidP="00FA261E">
            <w:r w:rsidRPr="0031099C">
              <w:rPr>
                <w:noProof/>
                <w:lang w:val="en-GB" w:eastAsia="en-GB"/>
              </w:rPr>
              <w:lastRenderedPageBreak/>
              <w:drawing>
                <wp:inline distT="0" distB="0" distL="0" distR="0" wp14:anchorId="0C1D5627" wp14:editId="5C7EBDE1">
                  <wp:extent cx="3780000" cy="3780000"/>
                  <wp:effectExtent l="0" t="0" r="0" b="0"/>
                  <wp:docPr id="38" name="Picture 21" descr="X:\EchoAF\R\Figures\R_50_0_M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X:\EchoAF\R\Figures\R_50_0_M__PSA.jpe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c>
          <w:tcPr>
            <w:tcW w:w="7087" w:type="dxa"/>
          </w:tcPr>
          <w:p w:rsidR="009F5199" w:rsidRPr="0031099C" w:rsidRDefault="009F5199" w:rsidP="00FA261E">
            <w:r w:rsidRPr="0031099C">
              <w:rPr>
                <w:noProof/>
                <w:lang w:val="en-GB" w:eastAsia="en-GB"/>
              </w:rPr>
              <w:drawing>
                <wp:inline distT="0" distB="0" distL="0" distR="0" wp14:anchorId="7B09F11B" wp14:editId="47739603">
                  <wp:extent cx="3780000" cy="3780000"/>
                  <wp:effectExtent l="0" t="0" r="0" b="0"/>
                  <wp:docPr id="40" name="Picture 23" descr="X:\EchoAF\R\Figures\R_50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X:\EchoAF\R\Figures\R_50_0_F__PSA.jpe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r>
      <w:tr w:rsidR="009F5199" w:rsidRPr="0031099C" w:rsidTr="009F5199">
        <w:trPr>
          <w:divId w:val="1548566716"/>
        </w:trPr>
        <w:tc>
          <w:tcPr>
            <w:tcW w:w="7087" w:type="dxa"/>
          </w:tcPr>
          <w:p w:rsidR="009F5199" w:rsidRPr="0031099C" w:rsidRDefault="009F5199" w:rsidP="009F5199">
            <w:r>
              <w:t xml:space="preserve">e ) </w:t>
            </w:r>
            <w:proofErr w:type="spellStart"/>
            <w:r>
              <w:t>Rivaroxaban</w:t>
            </w:r>
            <w:proofErr w:type="spellEnd"/>
            <w:r>
              <w:t>, 50 years old, males</w:t>
            </w:r>
          </w:p>
        </w:tc>
        <w:tc>
          <w:tcPr>
            <w:tcW w:w="7087" w:type="dxa"/>
          </w:tcPr>
          <w:p w:rsidR="009F5199" w:rsidRPr="0031099C" w:rsidRDefault="009F5199" w:rsidP="009F5199">
            <w:r>
              <w:t>f</w:t>
            </w:r>
            <w:r w:rsidRPr="0031099C">
              <w:t xml:space="preserve">) </w:t>
            </w:r>
            <w:proofErr w:type="spellStart"/>
            <w:r>
              <w:t>Rivaroxaban</w:t>
            </w:r>
            <w:proofErr w:type="spellEnd"/>
            <w:r>
              <w:t>, 50 years old, females</w:t>
            </w:r>
          </w:p>
        </w:tc>
      </w:tr>
    </w:tbl>
    <w:p w:rsidR="009F5199" w:rsidRDefault="009F5199" w:rsidP="006E20FD">
      <w:pPr>
        <w:divId w:val="1548566716"/>
      </w:pPr>
    </w:p>
    <w:p w:rsidR="009F5199" w:rsidRDefault="009F5199" w:rsidP="006E20FD">
      <w:pPr>
        <w:divId w:val="1548566716"/>
      </w:pPr>
    </w:p>
    <w:tbl>
      <w:tblPr>
        <w:tblStyle w:val="TableGrid"/>
        <w:tblW w:w="0" w:type="auto"/>
        <w:tblLook w:val="04A0" w:firstRow="1" w:lastRow="0" w:firstColumn="1" w:lastColumn="0" w:noHBand="0" w:noVBand="1"/>
      </w:tblPr>
      <w:tblGrid>
        <w:gridCol w:w="7087"/>
        <w:gridCol w:w="7087"/>
      </w:tblGrid>
      <w:tr w:rsidR="009F5199" w:rsidRPr="0031099C" w:rsidTr="009F5199">
        <w:trPr>
          <w:divId w:val="1548566716"/>
          <w:trHeight w:val="5519"/>
        </w:trPr>
        <w:tc>
          <w:tcPr>
            <w:tcW w:w="7087" w:type="dxa"/>
          </w:tcPr>
          <w:p w:rsidR="009F5199" w:rsidRPr="0031099C" w:rsidRDefault="009F5199" w:rsidP="00FA261E">
            <w:r w:rsidRPr="0031099C">
              <w:rPr>
                <w:noProof/>
                <w:lang w:val="en-GB" w:eastAsia="en-GB"/>
              </w:rPr>
              <w:lastRenderedPageBreak/>
              <w:drawing>
                <wp:inline distT="0" distB="0" distL="0" distR="0" wp14:anchorId="0226A645" wp14:editId="1FC562E2">
                  <wp:extent cx="3780000" cy="3780000"/>
                  <wp:effectExtent l="0" t="0" r="0" b="0"/>
                  <wp:docPr id="42" name="Picture 29" descr="X:\EchoAF\R\Figures\R_65_0_M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X:\EchoAF\R\Figures\R_65_0_M__PSA.jpe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c>
          <w:tcPr>
            <w:tcW w:w="7087" w:type="dxa"/>
          </w:tcPr>
          <w:p w:rsidR="009F5199" w:rsidRPr="0031099C" w:rsidRDefault="009F5199" w:rsidP="00FA261E">
            <w:r w:rsidRPr="0031099C">
              <w:rPr>
                <w:noProof/>
                <w:lang w:val="en-GB" w:eastAsia="en-GB"/>
              </w:rPr>
              <w:drawing>
                <wp:inline distT="0" distB="0" distL="0" distR="0" wp14:anchorId="2E52796B" wp14:editId="2D08C97A">
                  <wp:extent cx="3780000" cy="3780000"/>
                  <wp:effectExtent l="0" t="0" r="0" b="0"/>
                  <wp:docPr id="44" name="Picture 31" descr="X:\EchoAF\R\Figures\R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X:\EchoAF\R\Figures\R_65_0_F__PSA.jpe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r>
      <w:tr w:rsidR="009F5199" w:rsidRPr="0031099C" w:rsidTr="009F5199">
        <w:trPr>
          <w:divId w:val="1548566716"/>
        </w:trPr>
        <w:tc>
          <w:tcPr>
            <w:tcW w:w="7087" w:type="dxa"/>
          </w:tcPr>
          <w:p w:rsidR="009F5199" w:rsidRPr="0031099C" w:rsidRDefault="009F5199" w:rsidP="009F5199">
            <w:r>
              <w:t xml:space="preserve">g ) </w:t>
            </w:r>
            <w:proofErr w:type="spellStart"/>
            <w:r>
              <w:t>Rivaroxaban</w:t>
            </w:r>
            <w:proofErr w:type="spellEnd"/>
            <w:r>
              <w:t>, 65 years old, males</w:t>
            </w:r>
          </w:p>
        </w:tc>
        <w:tc>
          <w:tcPr>
            <w:tcW w:w="7087" w:type="dxa"/>
          </w:tcPr>
          <w:p w:rsidR="009F5199" w:rsidRPr="0031099C" w:rsidRDefault="009F5199" w:rsidP="009F5199">
            <w:r>
              <w:t>h</w:t>
            </w:r>
            <w:r w:rsidRPr="0031099C">
              <w:t xml:space="preserve">) </w:t>
            </w:r>
            <w:proofErr w:type="spellStart"/>
            <w:r>
              <w:t>Rivaroxaban</w:t>
            </w:r>
            <w:proofErr w:type="spellEnd"/>
            <w:r>
              <w:t>, 65 years old, females</w:t>
            </w:r>
          </w:p>
        </w:tc>
      </w:tr>
    </w:tbl>
    <w:p w:rsidR="009F5199" w:rsidRDefault="009F5199" w:rsidP="006E20FD">
      <w:pPr>
        <w:divId w:val="1548566716"/>
      </w:pPr>
    </w:p>
    <w:p w:rsidR="009F5199" w:rsidRDefault="009F5199" w:rsidP="006E20FD">
      <w:pPr>
        <w:divId w:val="1548566716"/>
      </w:pPr>
    </w:p>
    <w:tbl>
      <w:tblPr>
        <w:tblStyle w:val="TableGrid"/>
        <w:tblW w:w="0" w:type="auto"/>
        <w:tblLook w:val="04A0" w:firstRow="1" w:lastRow="0" w:firstColumn="1" w:lastColumn="0" w:noHBand="0" w:noVBand="1"/>
      </w:tblPr>
      <w:tblGrid>
        <w:gridCol w:w="7087"/>
        <w:gridCol w:w="7087"/>
      </w:tblGrid>
      <w:tr w:rsidR="009F5199" w:rsidRPr="0031099C" w:rsidTr="009F5199">
        <w:trPr>
          <w:divId w:val="1548566716"/>
          <w:trHeight w:val="5519"/>
        </w:trPr>
        <w:tc>
          <w:tcPr>
            <w:tcW w:w="7087" w:type="dxa"/>
          </w:tcPr>
          <w:p w:rsidR="009F5199" w:rsidRPr="0031099C" w:rsidRDefault="009F5199" w:rsidP="00FA261E">
            <w:r w:rsidRPr="0031099C">
              <w:rPr>
                <w:noProof/>
                <w:lang w:val="en-GB" w:eastAsia="en-GB"/>
              </w:rPr>
              <w:lastRenderedPageBreak/>
              <w:drawing>
                <wp:inline distT="0" distB="0" distL="0" distR="0" wp14:anchorId="5AF028A5" wp14:editId="4A543A5A">
                  <wp:extent cx="3780000" cy="3780000"/>
                  <wp:effectExtent l="0" t="0" r="0" b="0"/>
                  <wp:docPr id="46" name="Picture 33" descr="X:\EchoAF\R\Figures\D_65_0_M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X:\EchoAF\R\Figures\D_65_0_M__PSA.jpe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c>
          <w:tcPr>
            <w:tcW w:w="7087" w:type="dxa"/>
          </w:tcPr>
          <w:p w:rsidR="009F5199" w:rsidRPr="0031099C" w:rsidRDefault="009F5199" w:rsidP="00FA261E">
            <w:r w:rsidRPr="0031099C">
              <w:rPr>
                <w:noProof/>
                <w:lang w:val="en-GB" w:eastAsia="en-GB"/>
              </w:rPr>
              <w:drawing>
                <wp:inline distT="0" distB="0" distL="0" distR="0" wp14:anchorId="3C967DCC" wp14:editId="7464C583">
                  <wp:extent cx="3780000" cy="3780000"/>
                  <wp:effectExtent l="0" t="0" r="0" b="0"/>
                  <wp:docPr id="48" name="Picture 35" descr="X:\EchoAF\R\Figures\D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X:\EchoAF\R\Figures\D_65_0_F__PSA.jpe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r>
      <w:tr w:rsidR="009F5199" w:rsidRPr="0031099C" w:rsidTr="009F5199">
        <w:trPr>
          <w:divId w:val="1548566716"/>
        </w:trPr>
        <w:tc>
          <w:tcPr>
            <w:tcW w:w="7087" w:type="dxa"/>
          </w:tcPr>
          <w:p w:rsidR="009F5199" w:rsidRPr="0031099C" w:rsidRDefault="009F5199" w:rsidP="009F5199">
            <w:proofErr w:type="spellStart"/>
            <w:r>
              <w:t>i</w:t>
            </w:r>
            <w:proofErr w:type="spellEnd"/>
            <w:r>
              <w:t xml:space="preserve"> ) </w:t>
            </w:r>
            <w:proofErr w:type="spellStart"/>
            <w:r>
              <w:t>Dabigatran</w:t>
            </w:r>
            <w:proofErr w:type="spellEnd"/>
            <w:r>
              <w:t xml:space="preserve"> 65 years old, males</w:t>
            </w:r>
          </w:p>
        </w:tc>
        <w:tc>
          <w:tcPr>
            <w:tcW w:w="7087" w:type="dxa"/>
          </w:tcPr>
          <w:p w:rsidR="009F5199" w:rsidRPr="0031099C" w:rsidRDefault="009F5199" w:rsidP="009F5199">
            <w:r>
              <w:t>j</w:t>
            </w:r>
            <w:r w:rsidRPr="0031099C">
              <w:t xml:space="preserve">) </w:t>
            </w:r>
            <w:proofErr w:type="spellStart"/>
            <w:r>
              <w:t>Dabigatran</w:t>
            </w:r>
            <w:proofErr w:type="spellEnd"/>
            <w:r>
              <w:t>, 65 years old, females</w:t>
            </w:r>
          </w:p>
        </w:tc>
      </w:tr>
    </w:tbl>
    <w:p w:rsidR="009F5199" w:rsidRDefault="004628AD" w:rsidP="004628AD">
      <w:pPr>
        <w:pStyle w:val="Caption"/>
        <w:divId w:val="1548566716"/>
      </w:pPr>
      <w:r>
        <w:t xml:space="preserve">Table </w:t>
      </w:r>
      <w:r>
        <w:fldChar w:fldCharType="begin"/>
      </w:r>
      <w:r>
        <w:instrText xml:space="preserve"> SEQ Table \* ARABIC </w:instrText>
      </w:r>
      <w:r>
        <w:fldChar w:fldCharType="separate"/>
      </w:r>
      <w:r w:rsidR="00B66501">
        <w:rPr>
          <w:noProof/>
        </w:rPr>
        <w:t>7</w:t>
      </w:r>
      <w:r>
        <w:fldChar w:fldCharType="end"/>
      </w:r>
      <w:r>
        <w:t xml:space="preserve"> Scatterplots of estimated differences in health outcomes (in QALYs) and cost between the TTE and no TTE strategy for the ten populations simulated. QALY: Quality-adjusted life years. TTE: transthoracic echocardiography</w:t>
      </w:r>
    </w:p>
    <w:p w:rsidR="009F5199" w:rsidRDefault="009F5199" w:rsidP="006E20FD">
      <w:pPr>
        <w:divId w:val="1548566716"/>
      </w:pPr>
    </w:p>
    <w:p w:rsidR="009F5199" w:rsidRPr="0031099C" w:rsidRDefault="009F5199" w:rsidP="006E20FD">
      <w:pPr>
        <w:divId w:val="1548566716"/>
        <w:sectPr w:rsidR="009F5199" w:rsidRPr="0031099C" w:rsidSect="006E20FD">
          <w:pgSz w:w="16838" w:h="11906" w:orient="landscape"/>
          <w:pgMar w:top="1440" w:right="1440" w:bottom="1440" w:left="1440" w:header="708" w:footer="708" w:gutter="0"/>
          <w:cols w:space="708"/>
          <w:docGrid w:linePitch="360"/>
        </w:sectPr>
      </w:pPr>
    </w:p>
    <w:p w:rsidR="004628AD" w:rsidRPr="0031099C" w:rsidRDefault="004628AD" w:rsidP="004628AD">
      <w:pPr>
        <w:pStyle w:val="Heading2"/>
        <w:numPr>
          <w:ilvl w:val="0"/>
          <w:numId w:val="0"/>
        </w:numPr>
        <w:divId w:val="1548566716"/>
      </w:pPr>
      <w:r>
        <w:lastRenderedPageBreak/>
        <w:t>Appendix E: Summary of cost-effectiveness results of TTE compared with no TTE strategies for the 10 patient populations under consideration</w:t>
      </w:r>
    </w:p>
    <w:p w:rsidR="006E20FD" w:rsidRDefault="006E20FD" w:rsidP="006E20FD">
      <w:pPr>
        <w:divId w:val="1548566716"/>
      </w:pPr>
    </w:p>
    <w:tbl>
      <w:tblPr>
        <w:tblStyle w:val="TableGrid"/>
        <w:tblW w:w="0" w:type="auto"/>
        <w:tblLook w:val="04A0" w:firstRow="1" w:lastRow="0" w:firstColumn="1" w:lastColumn="0" w:noHBand="0" w:noVBand="1"/>
      </w:tblPr>
      <w:tblGrid>
        <w:gridCol w:w="1243"/>
        <w:gridCol w:w="1134"/>
        <w:gridCol w:w="993"/>
        <w:gridCol w:w="1274"/>
        <w:gridCol w:w="1133"/>
        <w:gridCol w:w="2267"/>
        <w:gridCol w:w="1198"/>
      </w:tblGrid>
      <w:tr w:rsidR="003D01CF" w:rsidTr="00BE7146">
        <w:trPr>
          <w:divId w:val="1548566716"/>
        </w:trPr>
        <w:tc>
          <w:tcPr>
            <w:tcW w:w="1243" w:type="dxa"/>
          </w:tcPr>
          <w:p w:rsidR="003D01CF" w:rsidRDefault="003D01CF" w:rsidP="006E20FD">
            <w:r>
              <w:t>OAC</w:t>
            </w:r>
          </w:p>
        </w:tc>
        <w:tc>
          <w:tcPr>
            <w:tcW w:w="1134" w:type="dxa"/>
          </w:tcPr>
          <w:p w:rsidR="003D01CF" w:rsidRDefault="003D01CF" w:rsidP="006E20FD">
            <w:r>
              <w:t>Patient Population</w:t>
            </w:r>
          </w:p>
        </w:tc>
        <w:tc>
          <w:tcPr>
            <w:tcW w:w="993" w:type="dxa"/>
          </w:tcPr>
          <w:p w:rsidR="003D01CF" w:rsidRDefault="003D01CF" w:rsidP="006E20FD">
            <w:r>
              <w:t>Strategy</w:t>
            </w:r>
          </w:p>
        </w:tc>
        <w:tc>
          <w:tcPr>
            <w:tcW w:w="1274" w:type="dxa"/>
          </w:tcPr>
          <w:p w:rsidR="003D01CF" w:rsidRDefault="003D01CF" w:rsidP="006E20FD">
            <w:r>
              <w:t>Mean Cost</w:t>
            </w:r>
            <w:r w:rsidR="00BE7146">
              <w:t xml:space="preserve"> (£)</w:t>
            </w:r>
          </w:p>
        </w:tc>
        <w:tc>
          <w:tcPr>
            <w:tcW w:w="1133" w:type="dxa"/>
          </w:tcPr>
          <w:p w:rsidR="003D01CF" w:rsidRDefault="003D01CF" w:rsidP="006E20FD">
            <w:r>
              <w:t>Mean QALY</w:t>
            </w:r>
          </w:p>
        </w:tc>
        <w:tc>
          <w:tcPr>
            <w:tcW w:w="2267" w:type="dxa"/>
          </w:tcPr>
          <w:p w:rsidR="003D01CF" w:rsidRDefault="003D01CF" w:rsidP="006E20FD">
            <w:r>
              <w:t xml:space="preserve">ICER (95% </w:t>
            </w:r>
            <w:proofErr w:type="spellStart"/>
            <w:r>
              <w:t>CrI</w:t>
            </w:r>
            <w:proofErr w:type="spellEnd"/>
            <w:r>
              <w:t>)</w:t>
            </w:r>
            <w:r w:rsidR="00BE7146">
              <w:t>, £/QALY</w:t>
            </w:r>
          </w:p>
        </w:tc>
        <w:tc>
          <w:tcPr>
            <w:tcW w:w="1198" w:type="dxa"/>
          </w:tcPr>
          <w:p w:rsidR="003D01CF" w:rsidRDefault="003D01CF" w:rsidP="00BE7146">
            <w:r>
              <w:t>TTE dominated?</w:t>
            </w:r>
          </w:p>
        </w:tc>
      </w:tr>
      <w:tr w:rsidR="00BE7146" w:rsidTr="00BE7146">
        <w:trPr>
          <w:divId w:val="1548566716"/>
          <w:trHeight w:val="385"/>
        </w:trPr>
        <w:tc>
          <w:tcPr>
            <w:tcW w:w="1243" w:type="dxa"/>
            <w:vMerge w:val="restart"/>
          </w:tcPr>
          <w:p w:rsidR="00BE7146" w:rsidRDefault="00BE7146" w:rsidP="006E20FD">
            <w:r>
              <w:t>Warfarin</w:t>
            </w:r>
          </w:p>
        </w:tc>
        <w:tc>
          <w:tcPr>
            <w:tcW w:w="1134" w:type="dxa"/>
            <w:vMerge w:val="restart"/>
          </w:tcPr>
          <w:p w:rsidR="00BE7146" w:rsidRDefault="00BE7146" w:rsidP="006E20FD">
            <w:r>
              <w:t>Male, Aged 50</w:t>
            </w:r>
          </w:p>
        </w:tc>
        <w:tc>
          <w:tcPr>
            <w:tcW w:w="993" w:type="dxa"/>
          </w:tcPr>
          <w:p w:rsidR="00BE7146" w:rsidRDefault="00BE7146" w:rsidP="00FA261E">
            <w:r>
              <w:t>No TTE</w:t>
            </w:r>
          </w:p>
        </w:tc>
        <w:tc>
          <w:tcPr>
            <w:tcW w:w="1274" w:type="dxa"/>
          </w:tcPr>
          <w:p w:rsidR="00BE7146" w:rsidRDefault="00227261" w:rsidP="006E20FD">
            <w:r>
              <w:t>2459</w:t>
            </w:r>
          </w:p>
        </w:tc>
        <w:tc>
          <w:tcPr>
            <w:tcW w:w="1133" w:type="dxa"/>
          </w:tcPr>
          <w:p w:rsidR="00BE7146" w:rsidRDefault="00227261" w:rsidP="00227261">
            <w:r>
              <w:t>13</w:t>
            </w:r>
            <w:r w:rsidR="00BE7146">
              <w:t>.</w:t>
            </w:r>
            <w:r>
              <w:t>60</w:t>
            </w:r>
          </w:p>
        </w:tc>
        <w:tc>
          <w:tcPr>
            <w:tcW w:w="2267" w:type="dxa"/>
            <w:vMerge w:val="restart"/>
          </w:tcPr>
          <w:p w:rsidR="00BE7146" w:rsidRDefault="00BE7146" w:rsidP="006E20FD">
            <w:r>
              <w:t>-</w:t>
            </w:r>
            <w:r w:rsidR="00227261">
              <w:t>26</w:t>
            </w:r>
            <w:r w:rsidR="007A14AB">
              <w:t xml:space="preserve"> </w:t>
            </w:r>
            <w:r w:rsidR="00227261">
              <w:t>489</w:t>
            </w:r>
            <w:r>
              <w:t xml:space="preserve"> </w:t>
            </w:r>
          </w:p>
          <w:p w:rsidR="00BE7146" w:rsidRDefault="00BE7146" w:rsidP="00227261">
            <w:r>
              <w:t>(-</w:t>
            </w:r>
            <w:r w:rsidR="00227261">
              <w:t>26</w:t>
            </w:r>
            <w:r w:rsidR="007A14AB">
              <w:t xml:space="preserve"> </w:t>
            </w:r>
            <w:r w:rsidR="00227261">
              <w:t>552</w:t>
            </w:r>
            <w:r>
              <w:t xml:space="preserve"> to -</w:t>
            </w:r>
            <w:r w:rsidR="00227261">
              <w:t>26</w:t>
            </w:r>
            <w:r w:rsidR="007A14AB">
              <w:t xml:space="preserve"> </w:t>
            </w:r>
            <w:r w:rsidR="00227261">
              <w:t>408</w:t>
            </w:r>
            <w:r>
              <w:t>)</w:t>
            </w:r>
          </w:p>
        </w:tc>
        <w:tc>
          <w:tcPr>
            <w:tcW w:w="1198" w:type="dxa"/>
            <w:vMerge w:val="restart"/>
          </w:tcPr>
          <w:p w:rsidR="00BE7146" w:rsidRDefault="00BE7146" w:rsidP="006E20FD">
            <w:r>
              <w:t>Yes</w:t>
            </w:r>
          </w:p>
        </w:tc>
      </w:tr>
      <w:tr w:rsidR="00BE7146" w:rsidTr="00BE7146">
        <w:trPr>
          <w:divId w:val="1548566716"/>
          <w:trHeight w:val="352"/>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227261" w:rsidP="006E20FD">
            <w:r>
              <w:t>4712</w:t>
            </w:r>
          </w:p>
        </w:tc>
        <w:tc>
          <w:tcPr>
            <w:tcW w:w="1133" w:type="dxa"/>
          </w:tcPr>
          <w:p w:rsidR="00BE7146" w:rsidRDefault="00227261" w:rsidP="00227261">
            <w:r>
              <w:t>13.51</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Height w:val="318"/>
        </w:trPr>
        <w:tc>
          <w:tcPr>
            <w:tcW w:w="1243" w:type="dxa"/>
            <w:vMerge/>
          </w:tcPr>
          <w:p w:rsidR="00BE7146" w:rsidRDefault="00BE7146" w:rsidP="006E20FD"/>
        </w:tc>
        <w:tc>
          <w:tcPr>
            <w:tcW w:w="1134" w:type="dxa"/>
            <w:vMerge w:val="restart"/>
          </w:tcPr>
          <w:p w:rsidR="00BE7146" w:rsidRDefault="00BE7146" w:rsidP="003D01CF">
            <w:r>
              <w:t>Female, Aged 50</w:t>
            </w:r>
          </w:p>
        </w:tc>
        <w:tc>
          <w:tcPr>
            <w:tcW w:w="993" w:type="dxa"/>
          </w:tcPr>
          <w:p w:rsidR="00BE7146" w:rsidRDefault="00BE7146" w:rsidP="00FA261E">
            <w:r>
              <w:t>No TTE</w:t>
            </w:r>
          </w:p>
        </w:tc>
        <w:tc>
          <w:tcPr>
            <w:tcW w:w="1274" w:type="dxa"/>
          </w:tcPr>
          <w:p w:rsidR="00BE7146" w:rsidRDefault="00227261" w:rsidP="006E20FD">
            <w:r>
              <w:t>2815</w:t>
            </w:r>
          </w:p>
        </w:tc>
        <w:tc>
          <w:tcPr>
            <w:tcW w:w="1133" w:type="dxa"/>
          </w:tcPr>
          <w:p w:rsidR="00BE7146" w:rsidRDefault="00227261" w:rsidP="006E20FD">
            <w:r>
              <w:t>14.27</w:t>
            </w:r>
          </w:p>
        </w:tc>
        <w:tc>
          <w:tcPr>
            <w:tcW w:w="2267" w:type="dxa"/>
            <w:vMerge w:val="restart"/>
          </w:tcPr>
          <w:p w:rsidR="00BE7146" w:rsidRDefault="00227261" w:rsidP="006E20FD">
            <w:r>
              <w:t>-34</w:t>
            </w:r>
            <w:r w:rsidR="007A14AB">
              <w:t xml:space="preserve"> </w:t>
            </w:r>
            <w:r>
              <w:t>078</w:t>
            </w:r>
          </w:p>
          <w:p w:rsidR="00227261" w:rsidRDefault="00227261" w:rsidP="006E20FD">
            <w:r>
              <w:t>(-34</w:t>
            </w:r>
            <w:r w:rsidR="007A14AB">
              <w:t xml:space="preserve"> </w:t>
            </w:r>
            <w:r>
              <w:t>175 to -33</w:t>
            </w:r>
            <w:r w:rsidR="007A14AB">
              <w:t xml:space="preserve"> </w:t>
            </w:r>
            <w:r>
              <w:t>952)</w:t>
            </w:r>
          </w:p>
        </w:tc>
        <w:tc>
          <w:tcPr>
            <w:tcW w:w="1198" w:type="dxa"/>
            <w:vMerge w:val="restart"/>
          </w:tcPr>
          <w:p w:rsidR="00BE7146" w:rsidRDefault="00227261" w:rsidP="006E20FD">
            <w:r>
              <w:t>Yes</w:t>
            </w:r>
          </w:p>
        </w:tc>
      </w:tr>
      <w:tr w:rsidR="00BE7146" w:rsidTr="00BE7146">
        <w:trPr>
          <w:divId w:val="1548566716"/>
          <w:trHeight w:val="419"/>
        </w:trPr>
        <w:tc>
          <w:tcPr>
            <w:tcW w:w="1243" w:type="dxa"/>
            <w:vMerge/>
          </w:tcPr>
          <w:p w:rsidR="00BE7146" w:rsidRDefault="00BE7146" w:rsidP="006E20FD"/>
        </w:tc>
        <w:tc>
          <w:tcPr>
            <w:tcW w:w="1134" w:type="dxa"/>
            <w:vMerge/>
          </w:tcPr>
          <w:p w:rsidR="00BE7146" w:rsidRDefault="00BE7146" w:rsidP="003D01CF"/>
        </w:tc>
        <w:tc>
          <w:tcPr>
            <w:tcW w:w="993" w:type="dxa"/>
          </w:tcPr>
          <w:p w:rsidR="00BE7146" w:rsidRDefault="00BE7146" w:rsidP="00FA261E">
            <w:r>
              <w:t>TTE</w:t>
            </w:r>
          </w:p>
        </w:tc>
        <w:tc>
          <w:tcPr>
            <w:tcW w:w="1274" w:type="dxa"/>
          </w:tcPr>
          <w:p w:rsidR="00BE7146" w:rsidRDefault="00227261" w:rsidP="006E20FD">
            <w:r>
              <w:t>5405</w:t>
            </w:r>
          </w:p>
        </w:tc>
        <w:tc>
          <w:tcPr>
            <w:tcW w:w="1133" w:type="dxa"/>
          </w:tcPr>
          <w:p w:rsidR="00BE7146" w:rsidRDefault="00227261" w:rsidP="006E20FD">
            <w:r>
              <w:t>14.19</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Height w:val="352"/>
        </w:trPr>
        <w:tc>
          <w:tcPr>
            <w:tcW w:w="1243" w:type="dxa"/>
            <w:vMerge/>
          </w:tcPr>
          <w:p w:rsidR="00BE7146" w:rsidRDefault="00BE7146" w:rsidP="006E20FD"/>
        </w:tc>
        <w:tc>
          <w:tcPr>
            <w:tcW w:w="1134" w:type="dxa"/>
            <w:vMerge w:val="restart"/>
          </w:tcPr>
          <w:p w:rsidR="00BE7146" w:rsidRDefault="00BE7146" w:rsidP="003D01CF">
            <w:r>
              <w:t>Male, Aged 65</w:t>
            </w:r>
          </w:p>
        </w:tc>
        <w:tc>
          <w:tcPr>
            <w:tcW w:w="993" w:type="dxa"/>
          </w:tcPr>
          <w:p w:rsidR="00BE7146" w:rsidRDefault="00BE7146" w:rsidP="00FA261E">
            <w:r>
              <w:t>No TTE</w:t>
            </w:r>
          </w:p>
        </w:tc>
        <w:tc>
          <w:tcPr>
            <w:tcW w:w="1274" w:type="dxa"/>
          </w:tcPr>
          <w:p w:rsidR="00BE7146" w:rsidRDefault="00BE7146" w:rsidP="006E20FD">
            <w:r>
              <w:t>1527</w:t>
            </w:r>
          </w:p>
        </w:tc>
        <w:tc>
          <w:tcPr>
            <w:tcW w:w="1133" w:type="dxa"/>
          </w:tcPr>
          <w:p w:rsidR="00BE7146" w:rsidRDefault="00BE7146" w:rsidP="006E20FD">
            <w:r>
              <w:t>9.12</w:t>
            </w:r>
          </w:p>
        </w:tc>
        <w:tc>
          <w:tcPr>
            <w:tcW w:w="2267" w:type="dxa"/>
            <w:vMerge w:val="restart"/>
          </w:tcPr>
          <w:p w:rsidR="00BE7146" w:rsidRDefault="00BE7146" w:rsidP="006E20FD">
            <w:r>
              <w:t>66</w:t>
            </w:r>
            <w:r w:rsidR="007A14AB">
              <w:t xml:space="preserve"> </w:t>
            </w:r>
            <w:r>
              <w:t xml:space="preserve">793 </w:t>
            </w:r>
          </w:p>
          <w:p w:rsidR="00BE7146" w:rsidRDefault="00BE7146" w:rsidP="006E20FD">
            <w:r>
              <w:t>(66</w:t>
            </w:r>
            <w:r w:rsidR="007A14AB">
              <w:t xml:space="preserve"> </w:t>
            </w:r>
            <w:r>
              <w:t>217 to 67</w:t>
            </w:r>
            <w:r w:rsidR="007A14AB">
              <w:t xml:space="preserve"> </w:t>
            </w:r>
            <w:r>
              <w:t>599)</w:t>
            </w:r>
          </w:p>
        </w:tc>
        <w:tc>
          <w:tcPr>
            <w:tcW w:w="1198" w:type="dxa"/>
            <w:vMerge w:val="restart"/>
          </w:tcPr>
          <w:p w:rsidR="00BE7146" w:rsidRDefault="00BE7146" w:rsidP="006E20FD">
            <w:r>
              <w:t>No</w:t>
            </w:r>
          </w:p>
        </w:tc>
      </w:tr>
      <w:tr w:rsidR="00BE7146" w:rsidTr="00BE7146">
        <w:trPr>
          <w:divId w:val="1548566716"/>
          <w:trHeight w:val="368"/>
        </w:trPr>
        <w:tc>
          <w:tcPr>
            <w:tcW w:w="1243" w:type="dxa"/>
            <w:vMerge/>
          </w:tcPr>
          <w:p w:rsidR="00BE7146" w:rsidRDefault="00BE7146" w:rsidP="006E20FD"/>
        </w:tc>
        <w:tc>
          <w:tcPr>
            <w:tcW w:w="1134" w:type="dxa"/>
            <w:vMerge/>
          </w:tcPr>
          <w:p w:rsidR="00BE7146" w:rsidRDefault="00BE7146" w:rsidP="003D01CF"/>
        </w:tc>
        <w:tc>
          <w:tcPr>
            <w:tcW w:w="993" w:type="dxa"/>
          </w:tcPr>
          <w:p w:rsidR="00BE7146" w:rsidRDefault="00BE7146" w:rsidP="00FA261E">
            <w:r>
              <w:t>TTE</w:t>
            </w:r>
          </w:p>
        </w:tc>
        <w:tc>
          <w:tcPr>
            <w:tcW w:w="1274" w:type="dxa"/>
          </w:tcPr>
          <w:p w:rsidR="00BE7146" w:rsidRDefault="00BE7146" w:rsidP="006E20FD">
            <w:r>
              <w:t>2467</w:t>
            </w:r>
          </w:p>
        </w:tc>
        <w:tc>
          <w:tcPr>
            <w:tcW w:w="1133" w:type="dxa"/>
          </w:tcPr>
          <w:p w:rsidR="00BE7146" w:rsidRDefault="00BE7146" w:rsidP="006E20FD">
            <w:r>
              <w:t>9.13</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Height w:val="435"/>
        </w:trPr>
        <w:tc>
          <w:tcPr>
            <w:tcW w:w="1243" w:type="dxa"/>
            <w:vMerge/>
          </w:tcPr>
          <w:p w:rsidR="00BE7146" w:rsidRDefault="00BE7146" w:rsidP="006E20FD"/>
        </w:tc>
        <w:tc>
          <w:tcPr>
            <w:tcW w:w="1134" w:type="dxa"/>
            <w:vMerge w:val="restart"/>
          </w:tcPr>
          <w:p w:rsidR="00BE7146" w:rsidRDefault="00BE7146" w:rsidP="003D01CF">
            <w:r>
              <w:t>Female, Aged 65</w:t>
            </w:r>
          </w:p>
        </w:tc>
        <w:tc>
          <w:tcPr>
            <w:tcW w:w="993" w:type="dxa"/>
          </w:tcPr>
          <w:p w:rsidR="00BE7146" w:rsidRDefault="00BE7146" w:rsidP="00FA261E">
            <w:r>
              <w:t>No TTE</w:t>
            </w:r>
          </w:p>
        </w:tc>
        <w:tc>
          <w:tcPr>
            <w:tcW w:w="1274" w:type="dxa"/>
          </w:tcPr>
          <w:p w:rsidR="00BE7146" w:rsidRDefault="00BE7146" w:rsidP="006E20FD">
            <w:r>
              <w:t>1974</w:t>
            </w:r>
          </w:p>
        </w:tc>
        <w:tc>
          <w:tcPr>
            <w:tcW w:w="1133" w:type="dxa"/>
          </w:tcPr>
          <w:p w:rsidR="00BE7146" w:rsidRDefault="00BE7146" w:rsidP="006E20FD">
            <w:r>
              <w:t>9.94</w:t>
            </w:r>
          </w:p>
        </w:tc>
        <w:tc>
          <w:tcPr>
            <w:tcW w:w="2267" w:type="dxa"/>
            <w:vMerge w:val="restart"/>
          </w:tcPr>
          <w:p w:rsidR="00BE7146" w:rsidRDefault="00BE7146" w:rsidP="006E20FD">
            <w:r>
              <w:t>39</w:t>
            </w:r>
            <w:r w:rsidR="007A14AB">
              <w:t xml:space="preserve"> </w:t>
            </w:r>
            <w:r>
              <w:t xml:space="preserve">485 </w:t>
            </w:r>
          </w:p>
          <w:p w:rsidR="00BE7146" w:rsidRDefault="00BE7146" w:rsidP="006E20FD">
            <w:r>
              <w:t>(39</w:t>
            </w:r>
            <w:r w:rsidR="007A14AB">
              <w:t xml:space="preserve"> </w:t>
            </w:r>
            <w:r>
              <w:t>291 to 39</w:t>
            </w:r>
            <w:r w:rsidR="007A14AB">
              <w:t xml:space="preserve"> </w:t>
            </w:r>
            <w:r>
              <w:t>754)</w:t>
            </w:r>
          </w:p>
        </w:tc>
        <w:tc>
          <w:tcPr>
            <w:tcW w:w="1198" w:type="dxa"/>
            <w:vMerge w:val="restart"/>
          </w:tcPr>
          <w:p w:rsidR="00BE7146" w:rsidRDefault="00BE7146" w:rsidP="006E20FD">
            <w:r>
              <w:t>No</w:t>
            </w:r>
          </w:p>
        </w:tc>
      </w:tr>
      <w:tr w:rsidR="00BE7146" w:rsidTr="00BE7146">
        <w:trPr>
          <w:divId w:val="1548566716"/>
          <w:trHeight w:val="285"/>
        </w:trPr>
        <w:tc>
          <w:tcPr>
            <w:tcW w:w="1243" w:type="dxa"/>
            <w:vMerge/>
          </w:tcPr>
          <w:p w:rsidR="00BE7146" w:rsidRDefault="00BE7146" w:rsidP="006E20FD"/>
        </w:tc>
        <w:tc>
          <w:tcPr>
            <w:tcW w:w="1134" w:type="dxa"/>
            <w:vMerge/>
          </w:tcPr>
          <w:p w:rsidR="00BE7146" w:rsidRDefault="00BE7146" w:rsidP="003D01CF"/>
        </w:tc>
        <w:tc>
          <w:tcPr>
            <w:tcW w:w="993" w:type="dxa"/>
          </w:tcPr>
          <w:p w:rsidR="00BE7146" w:rsidRDefault="00BE7146" w:rsidP="00FA261E">
            <w:r>
              <w:t>TTE</w:t>
            </w:r>
          </w:p>
        </w:tc>
        <w:tc>
          <w:tcPr>
            <w:tcW w:w="1274" w:type="dxa"/>
          </w:tcPr>
          <w:p w:rsidR="00BE7146" w:rsidRDefault="00BE7146" w:rsidP="006E20FD">
            <w:r>
              <w:t>3106</w:t>
            </w:r>
          </w:p>
        </w:tc>
        <w:tc>
          <w:tcPr>
            <w:tcW w:w="1133" w:type="dxa"/>
          </w:tcPr>
          <w:p w:rsidR="00BE7146" w:rsidRDefault="00BE7146" w:rsidP="006E20FD">
            <w:r>
              <w:t>9.97</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val="restart"/>
          </w:tcPr>
          <w:p w:rsidR="00BE7146" w:rsidRDefault="00BE7146" w:rsidP="006E20FD">
            <w:proofErr w:type="spellStart"/>
            <w:r>
              <w:t>Rivaroxaban</w:t>
            </w:r>
            <w:proofErr w:type="spellEnd"/>
          </w:p>
        </w:tc>
        <w:tc>
          <w:tcPr>
            <w:tcW w:w="1134" w:type="dxa"/>
            <w:vMerge w:val="restart"/>
          </w:tcPr>
          <w:p w:rsidR="00BE7146" w:rsidRDefault="00BE7146" w:rsidP="00FA261E">
            <w:r>
              <w:t>Male, Aged 50</w:t>
            </w:r>
          </w:p>
        </w:tc>
        <w:tc>
          <w:tcPr>
            <w:tcW w:w="993" w:type="dxa"/>
          </w:tcPr>
          <w:p w:rsidR="00BE7146" w:rsidRDefault="00BE7146" w:rsidP="00FA261E">
            <w:r>
              <w:t>No TTE</w:t>
            </w:r>
          </w:p>
        </w:tc>
        <w:tc>
          <w:tcPr>
            <w:tcW w:w="1274" w:type="dxa"/>
          </w:tcPr>
          <w:p w:rsidR="00BE7146" w:rsidRDefault="00BE7146" w:rsidP="006E20FD">
            <w:r>
              <w:t>2449</w:t>
            </w:r>
          </w:p>
        </w:tc>
        <w:tc>
          <w:tcPr>
            <w:tcW w:w="1133" w:type="dxa"/>
          </w:tcPr>
          <w:p w:rsidR="00BE7146" w:rsidRDefault="00BE7146" w:rsidP="006E20FD">
            <w:r>
              <w:t>13.61</w:t>
            </w:r>
          </w:p>
        </w:tc>
        <w:tc>
          <w:tcPr>
            <w:tcW w:w="2267" w:type="dxa"/>
            <w:vMerge w:val="restart"/>
          </w:tcPr>
          <w:p w:rsidR="00BE7146" w:rsidRDefault="00BE7146" w:rsidP="006E20FD">
            <w:r>
              <w:t>-34</w:t>
            </w:r>
            <w:r w:rsidR="007A14AB">
              <w:t xml:space="preserve"> </w:t>
            </w:r>
            <w:r>
              <w:t xml:space="preserve">060 </w:t>
            </w:r>
          </w:p>
          <w:p w:rsidR="00BE7146" w:rsidRDefault="00BE7146" w:rsidP="006E20FD">
            <w:r>
              <w:t>(-34</w:t>
            </w:r>
            <w:r w:rsidR="007A14AB">
              <w:t xml:space="preserve"> </w:t>
            </w:r>
            <w:r>
              <w:t>170 to -33</w:t>
            </w:r>
            <w:r w:rsidR="007A14AB">
              <w:t xml:space="preserve"> </w:t>
            </w:r>
            <w:r>
              <w:t>910)</w:t>
            </w:r>
          </w:p>
        </w:tc>
        <w:tc>
          <w:tcPr>
            <w:tcW w:w="1198" w:type="dxa"/>
            <w:vMerge w:val="restart"/>
          </w:tcPr>
          <w:p w:rsidR="00BE7146" w:rsidRDefault="00BE7146" w:rsidP="006E20FD">
            <w:r>
              <w:t>Yes</w:t>
            </w:r>
          </w:p>
        </w:tc>
      </w:tr>
      <w:tr w:rsidR="00BE7146" w:rsidTr="00BE7146">
        <w:trPr>
          <w:divId w:val="1548566716"/>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BE7146" w:rsidP="006E20FD">
            <w:r>
              <w:t>4614</w:t>
            </w:r>
          </w:p>
        </w:tc>
        <w:tc>
          <w:tcPr>
            <w:tcW w:w="1133" w:type="dxa"/>
          </w:tcPr>
          <w:p w:rsidR="00BE7146" w:rsidRDefault="00BE7146" w:rsidP="006E20FD">
            <w:r>
              <w:t>13.54</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tcPr>
          <w:p w:rsidR="00BE7146" w:rsidRDefault="00BE7146" w:rsidP="006E20FD"/>
        </w:tc>
        <w:tc>
          <w:tcPr>
            <w:tcW w:w="1134" w:type="dxa"/>
            <w:vMerge w:val="restart"/>
          </w:tcPr>
          <w:p w:rsidR="00BE7146" w:rsidRDefault="00BE7146" w:rsidP="006E20FD">
            <w:r>
              <w:t>Female, Aged 50</w:t>
            </w:r>
          </w:p>
        </w:tc>
        <w:tc>
          <w:tcPr>
            <w:tcW w:w="993" w:type="dxa"/>
          </w:tcPr>
          <w:p w:rsidR="00BE7146" w:rsidRDefault="00BE7146" w:rsidP="00FA261E">
            <w:r>
              <w:t>No TTE</w:t>
            </w:r>
          </w:p>
        </w:tc>
        <w:tc>
          <w:tcPr>
            <w:tcW w:w="1274" w:type="dxa"/>
          </w:tcPr>
          <w:p w:rsidR="00BE7146" w:rsidRDefault="00BE7146" w:rsidP="006E20FD">
            <w:r>
              <w:t>2779</w:t>
            </w:r>
          </w:p>
        </w:tc>
        <w:tc>
          <w:tcPr>
            <w:tcW w:w="1133" w:type="dxa"/>
          </w:tcPr>
          <w:p w:rsidR="00BE7146" w:rsidRDefault="00BE7146" w:rsidP="006E20FD">
            <w:r>
              <w:t>14.27</w:t>
            </w:r>
          </w:p>
        </w:tc>
        <w:tc>
          <w:tcPr>
            <w:tcW w:w="2267" w:type="dxa"/>
            <w:vMerge w:val="restart"/>
          </w:tcPr>
          <w:p w:rsidR="00BE7146" w:rsidRDefault="00BE7146" w:rsidP="006E20FD">
            <w:r>
              <w:t>-47</w:t>
            </w:r>
            <w:r w:rsidR="007A14AB">
              <w:t xml:space="preserve"> </w:t>
            </w:r>
            <w:r>
              <w:t>535</w:t>
            </w:r>
          </w:p>
          <w:p w:rsidR="00BE7146" w:rsidRDefault="00BE7146" w:rsidP="006E20FD">
            <w:r>
              <w:t>(-47</w:t>
            </w:r>
            <w:r w:rsidR="007A14AB">
              <w:t xml:space="preserve"> </w:t>
            </w:r>
            <w:r>
              <w:t>773 to -47</w:t>
            </w:r>
            <w:r w:rsidR="007A14AB">
              <w:t xml:space="preserve"> </w:t>
            </w:r>
            <w:r>
              <w:t>271)</w:t>
            </w:r>
          </w:p>
        </w:tc>
        <w:tc>
          <w:tcPr>
            <w:tcW w:w="1198" w:type="dxa"/>
            <w:vMerge w:val="restart"/>
          </w:tcPr>
          <w:p w:rsidR="00BE7146" w:rsidRDefault="00BE7146" w:rsidP="006E20FD">
            <w:r>
              <w:t>Yes</w:t>
            </w:r>
          </w:p>
        </w:tc>
      </w:tr>
      <w:tr w:rsidR="00BE7146" w:rsidTr="00BE7146">
        <w:trPr>
          <w:divId w:val="1548566716"/>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BE7146" w:rsidP="006E20FD">
            <w:r>
              <w:t>5315</w:t>
            </w:r>
          </w:p>
        </w:tc>
        <w:tc>
          <w:tcPr>
            <w:tcW w:w="1133" w:type="dxa"/>
          </w:tcPr>
          <w:p w:rsidR="00BE7146" w:rsidRDefault="00BE7146" w:rsidP="006E20FD">
            <w:r>
              <w:t>14.22</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tcPr>
          <w:p w:rsidR="00BE7146" w:rsidRDefault="00BE7146" w:rsidP="006E20FD"/>
        </w:tc>
        <w:tc>
          <w:tcPr>
            <w:tcW w:w="1134" w:type="dxa"/>
            <w:vMerge w:val="restart"/>
          </w:tcPr>
          <w:p w:rsidR="00BE7146" w:rsidRDefault="00BE7146" w:rsidP="006E20FD">
            <w:r>
              <w:t>Male, Aged 65</w:t>
            </w:r>
          </w:p>
        </w:tc>
        <w:tc>
          <w:tcPr>
            <w:tcW w:w="993" w:type="dxa"/>
          </w:tcPr>
          <w:p w:rsidR="00BE7146" w:rsidRDefault="00BE7146" w:rsidP="00FA261E">
            <w:r>
              <w:t>No TTE</w:t>
            </w:r>
          </w:p>
        </w:tc>
        <w:tc>
          <w:tcPr>
            <w:tcW w:w="1274" w:type="dxa"/>
          </w:tcPr>
          <w:p w:rsidR="00BE7146" w:rsidRDefault="00BE7146" w:rsidP="006E20FD">
            <w:r>
              <w:t>1510</w:t>
            </w:r>
          </w:p>
        </w:tc>
        <w:tc>
          <w:tcPr>
            <w:tcW w:w="1133" w:type="dxa"/>
          </w:tcPr>
          <w:p w:rsidR="00BE7146" w:rsidRDefault="00BE7146" w:rsidP="006E20FD">
            <w:r>
              <w:t>9.12</w:t>
            </w:r>
          </w:p>
        </w:tc>
        <w:tc>
          <w:tcPr>
            <w:tcW w:w="2267" w:type="dxa"/>
            <w:vMerge w:val="restart"/>
          </w:tcPr>
          <w:p w:rsidR="00BE7146" w:rsidRDefault="00BE7146" w:rsidP="006E20FD">
            <w:r>
              <w:t>30</w:t>
            </w:r>
            <w:r w:rsidR="007A14AB">
              <w:t xml:space="preserve"> </w:t>
            </w:r>
            <w:r>
              <w:t>310</w:t>
            </w:r>
          </w:p>
          <w:p w:rsidR="00BE7146" w:rsidRDefault="00BE7146" w:rsidP="006E20FD">
            <w:r>
              <w:t>(30</w:t>
            </w:r>
            <w:r w:rsidR="007A14AB">
              <w:t xml:space="preserve"> </w:t>
            </w:r>
            <w:r>
              <w:t>179 to 30</w:t>
            </w:r>
            <w:r w:rsidR="007A14AB">
              <w:t xml:space="preserve"> </w:t>
            </w:r>
            <w:r>
              <w:t>487)</w:t>
            </w:r>
          </w:p>
        </w:tc>
        <w:tc>
          <w:tcPr>
            <w:tcW w:w="1198" w:type="dxa"/>
            <w:vMerge w:val="restart"/>
          </w:tcPr>
          <w:p w:rsidR="00BE7146" w:rsidRDefault="00BE7146" w:rsidP="006E20FD">
            <w:r>
              <w:t>No</w:t>
            </w:r>
          </w:p>
        </w:tc>
      </w:tr>
      <w:tr w:rsidR="00BE7146" w:rsidTr="00BE7146">
        <w:trPr>
          <w:divId w:val="1548566716"/>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BE7146" w:rsidP="006E20FD">
            <w:r>
              <w:t>2393</w:t>
            </w:r>
          </w:p>
        </w:tc>
        <w:tc>
          <w:tcPr>
            <w:tcW w:w="1133" w:type="dxa"/>
          </w:tcPr>
          <w:p w:rsidR="00BE7146" w:rsidRDefault="00BE7146" w:rsidP="006E20FD">
            <w:r>
              <w:t>9.15</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tcPr>
          <w:p w:rsidR="00BE7146" w:rsidRDefault="00BE7146" w:rsidP="006E20FD"/>
        </w:tc>
        <w:tc>
          <w:tcPr>
            <w:tcW w:w="1134" w:type="dxa"/>
            <w:vMerge w:val="restart"/>
          </w:tcPr>
          <w:p w:rsidR="00BE7146" w:rsidRDefault="00BE7146" w:rsidP="006E20FD">
            <w:r>
              <w:t>Female, Aged 65</w:t>
            </w:r>
          </w:p>
        </w:tc>
        <w:tc>
          <w:tcPr>
            <w:tcW w:w="993" w:type="dxa"/>
          </w:tcPr>
          <w:p w:rsidR="00BE7146" w:rsidRDefault="00BE7146" w:rsidP="00FA261E">
            <w:r>
              <w:t>No TTE</w:t>
            </w:r>
          </w:p>
        </w:tc>
        <w:tc>
          <w:tcPr>
            <w:tcW w:w="1274" w:type="dxa"/>
          </w:tcPr>
          <w:p w:rsidR="00BE7146" w:rsidRDefault="00BE7146" w:rsidP="006E20FD">
            <w:r>
              <w:t>1955</w:t>
            </w:r>
          </w:p>
        </w:tc>
        <w:tc>
          <w:tcPr>
            <w:tcW w:w="1133" w:type="dxa"/>
          </w:tcPr>
          <w:p w:rsidR="00BE7146" w:rsidRDefault="00BE7146" w:rsidP="006E20FD">
            <w:r>
              <w:t>9.95</w:t>
            </w:r>
          </w:p>
        </w:tc>
        <w:tc>
          <w:tcPr>
            <w:tcW w:w="2267" w:type="dxa"/>
            <w:vMerge w:val="restart"/>
          </w:tcPr>
          <w:p w:rsidR="00BE7146" w:rsidRDefault="00BE7146" w:rsidP="006E20FD">
            <w:r>
              <w:t>22</w:t>
            </w:r>
            <w:r w:rsidR="007A14AB">
              <w:t xml:space="preserve"> </w:t>
            </w:r>
            <w:r>
              <w:t>751</w:t>
            </w:r>
          </w:p>
          <w:p w:rsidR="00BE7146" w:rsidRDefault="00BE7146" w:rsidP="006E20FD">
            <w:r>
              <w:t>(22</w:t>
            </w:r>
            <w:r w:rsidR="007A14AB">
              <w:t xml:space="preserve"> </w:t>
            </w:r>
            <w:r>
              <w:t>681 to 22</w:t>
            </w:r>
            <w:r w:rsidR="007A14AB">
              <w:t xml:space="preserve"> </w:t>
            </w:r>
            <w:r>
              <w:t>844)</w:t>
            </w:r>
          </w:p>
        </w:tc>
        <w:tc>
          <w:tcPr>
            <w:tcW w:w="1198" w:type="dxa"/>
            <w:vMerge w:val="restart"/>
          </w:tcPr>
          <w:p w:rsidR="00BE7146" w:rsidRDefault="00BE7146" w:rsidP="006E20FD">
            <w:r>
              <w:t>No</w:t>
            </w:r>
          </w:p>
        </w:tc>
      </w:tr>
      <w:tr w:rsidR="00BE7146" w:rsidTr="00BE7146">
        <w:trPr>
          <w:divId w:val="1548566716"/>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BE7146" w:rsidP="006E20FD">
            <w:r>
              <w:t>3039</w:t>
            </w:r>
          </w:p>
        </w:tc>
        <w:tc>
          <w:tcPr>
            <w:tcW w:w="1133" w:type="dxa"/>
          </w:tcPr>
          <w:p w:rsidR="00BE7146" w:rsidRDefault="00BE7146" w:rsidP="006E20FD">
            <w:r>
              <w:t>9.99</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val="restart"/>
          </w:tcPr>
          <w:p w:rsidR="00BE7146" w:rsidRDefault="00BE7146" w:rsidP="006E20FD">
            <w:proofErr w:type="spellStart"/>
            <w:r>
              <w:t>Dabigatran</w:t>
            </w:r>
            <w:proofErr w:type="spellEnd"/>
          </w:p>
        </w:tc>
        <w:tc>
          <w:tcPr>
            <w:tcW w:w="1134" w:type="dxa"/>
            <w:vMerge w:val="restart"/>
          </w:tcPr>
          <w:p w:rsidR="00BE7146" w:rsidRDefault="002A2BB9" w:rsidP="006E20FD">
            <w:r>
              <w:t>Male, Aged 65</w:t>
            </w:r>
          </w:p>
        </w:tc>
        <w:tc>
          <w:tcPr>
            <w:tcW w:w="993" w:type="dxa"/>
          </w:tcPr>
          <w:p w:rsidR="00BE7146" w:rsidRDefault="00BE7146" w:rsidP="006E20FD">
            <w:r>
              <w:t>No TTE</w:t>
            </w:r>
          </w:p>
        </w:tc>
        <w:tc>
          <w:tcPr>
            <w:tcW w:w="1274" w:type="dxa"/>
          </w:tcPr>
          <w:p w:rsidR="00BE7146" w:rsidRDefault="002A2BB9" w:rsidP="006E20FD">
            <w:r>
              <w:t>1487</w:t>
            </w:r>
          </w:p>
        </w:tc>
        <w:tc>
          <w:tcPr>
            <w:tcW w:w="1133" w:type="dxa"/>
          </w:tcPr>
          <w:p w:rsidR="00BE7146" w:rsidRDefault="002A2BB9" w:rsidP="006E20FD">
            <w:r>
              <w:t>9.13</w:t>
            </w:r>
          </w:p>
        </w:tc>
        <w:tc>
          <w:tcPr>
            <w:tcW w:w="2267" w:type="dxa"/>
            <w:vMerge w:val="restart"/>
          </w:tcPr>
          <w:p w:rsidR="00BE7146" w:rsidRDefault="002A2BB9" w:rsidP="006E20FD">
            <w:r>
              <w:t>14</w:t>
            </w:r>
            <w:r w:rsidR="007A14AB">
              <w:t xml:space="preserve"> </w:t>
            </w:r>
            <w:r>
              <w:t>728</w:t>
            </w:r>
          </w:p>
          <w:p w:rsidR="002A2BB9" w:rsidRDefault="002A2BB9" w:rsidP="006E20FD">
            <w:r>
              <w:t>(14</w:t>
            </w:r>
            <w:r w:rsidR="007A14AB">
              <w:t xml:space="preserve"> </w:t>
            </w:r>
            <w:r>
              <w:t>693 to 14</w:t>
            </w:r>
            <w:r w:rsidR="007A14AB">
              <w:t xml:space="preserve"> </w:t>
            </w:r>
            <w:r>
              <w:t>782)</w:t>
            </w:r>
          </w:p>
        </w:tc>
        <w:tc>
          <w:tcPr>
            <w:tcW w:w="1198" w:type="dxa"/>
            <w:vMerge w:val="restart"/>
          </w:tcPr>
          <w:p w:rsidR="00BE7146" w:rsidRDefault="002A2BB9" w:rsidP="006E20FD">
            <w:r>
              <w:t>No</w:t>
            </w:r>
          </w:p>
        </w:tc>
      </w:tr>
      <w:tr w:rsidR="00BE7146" w:rsidTr="00BE7146">
        <w:trPr>
          <w:divId w:val="1548566716"/>
          <w:trHeight w:val="150"/>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6E20FD">
            <w:r>
              <w:t>TTE</w:t>
            </w:r>
          </w:p>
        </w:tc>
        <w:tc>
          <w:tcPr>
            <w:tcW w:w="1274" w:type="dxa"/>
          </w:tcPr>
          <w:p w:rsidR="00BE7146" w:rsidRDefault="002A2BB9" w:rsidP="006E20FD">
            <w:r>
              <w:t>2321</w:t>
            </w:r>
          </w:p>
        </w:tc>
        <w:tc>
          <w:tcPr>
            <w:tcW w:w="1133" w:type="dxa"/>
          </w:tcPr>
          <w:p w:rsidR="00BE7146" w:rsidRDefault="002A2BB9" w:rsidP="006E20FD">
            <w:r>
              <w:t>9.18</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Height w:val="201"/>
        </w:trPr>
        <w:tc>
          <w:tcPr>
            <w:tcW w:w="1243" w:type="dxa"/>
            <w:vMerge/>
          </w:tcPr>
          <w:p w:rsidR="00BE7146" w:rsidRDefault="00BE7146" w:rsidP="006E20FD"/>
        </w:tc>
        <w:tc>
          <w:tcPr>
            <w:tcW w:w="1134" w:type="dxa"/>
            <w:vMerge w:val="restart"/>
          </w:tcPr>
          <w:p w:rsidR="00BE7146" w:rsidRDefault="00BE7146" w:rsidP="006E20FD">
            <w:r>
              <w:t>Female, Aged 65</w:t>
            </w:r>
          </w:p>
        </w:tc>
        <w:tc>
          <w:tcPr>
            <w:tcW w:w="993" w:type="dxa"/>
          </w:tcPr>
          <w:p w:rsidR="00BE7146" w:rsidRDefault="00BE7146" w:rsidP="006E20FD">
            <w:r>
              <w:t>No TTE</w:t>
            </w:r>
          </w:p>
        </w:tc>
        <w:tc>
          <w:tcPr>
            <w:tcW w:w="1274" w:type="dxa"/>
          </w:tcPr>
          <w:p w:rsidR="00BE7146" w:rsidRDefault="002A2BB9" w:rsidP="006E20FD">
            <w:r>
              <w:t>1942</w:t>
            </w:r>
          </w:p>
        </w:tc>
        <w:tc>
          <w:tcPr>
            <w:tcW w:w="1133" w:type="dxa"/>
          </w:tcPr>
          <w:p w:rsidR="00BE7146" w:rsidRDefault="002A2BB9" w:rsidP="006E20FD">
            <w:r>
              <w:t>9.95</w:t>
            </w:r>
          </w:p>
        </w:tc>
        <w:tc>
          <w:tcPr>
            <w:tcW w:w="2267" w:type="dxa"/>
            <w:vMerge w:val="restart"/>
          </w:tcPr>
          <w:p w:rsidR="00BE7146" w:rsidRDefault="002A2BB9" w:rsidP="006E20FD">
            <w:r>
              <w:t>12</w:t>
            </w:r>
            <w:r w:rsidR="007A14AB">
              <w:t xml:space="preserve"> </w:t>
            </w:r>
            <w:r>
              <w:t>314</w:t>
            </w:r>
          </w:p>
          <w:p w:rsidR="002A2BB9" w:rsidRDefault="002A2BB9" w:rsidP="006E20FD">
            <w:r>
              <w:t>(12</w:t>
            </w:r>
            <w:r w:rsidR="007A14AB">
              <w:t xml:space="preserve"> </w:t>
            </w:r>
            <w:r>
              <w:t>290 to 12</w:t>
            </w:r>
            <w:r w:rsidR="007A14AB">
              <w:t xml:space="preserve"> </w:t>
            </w:r>
            <w:r>
              <w:t>348)</w:t>
            </w:r>
          </w:p>
        </w:tc>
        <w:tc>
          <w:tcPr>
            <w:tcW w:w="1198" w:type="dxa"/>
            <w:vMerge w:val="restart"/>
          </w:tcPr>
          <w:p w:rsidR="00BE7146" w:rsidRDefault="002A2BB9" w:rsidP="006E20FD">
            <w:r>
              <w:t>No</w:t>
            </w:r>
          </w:p>
        </w:tc>
      </w:tr>
      <w:tr w:rsidR="00BE7146" w:rsidTr="00BE7146">
        <w:trPr>
          <w:divId w:val="1548566716"/>
          <w:trHeight w:val="184"/>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6E20FD">
            <w:r>
              <w:t>TTE</w:t>
            </w:r>
          </w:p>
        </w:tc>
        <w:tc>
          <w:tcPr>
            <w:tcW w:w="1274" w:type="dxa"/>
          </w:tcPr>
          <w:p w:rsidR="00BE7146" w:rsidRDefault="002A2BB9" w:rsidP="006E20FD">
            <w:r>
              <w:t>2946</w:t>
            </w:r>
          </w:p>
        </w:tc>
        <w:tc>
          <w:tcPr>
            <w:tcW w:w="1133" w:type="dxa"/>
          </w:tcPr>
          <w:p w:rsidR="00BE7146" w:rsidRDefault="002A2BB9" w:rsidP="006E20FD">
            <w:r>
              <w:t>10.01</w:t>
            </w:r>
          </w:p>
        </w:tc>
        <w:tc>
          <w:tcPr>
            <w:tcW w:w="2267" w:type="dxa"/>
            <w:vMerge/>
          </w:tcPr>
          <w:p w:rsidR="00BE7146" w:rsidRDefault="00BE7146" w:rsidP="006E20FD"/>
        </w:tc>
        <w:tc>
          <w:tcPr>
            <w:tcW w:w="1198" w:type="dxa"/>
            <w:vMerge/>
          </w:tcPr>
          <w:p w:rsidR="00BE7146" w:rsidRDefault="00BE7146" w:rsidP="004628AD">
            <w:pPr>
              <w:keepNext/>
            </w:pPr>
          </w:p>
        </w:tc>
      </w:tr>
    </w:tbl>
    <w:p w:rsidR="00ED0A41" w:rsidRPr="0031099C" w:rsidRDefault="004628AD" w:rsidP="004628AD">
      <w:pPr>
        <w:pStyle w:val="Caption"/>
      </w:pPr>
      <w:proofErr w:type="gramStart"/>
      <w:r>
        <w:t xml:space="preserve">Table </w:t>
      </w:r>
      <w:r>
        <w:fldChar w:fldCharType="begin"/>
      </w:r>
      <w:r>
        <w:instrText xml:space="preserve"> SEQ Table \* ARABIC </w:instrText>
      </w:r>
      <w:r>
        <w:fldChar w:fldCharType="separate"/>
      </w:r>
      <w:r w:rsidR="00B66501">
        <w:rPr>
          <w:noProof/>
        </w:rPr>
        <w:t>8</w:t>
      </w:r>
      <w:r>
        <w:fldChar w:fldCharType="end"/>
      </w:r>
      <w:r>
        <w:t xml:space="preserve"> Summary of cost </w:t>
      </w:r>
      <w:proofErr w:type="spellStart"/>
      <w:r>
        <w:t>effectivness</w:t>
      </w:r>
      <w:proofErr w:type="spellEnd"/>
      <w:r>
        <w:t xml:space="preserve"> results.</w:t>
      </w:r>
      <w:proofErr w:type="gramEnd"/>
      <w:r>
        <w:t xml:space="preserve"> ICER: Incremental cost </w:t>
      </w:r>
      <w:proofErr w:type="spellStart"/>
      <w:r>
        <w:t>effectivness</w:t>
      </w:r>
      <w:proofErr w:type="spellEnd"/>
      <w:r>
        <w:t xml:space="preserve"> ratio. TTE: transthoracic echocardiography; QALY: Quality-adjusted life year. Dominated: the strategy is both more expensive and less effective than the strategy to which it is compared</w:t>
      </w:r>
    </w:p>
    <w:sectPr w:rsidR="00ED0A41" w:rsidRPr="0031099C" w:rsidSect="00C2196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n Minton" w:date="2013-04-23T11:47:00Z" w:initials="JWM">
    <w:p w:rsidR="00752A4B" w:rsidRDefault="00752A4B">
      <w:pPr>
        <w:pStyle w:val="CommentText"/>
      </w:pPr>
      <w:r>
        <w:rPr>
          <w:rStyle w:val="CommentReference"/>
        </w:rPr>
        <w:annotationRef/>
      </w:r>
      <w:r>
        <w:t>‘Focused update’ is the term the update used to describe itself. Please confirm you want this changing to just ‘update’.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5C8" w:rsidRDefault="009425C8" w:rsidP="008D11C1">
      <w:r>
        <w:separator/>
      </w:r>
    </w:p>
  </w:endnote>
  <w:endnote w:type="continuationSeparator" w:id="0">
    <w:p w:rsidR="009425C8" w:rsidRDefault="009425C8" w:rsidP="008D1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80004"/>
      <w:docPartObj>
        <w:docPartGallery w:val="Page Numbers (Bottom of Page)"/>
        <w:docPartUnique/>
      </w:docPartObj>
    </w:sdtPr>
    <w:sdtContent>
      <w:p w:rsidR="00752A4B" w:rsidRDefault="00752A4B" w:rsidP="008D11C1">
        <w:pPr>
          <w:pStyle w:val="Footer"/>
        </w:pPr>
        <w:r>
          <w:fldChar w:fldCharType="begin"/>
        </w:r>
        <w:r>
          <w:instrText xml:space="preserve"> PAGE   \* MERGEFORMAT </w:instrText>
        </w:r>
        <w:r>
          <w:fldChar w:fldCharType="separate"/>
        </w:r>
        <w:r w:rsidR="00EE646D">
          <w:rPr>
            <w:noProof/>
          </w:rPr>
          <w:t>7</w:t>
        </w:r>
        <w:r>
          <w:rPr>
            <w:noProof/>
          </w:rPr>
          <w:fldChar w:fldCharType="end"/>
        </w:r>
      </w:p>
    </w:sdtContent>
  </w:sdt>
  <w:p w:rsidR="00752A4B" w:rsidRDefault="00752A4B" w:rsidP="008D1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5C8" w:rsidRDefault="009425C8" w:rsidP="008D11C1">
      <w:r>
        <w:separator/>
      </w:r>
    </w:p>
  </w:footnote>
  <w:footnote w:type="continuationSeparator" w:id="0">
    <w:p w:rsidR="009425C8" w:rsidRDefault="009425C8" w:rsidP="008D11C1">
      <w:r>
        <w:continuationSeparator/>
      </w:r>
    </w:p>
  </w:footnote>
  <w:footnote w:id="1">
    <w:p w:rsidR="00752A4B" w:rsidRDefault="00752A4B">
      <w:pPr>
        <w:pStyle w:val="FootnoteText"/>
      </w:pPr>
      <w:r>
        <w:rPr>
          <w:rStyle w:val="FootnoteReference"/>
        </w:rPr>
        <w:footnoteRef/>
      </w:r>
      <w:r>
        <w:t xml:space="preserve"> Precise ICER is £30,310/QALY, so the No TTE option is still optimal at £30,000/QALY.</w:t>
      </w:r>
    </w:p>
  </w:footnote>
  <w:footnote w:id="2">
    <w:p w:rsidR="00752A4B" w:rsidRDefault="00752A4B">
      <w:pPr>
        <w:pStyle w:val="FootnoteText"/>
      </w:pPr>
      <w:r>
        <w:rPr>
          <w:rStyle w:val="FootnoteReference"/>
        </w:rPr>
        <w:footnoteRef/>
      </w:r>
      <w:r>
        <w:t xml:space="preserve"> All populations had initial CHADS</w:t>
      </w:r>
      <w:r w:rsidRPr="00770134">
        <w:rPr>
          <w:vertAlign w:val="subscript"/>
        </w:rPr>
        <w:t>2</w:t>
      </w:r>
      <w:r>
        <w:t xml:space="preserve"> scores of 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5CE79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EC1B82"/>
    <w:multiLevelType w:val="hybridMultilevel"/>
    <w:tmpl w:val="67080E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A4B5C9B"/>
    <w:multiLevelType w:val="hybridMultilevel"/>
    <w:tmpl w:val="9846306A"/>
    <w:lvl w:ilvl="0" w:tplc="2F2AB38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B070593"/>
    <w:multiLevelType w:val="hybridMultilevel"/>
    <w:tmpl w:val="0284D8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D200A5D"/>
    <w:multiLevelType w:val="hybridMultilevel"/>
    <w:tmpl w:val="8F6225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1B01690"/>
    <w:multiLevelType w:val="hybridMultilevel"/>
    <w:tmpl w:val="8FC03F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1DC38A2"/>
    <w:multiLevelType w:val="hybridMultilevel"/>
    <w:tmpl w:val="DDE08F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A0D73E4"/>
    <w:multiLevelType w:val="hybridMultilevel"/>
    <w:tmpl w:val="A9A00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F592D76"/>
    <w:multiLevelType w:val="multilevel"/>
    <w:tmpl w:val="6624D892"/>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Restart w:val="1"/>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9">
    <w:nsid w:val="31E43AA5"/>
    <w:multiLevelType w:val="hybridMultilevel"/>
    <w:tmpl w:val="2C4829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30E4D49"/>
    <w:multiLevelType w:val="hybridMultilevel"/>
    <w:tmpl w:val="2E08417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5721982"/>
    <w:multiLevelType w:val="hybridMultilevel"/>
    <w:tmpl w:val="8FC03F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7D231FA"/>
    <w:multiLevelType w:val="hybridMultilevel"/>
    <w:tmpl w:val="1D56AD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AA04CF9"/>
    <w:multiLevelType w:val="hybridMultilevel"/>
    <w:tmpl w:val="BD063D36"/>
    <w:lvl w:ilvl="0" w:tplc="4E7A15E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3F4C7CC3"/>
    <w:multiLevelType w:val="hybridMultilevel"/>
    <w:tmpl w:val="2C24C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52F67B2"/>
    <w:multiLevelType w:val="hybridMultilevel"/>
    <w:tmpl w:val="326601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8860B88"/>
    <w:multiLevelType w:val="hybridMultilevel"/>
    <w:tmpl w:val="E794A9A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B8C76BE"/>
    <w:multiLevelType w:val="hybridMultilevel"/>
    <w:tmpl w:val="53FAF2BE"/>
    <w:lvl w:ilvl="0" w:tplc="0BCCF44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4BBA72F4"/>
    <w:multiLevelType w:val="hybridMultilevel"/>
    <w:tmpl w:val="3CF04F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C9833C6"/>
    <w:multiLevelType w:val="hybridMultilevel"/>
    <w:tmpl w:val="0284D8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F135AD5"/>
    <w:multiLevelType w:val="hybridMultilevel"/>
    <w:tmpl w:val="37D66E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E0B235C"/>
    <w:multiLevelType w:val="hybridMultilevel"/>
    <w:tmpl w:val="E7AEC3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0CD7116"/>
    <w:multiLevelType w:val="hybridMultilevel"/>
    <w:tmpl w:val="AFFA7F72"/>
    <w:lvl w:ilvl="0" w:tplc="1EDE838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nsid w:val="6DBF7621"/>
    <w:multiLevelType w:val="hybridMultilevel"/>
    <w:tmpl w:val="10B2CB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decimal"/>
        <w:pStyle w:val="Heading3"/>
        <w:lvlText w:val="%1.%2.%3."/>
        <w:lvlJc w:val="left"/>
        <w:pPr>
          <w:ind w:left="0" w:firstLine="0"/>
        </w:pPr>
        <w:rPr>
          <w:rFonts w:hint="default"/>
        </w:rPr>
      </w:lvl>
    </w:lvlOverride>
  </w:num>
  <w:num w:numId="2">
    <w:abstractNumId w:val="8"/>
  </w:num>
  <w:num w:numId="3">
    <w:abstractNumId w:val="1"/>
  </w:num>
  <w:num w:numId="4">
    <w:abstractNumId w:val="23"/>
  </w:num>
  <w:num w:numId="5">
    <w:abstractNumId w:val="18"/>
  </w:num>
  <w:num w:numId="6">
    <w:abstractNumId w:val="12"/>
  </w:num>
  <w:num w:numId="7">
    <w:abstractNumId w:val="6"/>
  </w:num>
  <w:num w:numId="8">
    <w:abstractNumId w:val="0"/>
  </w:num>
  <w:num w:numId="9">
    <w:abstractNumId w:val="21"/>
  </w:num>
  <w:num w:numId="10">
    <w:abstractNumId w:val="2"/>
  </w:num>
  <w:num w:numId="11">
    <w:abstractNumId w:val="22"/>
  </w:num>
  <w:num w:numId="12">
    <w:abstractNumId w:val="17"/>
  </w:num>
  <w:num w:numId="13">
    <w:abstractNumId w:val="13"/>
  </w:num>
  <w:num w:numId="14">
    <w:abstractNumId w:val="19"/>
  </w:num>
  <w:num w:numId="15">
    <w:abstractNumId w:val="7"/>
  </w:num>
  <w:num w:numId="16">
    <w:abstractNumId w:val="14"/>
  </w:num>
  <w:num w:numId="17">
    <w:abstractNumId w:val="10"/>
  </w:num>
  <w:num w:numId="18">
    <w:abstractNumId w:val="3"/>
  </w:num>
  <w:num w:numId="19">
    <w:abstractNumId w:val="16"/>
  </w:num>
  <w:num w:numId="20">
    <w:abstractNumId w:val="9"/>
  </w:num>
  <w:num w:numId="21">
    <w:abstractNumId w:val="5"/>
  </w:num>
  <w:num w:numId="22">
    <w:abstractNumId w:val="15"/>
  </w:num>
  <w:num w:numId="23">
    <w:abstractNumId w:val="4"/>
  </w:num>
  <w:num w:numId="24">
    <w:abstractNumId w:val="11"/>
  </w:num>
  <w:num w:numId="25">
    <w:abstractNumId w:val="2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259D1"/>
    <w:rsid w:val="00001090"/>
    <w:rsid w:val="00004236"/>
    <w:rsid w:val="0000576D"/>
    <w:rsid w:val="00023D5D"/>
    <w:rsid w:val="00034BAF"/>
    <w:rsid w:val="000406AE"/>
    <w:rsid w:val="00040779"/>
    <w:rsid w:val="0004239D"/>
    <w:rsid w:val="0005390C"/>
    <w:rsid w:val="00056C3D"/>
    <w:rsid w:val="00064789"/>
    <w:rsid w:val="000701BC"/>
    <w:rsid w:val="000804F2"/>
    <w:rsid w:val="00081AF9"/>
    <w:rsid w:val="0009234A"/>
    <w:rsid w:val="000A4ABF"/>
    <w:rsid w:val="000A6E69"/>
    <w:rsid w:val="000B7AA1"/>
    <w:rsid w:val="000C4858"/>
    <w:rsid w:val="000C54E6"/>
    <w:rsid w:val="000F1109"/>
    <w:rsid w:val="000F1748"/>
    <w:rsid w:val="00112021"/>
    <w:rsid w:val="001138A7"/>
    <w:rsid w:val="00120CC0"/>
    <w:rsid w:val="001259D1"/>
    <w:rsid w:val="00133DC2"/>
    <w:rsid w:val="00145CDA"/>
    <w:rsid w:val="00153929"/>
    <w:rsid w:val="00155B53"/>
    <w:rsid w:val="00155DF4"/>
    <w:rsid w:val="00161B1F"/>
    <w:rsid w:val="0016298B"/>
    <w:rsid w:val="00167865"/>
    <w:rsid w:val="00182F39"/>
    <w:rsid w:val="00183C66"/>
    <w:rsid w:val="00194737"/>
    <w:rsid w:val="001B457D"/>
    <w:rsid w:val="001B784A"/>
    <w:rsid w:val="001B7E26"/>
    <w:rsid w:val="001C47C7"/>
    <w:rsid w:val="001D7B3F"/>
    <w:rsid w:val="00214615"/>
    <w:rsid w:val="002148A0"/>
    <w:rsid w:val="00216347"/>
    <w:rsid w:val="002173F5"/>
    <w:rsid w:val="00227261"/>
    <w:rsid w:val="002379A0"/>
    <w:rsid w:val="00253316"/>
    <w:rsid w:val="00260232"/>
    <w:rsid w:val="00263B7C"/>
    <w:rsid w:val="00266451"/>
    <w:rsid w:val="00267F89"/>
    <w:rsid w:val="00270FD8"/>
    <w:rsid w:val="00273A34"/>
    <w:rsid w:val="002857F0"/>
    <w:rsid w:val="002908BA"/>
    <w:rsid w:val="00296642"/>
    <w:rsid w:val="002970B4"/>
    <w:rsid w:val="002A2BB9"/>
    <w:rsid w:val="002B0A3A"/>
    <w:rsid w:val="002B2FB1"/>
    <w:rsid w:val="002C4C31"/>
    <w:rsid w:val="002D3329"/>
    <w:rsid w:val="002D44B0"/>
    <w:rsid w:val="002D6708"/>
    <w:rsid w:val="002F05E5"/>
    <w:rsid w:val="002F7CCE"/>
    <w:rsid w:val="00305A5B"/>
    <w:rsid w:val="00307F5F"/>
    <w:rsid w:val="0031099C"/>
    <w:rsid w:val="00313F74"/>
    <w:rsid w:val="003162AB"/>
    <w:rsid w:val="00321AA3"/>
    <w:rsid w:val="003225C4"/>
    <w:rsid w:val="00326C92"/>
    <w:rsid w:val="003378D6"/>
    <w:rsid w:val="00337C3B"/>
    <w:rsid w:val="00345E19"/>
    <w:rsid w:val="00346F66"/>
    <w:rsid w:val="00354D59"/>
    <w:rsid w:val="003559AD"/>
    <w:rsid w:val="003562A1"/>
    <w:rsid w:val="00356EEF"/>
    <w:rsid w:val="00366B50"/>
    <w:rsid w:val="00374A9D"/>
    <w:rsid w:val="00374E80"/>
    <w:rsid w:val="003762FF"/>
    <w:rsid w:val="00395BE3"/>
    <w:rsid w:val="00397282"/>
    <w:rsid w:val="00397705"/>
    <w:rsid w:val="003A1166"/>
    <w:rsid w:val="003A388D"/>
    <w:rsid w:val="003A6116"/>
    <w:rsid w:val="003A64BB"/>
    <w:rsid w:val="003B36C5"/>
    <w:rsid w:val="003C217E"/>
    <w:rsid w:val="003D01CF"/>
    <w:rsid w:val="003D3DC2"/>
    <w:rsid w:val="003D4906"/>
    <w:rsid w:val="003E2C5D"/>
    <w:rsid w:val="003E2F7C"/>
    <w:rsid w:val="003F5221"/>
    <w:rsid w:val="00405A96"/>
    <w:rsid w:val="00407CD7"/>
    <w:rsid w:val="004111A3"/>
    <w:rsid w:val="00421B11"/>
    <w:rsid w:val="004323B5"/>
    <w:rsid w:val="00436D67"/>
    <w:rsid w:val="00440383"/>
    <w:rsid w:val="00444C4D"/>
    <w:rsid w:val="0044580B"/>
    <w:rsid w:val="00454436"/>
    <w:rsid w:val="0046051B"/>
    <w:rsid w:val="004628AD"/>
    <w:rsid w:val="00465A7A"/>
    <w:rsid w:val="0047004A"/>
    <w:rsid w:val="004850ED"/>
    <w:rsid w:val="00492057"/>
    <w:rsid w:val="00495D9F"/>
    <w:rsid w:val="0049753A"/>
    <w:rsid w:val="004A0CFF"/>
    <w:rsid w:val="004B418E"/>
    <w:rsid w:val="004B4D95"/>
    <w:rsid w:val="004B7B0B"/>
    <w:rsid w:val="004C3BA6"/>
    <w:rsid w:val="004D5F6A"/>
    <w:rsid w:val="004E06E9"/>
    <w:rsid w:val="004E4448"/>
    <w:rsid w:val="004F29CD"/>
    <w:rsid w:val="00500063"/>
    <w:rsid w:val="00501F33"/>
    <w:rsid w:val="00512460"/>
    <w:rsid w:val="00515AEC"/>
    <w:rsid w:val="00523D67"/>
    <w:rsid w:val="00525959"/>
    <w:rsid w:val="00532F44"/>
    <w:rsid w:val="0053415A"/>
    <w:rsid w:val="005364A7"/>
    <w:rsid w:val="00536C35"/>
    <w:rsid w:val="0053772E"/>
    <w:rsid w:val="00542E72"/>
    <w:rsid w:val="005468D5"/>
    <w:rsid w:val="00553D33"/>
    <w:rsid w:val="0055657D"/>
    <w:rsid w:val="00560933"/>
    <w:rsid w:val="005653D1"/>
    <w:rsid w:val="00570EFD"/>
    <w:rsid w:val="00577888"/>
    <w:rsid w:val="00584E3F"/>
    <w:rsid w:val="005953B7"/>
    <w:rsid w:val="005A2BAB"/>
    <w:rsid w:val="005B26D5"/>
    <w:rsid w:val="005B4084"/>
    <w:rsid w:val="005C1F9B"/>
    <w:rsid w:val="005D114E"/>
    <w:rsid w:val="005D3306"/>
    <w:rsid w:val="005E29E8"/>
    <w:rsid w:val="005E46D7"/>
    <w:rsid w:val="005E79DB"/>
    <w:rsid w:val="005F3E89"/>
    <w:rsid w:val="005F4AA1"/>
    <w:rsid w:val="00604F56"/>
    <w:rsid w:val="00605BB7"/>
    <w:rsid w:val="00606B8D"/>
    <w:rsid w:val="006071D2"/>
    <w:rsid w:val="00610C33"/>
    <w:rsid w:val="0061601D"/>
    <w:rsid w:val="00620AA2"/>
    <w:rsid w:val="00621BC9"/>
    <w:rsid w:val="00640262"/>
    <w:rsid w:val="00654FFC"/>
    <w:rsid w:val="00655A1D"/>
    <w:rsid w:val="00657538"/>
    <w:rsid w:val="00661799"/>
    <w:rsid w:val="00665212"/>
    <w:rsid w:val="00670364"/>
    <w:rsid w:val="00672785"/>
    <w:rsid w:val="006737F8"/>
    <w:rsid w:val="00680AB3"/>
    <w:rsid w:val="00682DC7"/>
    <w:rsid w:val="0069573B"/>
    <w:rsid w:val="006B480A"/>
    <w:rsid w:val="006B4FDF"/>
    <w:rsid w:val="006B7EC6"/>
    <w:rsid w:val="006C1146"/>
    <w:rsid w:val="006C3CB6"/>
    <w:rsid w:val="006C6A74"/>
    <w:rsid w:val="006C6A8E"/>
    <w:rsid w:val="006D0808"/>
    <w:rsid w:val="006D7B3B"/>
    <w:rsid w:val="006E020D"/>
    <w:rsid w:val="006E14F1"/>
    <w:rsid w:val="006E20FD"/>
    <w:rsid w:val="006E655B"/>
    <w:rsid w:val="006F64DB"/>
    <w:rsid w:val="0070222B"/>
    <w:rsid w:val="00704B8F"/>
    <w:rsid w:val="00707C6F"/>
    <w:rsid w:val="0071040B"/>
    <w:rsid w:val="00715C19"/>
    <w:rsid w:val="00720162"/>
    <w:rsid w:val="00724EAA"/>
    <w:rsid w:val="00732E2A"/>
    <w:rsid w:val="00736D21"/>
    <w:rsid w:val="00737173"/>
    <w:rsid w:val="00741A7A"/>
    <w:rsid w:val="00741D85"/>
    <w:rsid w:val="007461E7"/>
    <w:rsid w:val="00752A4B"/>
    <w:rsid w:val="007606EA"/>
    <w:rsid w:val="007670AC"/>
    <w:rsid w:val="00770134"/>
    <w:rsid w:val="00772D0B"/>
    <w:rsid w:val="00777CF9"/>
    <w:rsid w:val="00793FD8"/>
    <w:rsid w:val="007946CB"/>
    <w:rsid w:val="00795047"/>
    <w:rsid w:val="007955A1"/>
    <w:rsid w:val="00796E10"/>
    <w:rsid w:val="007973DF"/>
    <w:rsid w:val="007A14AB"/>
    <w:rsid w:val="007A2853"/>
    <w:rsid w:val="007B0965"/>
    <w:rsid w:val="007B5046"/>
    <w:rsid w:val="007B765A"/>
    <w:rsid w:val="007C70A4"/>
    <w:rsid w:val="007D019C"/>
    <w:rsid w:val="007D1C2B"/>
    <w:rsid w:val="007F3F38"/>
    <w:rsid w:val="007F66EC"/>
    <w:rsid w:val="00810E76"/>
    <w:rsid w:val="00812032"/>
    <w:rsid w:val="00812600"/>
    <w:rsid w:val="00820F9B"/>
    <w:rsid w:val="0083066E"/>
    <w:rsid w:val="00831F3E"/>
    <w:rsid w:val="00834F71"/>
    <w:rsid w:val="00850455"/>
    <w:rsid w:val="0085183F"/>
    <w:rsid w:val="008539B5"/>
    <w:rsid w:val="00862C39"/>
    <w:rsid w:val="00867ABA"/>
    <w:rsid w:val="00867F7E"/>
    <w:rsid w:val="00874080"/>
    <w:rsid w:val="00875B61"/>
    <w:rsid w:val="00876B5A"/>
    <w:rsid w:val="0088077C"/>
    <w:rsid w:val="008864FC"/>
    <w:rsid w:val="0089277F"/>
    <w:rsid w:val="00894960"/>
    <w:rsid w:val="00895174"/>
    <w:rsid w:val="0089571D"/>
    <w:rsid w:val="00896DA7"/>
    <w:rsid w:val="008A3090"/>
    <w:rsid w:val="008C662C"/>
    <w:rsid w:val="008C72E4"/>
    <w:rsid w:val="008D11C1"/>
    <w:rsid w:val="008D30D8"/>
    <w:rsid w:val="008D3B31"/>
    <w:rsid w:val="008D613B"/>
    <w:rsid w:val="008E6143"/>
    <w:rsid w:val="00900CA4"/>
    <w:rsid w:val="00900D68"/>
    <w:rsid w:val="00903CA6"/>
    <w:rsid w:val="00911187"/>
    <w:rsid w:val="0091160C"/>
    <w:rsid w:val="009137B7"/>
    <w:rsid w:val="0092084E"/>
    <w:rsid w:val="00920A0B"/>
    <w:rsid w:val="00925E03"/>
    <w:rsid w:val="00930CCB"/>
    <w:rsid w:val="00932F8B"/>
    <w:rsid w:val="00933B76"/>
    <w:rsid w:val="00933C10"/>
    <w:rsid w:val="009344EA"/>
    <w:rsid w:val="00935ED3"/>
    <w:rsid w:val="0093614E"/>
    <w:rsid w:val="0094141C"/>
    <w:rsid w:val="009425C8"/>
    <w:rsid w:val="009606A0"/>
    <w:rsid w:val="00960F46"/>
    <w:rsid w:val="00972322"/>
    <w:rsid w:val="00974077"/>
    <w:rsid w:val="009764E6"/>
    <w:rsid w:val="00980413"/>
    <w:rsid w:val="00983B8D"/>
    <w:rsid w:val="009840A6"/>
    <w:rsid w:val="0098691C"/>
    <w:rsid w:val="00997914"/>
    <w:rsid w:val="009A3B70"/>
    <w:rsid w:val="009A59BC"/>
    <w:rsid w:val="009A6772"/>
    <w:rsid w:val="009B513D"/>
    <w:rsid w:val="009B762A"/>
    <w:rsid w:val="009C0DBF"/>
    <w:rsid w:val="009C2038"/>
    <w:rsid w:val="009C2BE1"/>
    <w:rsid w:val="009C7509"/>
    <w:rsid w:val="009E7F0D"/>
    <w:rsid w:val="009F27B4"/>
    <w:rsid w:val="009F5199"/>
    <w:rsid w:val="00A0005C"/>
    <w:rsid w:val="00A059E1"/>
    <w:rsid w:val="00A07773"/>
    <w:rsid w:val="00A11AEA"/>
    <w:rsid w:val="00A12911"/>
    <w:rsid w:val="00A17AD4"/>
    <w:rsid w:val="00A40066"/>
    <w:rsid w:val="00A42D14"/>
    <w:rsid w:val="00A541AC"/>
    <w:rsid w:val="00A603E8"/>
    <w:rsid w:val="00A80926"/>
    <w:rsid w:val="00A8404E"/>
    <w:rsid w:val="00A84C60"/>
    <w:rsid w:val="00A84F79"/>
    <w:rsid w:val="00A9463E"/>
    <w:rsid w:val="00A96DA4"/>
    <w:rsid w:val="00AB2D8E"/>
    <w:rsid w:val="00AC692E"/>
    <w:rsid w:val="00AD6705"/>
    <w:rsid w:val="00AE4E57"/>
    <w:rsid w:val="00AE69C3"/>
    <w:rsid w:val="00AF094E"/>
    <w:rsid w:val="00B1326A"/>
    <w:rsid w:val="00B13ECE"/>
    <w:rsid w:val="00B14037"/>
    <w:rsid w:val="00B24433"/>
    <w:rsid w:val="00B31E31"/>
    <w:rsid w:val="00B325C3"/>
    <w:rsid w:val="00B36EBC"/>
    <w:rsid w:val="00B37EDA"/>
    <w:rsid w:val="00B43839"/>
    <w:rsid w:val="00B54241"/>
    <w:rsid w:val="00B56A7D"/>
    <w:rsid w:val="00B577E8"/>
    <w:rsid w:val="00B66501"/>
    <w:rsid w:val="00B7598B"/>
    <w:rsid w:val="00B819AE"/>
    <w:rsid w:val="00B825B6"/>
    <w:rsid w:val="00B9188A"/>
    <w:rsid w:val="00B92B64"/>
    <w:rsid w:val="00BB0715"/>
    <w:rsid w:val="00BB340B"/>
    <w:rsid w:val="00BB7BDC"/>
    <w:rsid w:val="00BC10AD"/>
    <w:rsid w:val="00BC4AAE"/>
    <w:rsid w:val="00BC5EC8"/>
    <w:rsid w:val="00BC79E5"/>
    <w:rsid w:val="00BD0097"/>
    <w:rsid w:val="00BD4F95"/>
    <w:rsid w:val="00BD77AC"/>
    <w:rsid w:val="00BE4AC4"/>
    <w:rsid w:val="00BE7146"/>
    <w:rsid w:val="00BE73AD"/>
    <w:rsid w:val="00BF721A"/>
    <w:rsid w:val="00C007A4"/>
    <w:rsid w:val="00C0367B"/>
    <w:rsid w:val="00C0617D"/>
    <w:rsid w:val="00C16573"/>
    <w:rsid w:val="00C1788C"/>
    <w:rsid w:val="00C2196C"/>
    <w:rsid w:val="00C23AC0"/>
    <w:rsid w:val="00C27319"/>
    <w:rsid w:val="00C3051A"/>
    <w:rsid w:val="00C314AC"/>
    <w:rsid w:val="00C32E52"/>
    <w:rsid w:val="00C3520A"/>
    <w:rsid w:val="00C3580C"/>
    <w:rsid w:val="00C42A71"/>
    <w:rsid w:val="00C46C92"/>
    <w:rsid w:val="00C47292"/>
    <w:rsid w:val="00C6586B"/>
    <w:rsid w:val="00C84263"/>
    <w:rsid w:val="00C87195"/>
    <w:rsid w:val="00C918EC"/>
    <w:rsid w:val="00C97EB8"/>
    <w:rsid w:val="00CA434B"/>
    <w:rsid w:val="00CB6661"/>
    <w:rsid w:val="00CB6D0B"/>
    <w:rsid w:val="00CD343F"/>
    <w:rsid w:val="00CD6936"/>
    <w:rsid w:val="00CE4F27"/>
    <w:rsid w:val="00CE585A"/>
    <w:rsid w:val="00CE68A8"/>
    <w:rsid w:val="00CE721E"/>
    <w:rsid w:val="00CF007B"/>
    <w:rsid w:val="00CF1136"/>
    <w:rsid w:val="00CF20FA"/>
    <w:rsid w:val="00CF29E8"/>
    <w:rsid w:val="00D103FA"/>
    <w:rsid w:val="00D200D6"/>
    <w:rsid w:val="00D20CA0"/>
    <w:rsid w:val="00D21515"/>
    <w:rsid w:val="00D22AB2"/>
    <w:rsid w:val="00D324CF"/>
    <w:rsid w:val="00D34DE7"/>
    <w:rsid w:val="00D47469"/>
    <w:rsid w:val="00D561D8"/>
    <w:rsid w:val="00D57902"/>
    <w:rsid w:val="00D62831"/>
    <w:rsid w:val="00D65C68"/>
    <w:rsid w:val="00D67B2F"/>
    <w:rsid w:val="00D71C90"/>
    <w:rsid w:val="00D7721F"/>
    <w:rsid w:val="00D828F2"/>
    <w:rsid w:val="00D87110"/>
    <w:rsid w:val="00DB4BF1"/>
    <w:rsid w:val="00DB7C63"/>
    <w:rsid w:val="00DC17EE"/>
    <w:rsid w:val="00DC2385"/>
    <w:rsid w:val="00DC2BB2"/>
    <w:rsid w:val="00DC628D"/>
    <w:rsid w:val="00DD5C22"/>
    <w:rsid w:val="00DE0591"/>
    <w:rsid w:val="00DE62D7"/>
    <w:rsid w:val="00DE6F42"/>
    <w:rsid w:val="00DF4463"/>
    <w:rsid w:val="00DF52E6"/>
    <w:rsid w:val="00DF7E46"/>
    <w:rsid w:val="00E00A0D"/>
    <w:rsid w:val="00E13288"/>
    <w:rsid w:val="00E21A68"/>
    <w:rsid w:val="00E2513B"/>
    <w:rsid w:val="00E36064"/>
    <w:rsid w:val="00E36870"/>
    <w:rsid w:val="00E41165"/>
    <w:rsid w:val="00E5262E"/>
    <w:rsid w:val="00E5368F"/>
    <w:rsid w:val="00E55A94"/>
    <w:rsid w:val="00E55C64"/>
    <w:rsid w:val="00E57550"/>
    <w:rsid w:val="00E60AF4"/>
    <w:rsid w:val="00E652ED"/>
    <w:rsid w:val="00E72A6E"/>
    <w:rsid w:val="00E74F07"/>
    <w:rsid w:val="00E84302"/>
    <w:rsid w:val="00E92AF8"/>
    <w:rsid w:val="00E93B06"/>
    <w:rsid w:val="00E97667"/>
    <w:rsid w:val="00EB3ED4"/>
    <w:rsid w:val="00EB5AE5"/>
    <w:rsid w:val="00EB5B27"/>
    <w:rsid w:val="00ED065B"/>
    <w:rsid w:val="00ED0A41"/>
    <w:rsid w:val="00ED1CB5"/>
    <w:rsid w:val="00ED28B9"/>
    <w:rsid w:val="00EE646D"/>
    <w:rsid w:val="00EF4164"/>
    <w:rsid w:val="00EF4E89"/>
    <w:rsid w:val="00EF7137"/>
    <w:rsid w:val="00F00EDF"/>
    <w:rsid w:val="00F0458E"/>
    <w:rsid w:val="00F15320"/>
    <w:rsid w:val="00F16C06"/>
    <w:rsid w:val="00F309FB"/>
    <w:rsid w:val="00F37F4A"/>
    <w:rsid w:val="00F406A5"/>
    <w:rsid w:val="00F5273F"/>
    <w:rsid w:val="00F5467D"/>
    <w:rsid w:val="00F54A94"/>
    <w:rsid w:val="00F82325"/>
    <w:rsid w:val="00F91783"/>
    <w:rsid w:val="00FA2321"/>
    <w:rsid w:val="00FA261E"/>
    <w:rsid w:val="00FB3E31"/>
    <w:rsid w:val="00FB4677"/>
    <w:rsid w:val="00FB6128"/>
    <w:rsid w:val="00FC1604"/>
    <w:rsid w:val="00FC748C"/>
    <w:rsid w:val="00FD30C1"/>
    <w:rsid w:val="00FE12A1"/>
    <w:rsid w:val="00FE3BA1"/>
    <w:rsid w:val="00FF7C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1C1"/>
    <w:pPr>
      <w:spacing w:line="360" w:lineRule="auto"/>
      <w:jc w:val="both"/>
    </w:pPr>
  </w:style>
  <w:style w:type="paragraph" w:styleId="Heading1">
    <w:name w:val="heading 1"/>
    <w:next w:val="Normal"/>
    <w:link w:val="Heading1Char"/>
    <w:uiPriority w:val="9"/>
    <w:qFormat/>
    <w:rsid w:val="00B43839"/>
    <w:pPr>
      <w:numPr>
        <w:numId w:val="1"/>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532F44"/>
    <w:pPr>
      <w:numPr>
        <w:ilvl w:val="1"/>
      </w:numPr>
      <w:spacing w:before="200"/>
      <w:outlineLvl w:val="1"/>
    </w:pPr>
    <w:rPr>
      <w:bCs w:val="0"/>
      <w:i/>
      <w:sz w:val="28"/>
      <w:szCs w:val="26"/>
    </w:rPr>
  </w:style>
  <w:style w:type="paragraph" w:styleId="Heading3">
    <w:name w:val="heading 3"/>
    <w:basedOn w:val="Heading2"/>
    <w:next w:val="Normal"/>
    <w:link w:val="Heading3Char"/>
    <w:uiPriority w:val="9"/>
    <w:unhideWhenUsed/>
    <w:qFormat/>
    <w:rsid w:val="00B43839"/>
    <w:pPr>
      <w:numPr>
        <w:ilvl w:val="2"/>
      </w:numPr>
      <w:spacing w:line="271" w:lineRule="auto"/>
      <w:outlineLvl w:val="2"/>
    </w:pPr>
    <w:rPr>
      <w:bCs/>
      <w:i w:val="0"/>
    </w:rPr>
  </w:style>
  <w:style w:type="paragraph" w:styleId="Heading4">
    <w:name w:val="heading 4"/>
    <w:basedOn w:val="Heading3"/>
    <w:next w:val="Normal"/>
    <w:link w:val="Heading4Char"/>
    <w:uiPriority w:val="9"/>
    <w:unhideWhenUsed/>
    <w:qFormat/>
    <w:rsid w:val="008539B5"/>
    <w:pPr>
      <w:numPr>
        <w:ilvl w:val="3"/>
      </w:numPr>
      <w:outlineLvl w:val="3"/>
    </w:pPr>
    <w:rPr>
      <w:bCs w:val="0"/>
      <w:i/>
      <w:iCs/>
    </w:rPr>
  </w:style>
  <w:style w:type="paragraph" w:styleId="Heading5">
    <w:name w:val="heading 5"/>
    <w:basedOn w:val="Heading4"/>
    <w:next w:val="Normal"/>
    <w:link w:val="Heading5Char"/>
    <w:uiPriority w:val="9"/>
    <w:unhideWhenUsed/>
    <w:qFormat/>
    <w:rsid w:val="008539B5"/>
    <w:pPr>
      <w:numPr>
        <w:ilvl w:val="4"/>
      </w:numPr>
      <w:outlineLvl w:val="4"/>
    </w:pPr>
    <w:rPr>
      <w:b w:val="0"/>
      <w:bCs/>
    </w:rPr>
  </w:style>
  <w:style w:type="paragraph" w:styleId="Heading6">
    <w:name w:val="heading 6"/>
    <w:basedOn w:val="Heading5"/>
    <w:next w:val="Normal"/>
    <w:link w:val="Heading6Char"/>
    <w:uiPriority w:val="9"/>
    <w:semiHidden/>
    <w:unhideWhenUsed/>
    <w:qFormat/>
    <w:rsid w:val="00B14037"/>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B43839"/>
    <w:pPr>
      <w:numPr>
        <w:ilvl w:val="6"/>
      </w:numPr>
      <w:outlineLvl w:val="6"/>
    </w:pPr>
    <w:rPr>
      <w:i/>
      <w:iCs/>
    </w:rPr>
  </w:style>
  <w:style w:type="paragraph" w:styleId="Heading8">
    <w:name w:val="heading 8"/>
    <w:basedOn w:val="Heading7"/>
    <w:next w:val="Normal"/>
    <w:link w:val="Heading8Char"/>
    <w:uiPriority w:val="9"/>
    <w:semiHidden/>
    <w:unhideWhenUsed/>
    <w:qFormat/>
    <w:rsid w:val="00B43839"/>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B43839"/>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83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532F44"/>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uiPriority w:val="9"/>
    <w:rsid w:val="00B43839"/>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8539B5"/>
    <w:rPr>
      <w:rFonts w:asciiTheme="majorHAnsi" w:eastAsiaTheme="majorEastAsia" w:hAnsiTheme="majorHAnsi" w:cstheme="majorBidi"/>
      <w:b/>
      <w:i/>
      <w:iCs/>
      <w:sz w:val="28"/>
      <w:szCs w:val="26"/>
    </w:rPr>
  </w:style>
  <w:style w:type="character" w:customStyle="1" w:styleId="Heading5Char">
    <w:name w:val="Heading 5 Char"/>
    <w:basedOn w:val="DefaultParagraphFont"/>
    <w:link w:val="Heading5"/>
    <w:uiPriority w:val="9"/>
    <w:rsid w:val="008539B5"/>
    <w:rPr>
      <w:rFonts w:asciiTheme="majorHAnsi" w:eastAsiaTheme="majorEastAsia" w:hAnsiTheme="majorHAnsi" w:cstheme="majorBidi"/>
      <w:bCs/>
      <w:i/>
      <w:iCs/>
      <w:sz w:val="28"/>
      <w:szCs w:val="26"/>
    </w:rPr>
  </w:style>
  <w:style w:type="character" w:customStyle="1" w:styleId="Heading6Char">
    <w:name w:val="Heading 6 Char"/>
    <w:basedOn w:val="DefaultParagraphFont"/>
    <w:link w:val="Heading6"/>
    <w:uiPriority w:val="9"/>
    <w:semiHidden/>
    <w:rsid w:val="00B14037"/>
    <w:rPr>
      <w:rFonts w:asciiTheme="majorHAnsi" w:eastAsiaTheme="majorEastAsia" w:hAnsiTheme="majorHAnsi" w:cstheme="majorBidi"/>
      <w:b/>
      <w:sz w:val="28"/>
      <w:szCs w:val="26"/>
    </w:rPr>
  </w:style>
  <w:style w:type="character" w:customStyle="1" w:styleId="Heading7Char">
    <w:name w:val="Heading 7 Char"/>
    <w:basedOn w:val="DefaultParagraphFont"/>
    <w:link w:val="Heading7"/>
    <w:uiPriority w:val="9"/>
    <w:semiHidden/>
    <w:rsid w:val="00B43839"/>
    <w:rPr>
      <w:rFonts w:asciiTheme="majorHAnsi" w:eastAsiaTheme="majorEastAsia" w:hAnsiTheme="majorHAnsi" w:cstheme="majorBidi"/>
      <w:b/>
      <w:i/>
      <w:iCs/>
      <w:sz w:val="28"/>
      <w:szCs w:val="26"/>
    </w:rPr>
  </w:style>
  <w:style w:type="character" w:customStyle="1" w:styleId="Heading8Char">
    <w:name w:val="Heading 8 Char"/>
    <w:basedOn w:val="DefaultParagraphFont"/>
    <w:link w:val="Heading8"/>
    <w:uiPriority w:val="9"/>
    <w:semiHidden/>
    <w:rsid w:val="00B43839"/>
    <w:rPr>
      <w:rFonts w:asciiTheme="majorHAnsi" w:eastAsiaTheme="majorEastAsia" w:hAnsiTheme="majorHAnsi" w:cstheme="majorBidi"/>
      <w:b/>
      <w:i/>
      <w:iCs/>
      <w:sz w:val="20"/>
      <w:szCs w:val="20"/>
    </w:rPr>
  </w:style>
  <w:style w:type="character" w:customStyle="1" w:styleId="Heading9Char">
    <w:name w:val="Heading 9 Char"/>
    <w:basedOn w:val="DefaultParagraphFont"/>
    <w:link w:val="Heading9"/>
    <w:uiPriority w:val="9"/>
    <w:semiHidden/>
    <w:rsid w:val="00B43839"/>
    <w:rPr>
      <w:rFonts w:asciiTheme="majorHAnsi" w:eastAsiaTheme="majorEastAsia" w:hAnsiTheme="majorHAnsi" w:cstheme="majorBidi"/>
      <w:b/>
      <w:spacing w:val="5"/>
      <w:sz w:val="20"/>
      <w:szCs w:val="20"/>
    </w:rPr>
  </w:style>
  <w:style w:type="paragraph" w:styleId="Title">
    <w:name w:val="Title"/>
    <w:basedOn w:val="Normal"/>
    <w:next w:val="Normal"/>
    <w:link w:val="TitleChar"/>
    <w:uiPriority w:val="10"/>
    <w:qFormat/>
    <w:rsid w:val="001259D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259D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259D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259D1"/>
    <w:rPr>
      <w:rFonts w:asciiTheme="majorHAnsi" w:eastAsiaTheme="majorEastAsia" w:hAnsiTheme="majorHAnsi" w:cstheme="majorBidi"/>
      <w:i/>
      <w:iCs/>
      <w:spacing w:val="13"/>
      <w:sz w:val="24"/>
      <w:szCs w:val="24"/>
    </w:rPr>
  </w:style>
  <w:style w:type="character" w:styleId="Strong">
    <w:name w:val="Strong"/>
    <w:uiPriority w:val="22"/>
    <w:qFormat/>
    <w:rsid w:val="001259D1"/>
    <w:rPr>
      <w:b/>
      <w:bCs/>
    </w:rPr>
  </w:style>
  <w:style w:type="character" w:styleId="Emphasis">
    <w:name w:val="Emphasis"/>
    <w:uiPriority w:val="20"/>
    <w:qFormat/>
    <w:rsid w:val="001259D1"/>
    <w:rPr>
      <w:b/>
      <w:bCs/>
      <w:i/>
      <w:iCs/>
      <w:spacing w:val="10"/>
      <w:bdr w:val="none" w:sz="0" w:space="0" w:color="auto"/>
      <w:shd w:val="clear" w:color="auto" w:fill="auto"/>
    </w:rPr>
  </w:style>
  <w:style w:type="paragraph" w:styleId="NoSpacing">
    <w:name w:val="No Spacing"/>
    <w:basedOn w:val="Normal"/>
    <w:uiPriority w:val="1"/>
    <w:qFormat/>
    <w:rsid w:val="001259D1"/>
    <w:pPr>
      <w:spacing w:after="0" w:line="240" w:lineRule="auto"/>
    </w:pPr>
  </w:style>
  <w:style w:type="paragraph" w:styleId="ListParagraph">
    <w:name w:val="List Paragraph"/>
    <w:basedOn w:val="Normal"/>
    <w:uiPriority w:val="34"/>
    <w:qFormat/>
    <w:rsid w:val="001259D1"/>
    <w:pPr>
      <w:ind w:left="720"/>
      <w:contextualSpacing/>
    </w:pPr>
  </w:style>
  <w:style w:type="paragraph" w:styleId="Quote">
    <w:name w:val="Quote"/>
    <w:basedOn w:val="Normal"/>
    <w:next w:val="Normal"/>
    <w:link w:val="QuoteChar"/>
    <w:uiPriority w:val="29"/>
    <w:qFormat/>
    <w:rsid w:val="001259D1"/>
    <w:pPr>
      <w:spacing w:before="200" w:after="0"/>
      <w:ind w:left="360" w:right="360"/>
    </w:pPr>
    <w:rPr>
      <w:i/>
      <w:iCs/>
    </w:rPr>
  </w:style>
  <w:style w:type="character" w:customStyle="1" w:styleId="QuoteChar">
    <w:name w:val="Quote Char"/>
    <w:basedOn w:val="DefaultParagraphFont"/>
    <w:link w:val="Quote"/>
    <w:uiPriority w:val="29"/>
    <w:rsid w:val="001259D1"/>
    <w:rPr>
      <w:i/>
      <w:iCs/>
    </w:rPr>
  </w:style>
  <w:style w:type="paragraph" w:styleId="IntenseQuote">
    <w:name w:val="Intense Quote"/>
    <w:basedOn w:val="Normal"/>
    <w:next w:val="Normal"/>
    <w:link w:val="IntenseQuoteChar"/>
    <w:uiPriority w:val="30"/>
    <w:qFormat/>
    <w:rsid w:val="001259D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1259D1"/>
    <w:rPr>
      <w:b/>
      <w:bCs/>
      <w:i/>
      <w:iCs/>
    </w:rPr>
  </w:style>
  <w:style w:type="character" w:styleId="SubtleEmphasis">
    <w:name w:val="Subtle Emphasis"/>
    <w:uiPriority w:val="19"/>
    <w:qFormat/>
    <w:rsid w:val="001259D1"/>
    <w:rPr>
      <w:i/>
      <w:iCs/>
    </w:rPr>
  </w:style>
  <w:style w:type="character" w:styleId="IntenseEmphasis">
    <w:name w:val="Intense Emphasis"/>
    <w:uiPriority w:val="21"/>
    <w:qFormat/>
    <w:rsid w:val="001259D1"/>
    <w:rPr>
      <w:b/>
      <w:bCs/>
    </w:rPr>
  </w:style>
  <w:style w:type="character" w:styleId="SubtleReference">
    <w:name w:val="Subtle Reference"/>
    <w:uiPriority w:val="31"/>
    <w:qFormat/>
    <w:rsid w:val="001259D1"/>
    <w:rPr>
      <w:smallCaps/>
    </w:rPr>
  </w:style>
  <w:style w:type="character" w:styleId="IntenseReference">
    <w:name w:val="Intense Reference"/>
    <w:uiPriority w:val="32"/>
    <w:qFormat/>
    <w:rsid w:val="001259D1"/>
    <w:rPr>
      <w:smallCaps/>
      <w:spacing w:val="5"/>
      <w:u w:val="single"/>
    </w:rPr>
  </w:style>
  <w:style w:type="character" w:styleId="BookTitle">
    <w:name w:val="Book Title"/>
    <w:uiPriority w:val="33"/>
    <w:qFormat/>
    <w:rsid w:val="001259D1"/>
    <w:rPr>
      <w:i/>
      <w:iCs/>
      <w:smallCaps/>
      <w:spacing w:val="5"/>
    </w:rPr>
  </w:style>
  <w:style w:type="paragraph" w:styleId="TOCHeading">
    <w:name w:val="TOC Heading"/>
    <w:basedOn w:val="Heading1"/>
    <w:next w:val="Normal"/>
    <w:uiPriority w:val="39"/>
    <w:semiHidden/>
    <w:unhideWhenUsed/>
    <w:qFormat/>
    <w:rsid w:val="001259D1"/>
    <w:pPr>
      <w:outlineLvl w:val="9"/>
    </w:pPr>
  </w:style>
  <w:style w:type="numbering" w:customStyle="1" w:styleId="Headings">
    <w:name w:val="Headings"/>
    <w:uiPriority w:val="99"/>
    <w:rsid w:val="00B43839"/>
    <w:pPr>
      <w:numPr>
        <w:numId w:val="2"/>
      </w:numPr>
    </w:pPr>
  </w:style>
  <w:style w:type="paragraph" w:styleId="FootnoteText">
    <w:name w:val="footnote text"/>
    <w:basedOn w:val="Normal"/>
    <w:link w:val="FootnoteTextChar"/>
    <w:uiPriority w:val="99"/>
    <w:semiHidden/>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FootnoteTextChar">
    <w:name w:val="Footnote Text Char"/>
    <w:basedOn w:val="DefaultParagraphFont"/>
    <w:link w:val="FootnoteText"/>
    <w:uiPriority w:val="99"/>
    <w:semiHidden/>
    <w:rsid w:val="00715C19"/>
    <w:rPr>
      <w:rFonts w:ascii="Times New Roman" w:eastAsia="Times New Roman" w:hAnsi="Times New Roman" w:cs="Times New Roman"/>
      <w:sz w:val="20"/>
      <w:szCs w:val="20"/>
      <w:lang w:val="en-GB" w:eastAsia="en-GB" w:bidi="ar-SA"/>
    </w:rPr>
  </w:style>
  <w:style w:type="character" w:styleId="FootnoteReference">
    <w:name w:val="footnote reference"/>
    <w:basedOn w:val="DefaultParagraphFont"/>
    <w:uiPriority w:val="99"/>
    <w:semiHidden/>
    <w:rsid w:val="00715C19"/>
    <w:rPr>
      <w:vertAlign w:val="superscript"/>
    </w:rPr>
  </w:style>
  <w:style w:type="paragraph" w:styleId="Header">
    <w:name w:val="header"/>
    <w:link w:val="HeaderChar"/>
    <w:uiPriority w:val="99"/>
    <w:rsid w:val="00715C19"/>
    <w:pPr>
      <w:tabs>
        <w:tab w:val="center" w:pos="4153"/>
        <w:tab w:val="right" w:pos="8306"/>
      </w:tabs>
    </w:pPr>
    <w:rPr>
      <w:rFonts w:ascii="Times New Roman" w:eastAsia="Times New Roman" w:hAnsi="Times New Roman" w:cs="Times New Roman"/>
      <w:sz w:val="24"/>
      <w:szCs w:val="24"/>
      <w:lang w:val="en-GB" w:eastAsia="en-GB" w:bidi="ar-SA"/>
    </w:rPr>
  </w:style>
  <w:style w:type="character" w:customStyle="1" w:styleId="HeaderChar">
    <w:name w:val="Header Char"/>
    <w:basedOn w:val="DefaultParagraphFont"/>
    <w:link w:val="Header"/>
    <w:uiPriority w:val="99"/>
    <w:rsid w:val="00715C19"/>
    <w:rPr>
      <w:rFonts w:ascii="Times New Roman" w:eastAsia="Times New Roman" w:hAnsi="Times New Roman" w:cs="Times New Roman"/>
      <w:sz w:val="24"/>
      <w:szCs w:val="24"/>
      <w:lang w:val="en-GB" w:eastAsia="en-GB" w:bidi="ar-SA"/>
    </w:rPr>
  </w:style>
  <w:style w:type="character" w:styleId="Hyperlink">
    <w:name w:val="Hyperlink"/>
    <w:basedOn w:val="DefaultParagraphFont"/>
    <w:uiPriority w:val="99"/>
    <w:rsid w:val="00715C19"/>
    <w:rPr>
      <w:color w:val="0000FF"/>
      <w:u w:val="single"/>
    </w:rPr>
  </w:style>
  <w:style w:type="numbering" w:customStyle="1" w:styleId="NoList1">
    <w:name w:val="No List1"/>
    <w:next w:val="NoList"/>
    <w:uiPriority w:val="99"/>
    <w:semiHidden/>
    <w:unhideWhenUsed/>
    <w:rsid w:val="00715C19"/>
  </w:style>
  <w:style w:type="table" w:styleId="TableGrid">
    <w:name w:val="Table Grid"/>
    <w:basedOn w:val="TableNormal"/>
    <w:uiPriority w:val="59"/>
    <w:rsid w:val="00715C19"/>
    <w:pPr>
      <w:spacing w:after="0" w:line="240" w:lineRule="auto"/>
    </w:pPr>
    <w:rPr>
      <w:rFonts w:ascii="Calibri" w:eastAsia="Calibri" w:hAnsi="Calibri"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715C19"/>
  </w:style>
  <w:style w:type="numbering" w:customStyle="1" w:styleId="NoList3">
    <w:name w:val="No List3"/>
    <w:next w:val="NoList"/>
    <w:uiPriority w:val="99"/>
    <w:semiHidden/>
    <w:unhideWhenUsed/>
    <w:rsid w:val="00715C19"/>
  </w:style>
  <w:style w:type="paragraph" w:customStyle="1" w:styleId="Default">
    <w:name w:val="Default"/>
    <w:rsid w:val="00715C19"/>
    <w:pPr>
      <w:autoSpaceDE w:val="0"/>
      <w:autoSpaceDN w:val="0"/>
      <w:adjustRightInd w:val="0"/>
      <w:spacing w:after="0" w:line="240" w:lineRule="auto"/>
    </w:pPr>
    <w:rPr>
      <w:rFonts w:ascii="Arial" w:eastAsia="Times New Roman" w:hAnsi="Arial" w:cs="Arial"/>
      <w:color w:val="000000"/>
      <w:sz w:val="24"/>
      <w:szCs w:val="24"/>
      <w:lang w:bidi="ar-SA"/>
    </w:rPr>
  </w:style>
  <w:style w:type="table" w:customStyle="1" w:styleId="TableGrid1">
    <w:name w:val="Table Grid1"/>
    <w:basedOn w:val="TableNormal"/>
    <w:next w:val="TableGrid"/>
    <w:uiPriority w:val="59"/>
    <w:rsid w:val="00715C19"/>
    <w:pPr>
      <w:spacing w:after="0" w:line="240" w:lineRule="auto"/>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15C19"/>
    <w:rPr>
      <w:sz w:val="16"/>
      <w:szCs w:val="16"/>
    </w:rPr>
  </w:style>
  <w:style w:type="paragraph" w:styleId="CommentText">
    <w:name w:val="annotation text"/>
    <w:basedOn w:val="Normal"/>
    <w:link w:val="CommentTextChar"/>
    <w:uiPriority w:val="99"/>
    <w:unhideWhenUsed/>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CommentTextChar">
    <w:name w:val="Comment Text Char"/>
    <w:basedOn w:val="DefaultParagraphFont"/>
    <w:link w:val="CommentText"/>
    <w:uiPriority w:val="99"/>
    <w:rsid w:val="00715C19"/>
    <w:rPr>
      <w:rFonts w:ascii="Times New Roman" w:eastAsia="Times New Roman" w:hAnsi="Times New Roman" w:cs="Times New Roman"/>
      <w:sz w:val="20"/>
      <w:szCs w:val="20"/>
      <w:lang w:val="en-GB" w:eastAsia="en-GB" w:bidi="ar-SA"/>
    </w:rPr>
  </w:style>
  <w:style w:type="paragraph" w:styleId="CommentSubject">
    <w:name w:val="annotation subject"/>
    <w:basedOn w:val="CommentText"/>
    <w:next w:val="CommentText"/>
    <w:link w:val="CommentSubjectChar"/>
    <w:uiPriority w:val="99"/>
    <w:semiHidden/>
    <w:unhideWhenUsed/>
    <w:rsid w:val="00715C19"/>
    <w:rPr>
      <w:b/>
      <w:bCs/>
    </w:rPr>
  </w:style>
  <w:style w:type="character" w:customStyle="1" w:styleId="CommentSubjectChar">
    <w:name w:val="Comment Subject Char"/>
    <w:basedOn w:val="CommentTextChar"/>
    <w:link w:val="CommentSubject"/>
    <w:uiPriority w:val="99"/>
    <w:semiHidden/>
    <w:rsid w:val="00715C19"/>
    <w:rPr>
      <w:rFonts w:ascii="Times New Roman" w:eastAsia="Times New Roman" w:hAnsi="Times New Roman" w:cs="Times New Roman"/>
      <w:b/>
      <w:bCs/>
      <w:sz w:val="20"/>
      <w:szCs w:val="20"/>
      <w:lang w:val="en-GB" w:eastAsia="en-GB" w:bidi="ar-SA"/>
    </w:rPr>
  </w:style>
  <w:style w:type="paragraph" w:styleId="BalloonText">
    <w:name w:val="Balloon Text"/>
    <w:basedOn w:val="Normal"/>
    <w:link w:val="BalloonTextChar"/>
    <w:uiPriority w:val="99"/>
    <w:semiHidden/>
    <w:unhideWhenUsed/>
    <w:rsid w:val="00715C19"/>
    <w:pPr>
      <w:spacing w:after="0" w:line="240" w:lineRule="auto"/>
    </w:pPr>
    <w:rPr>
      <w:rFonts w:ascii="Tahoma" w:eastAsia="Times New Roman" w:hAnsi="Tahoma" w:cs="Tahoma"/>
      <w:sz w:val="16"/>
      <w:szCs w:val="16"/>
      <w:lang w:val="en-GB" w:eastAsia="en-GB" w:bidi="ar-SA"/>
    </w:rPr>
  </w:style>
  <w:style w:type="character" w:customStyle="1" w:styleId="BalloonTextChar">
    <w:name w:val="Balloon Text Char"/>
    <w:basedOn w:val="DefaultParagraphFont"/>
    <w:link w:val="BalloonText"/>
    <w:uiPriority w:val="99"/>
    <w:semiHidden/>
    <w:rsid w:val="00715C19"/>
    <w:rPr>
      <w:rFonts w:ascii="Tahoma" w:eastAsia="Times New Roman" w:hAnsi="Tahoma" w:cs="Tahoma"/>
      <w:sz w:val="16"/>
      <w:szCs w:val="16"/>
      <w:lang w:val="en-GB" w:eastAsia="en-GB" w:bidi="ar-SA"/>
    </w:rPr>
  </w:style>
  <w:style w:type="paragraph" w:customStyle="1" w:styleId="TableTitle">
    <w:name w:val="TableTitle"/>
    <w:basedOn w:val="Normal"/>
    <w:rsid w:val="00715C19"/>
    <w:pPr>
      <w:spacing w:after="0" w:line="300" w:lineRule="exact"/>
    </w:pPr>
    <w:rPr>
      <w:rFonts w:ascii="Times New Roman" w:eastAsia="Times New Roman" w:hAnsi="Times New Roman" w:cs="Times New Roman"/>
      <w:sz w:val="24"/>
      <w:szCs w:val="20"/>
      <w:lang w:val="en-GB" w:bidi="ar-SA"/>
    </w:rPr>
  </w:style>
  <w:style w:type="paragraph" w:styleId="Footer">
    <w:name w:val="footer"/>
    <w:basedOn w:val="Normal"/>
    <w:link w:val="FooterChar"/>
    <w:uiPriority w:val="99"/>
    <w:unhideWhenUsed/>
    <w:rsid w:val="00715C19"/>
    <w:pPr>
      <w:tabs>
        <w:tab w:val="center" w:pos="4513"/>
        <w:tab w:val="right" w:pos="9026"/>
      </w:tabs>
      <w:spacing w:after="0" w:line="240" w:lineRule="auto"/>
    </w:pPr>
    <w:rPr>
      <w:rFonts w:ascii="Times New Roman" w:eastAsia="Times New Roman" w:hAnsi="Times New Roman" w:cs="Times New Roman"/>
      <w:sz w:val="24"/>
      <w:szCs w:val="24"/>
      <w:lang w:val="en-GB" w:eastAsia="en-GB" w:bidi="ar-SA"/>
    </w:rPr>
  </w:style>
  <w:style w:type="character" w:customStyle="1" w:styleId="FooterChar">
    <w:name w:val="Footer Char"/>
    <w:basedOn w:val="DefaultParagraphFont"/>
    <w:link w:val="Footer"/>
    <w:uiPriority w:val="99"/>
    <w:rsid w:val="00715C19"/>
    <w:rPr>
      <w:rFonts w:ascii="Times New Roman" w:eastAsia="Times New Roman" w:hAnsi="Times New Roman" w:cs="Times New Roman"/>
      <w:sz w:val="24"/>
      <w:szCs w:val="24"/>
      <w:lang w:val="en-GB" w:eastAsia="en-GB" w:bidi="ar-SA"/>
    </w:rPr>
  </w:style>
  <w:style w:type="character" w:styleId="FollowedHyperlink">
    <w:name w:val="FollowedHyperlink"/>
    <w:basedOn w:val="DefaultParagraphFont"/>
    <w:uiPriority w:val="99"/>
    <w:semiHidden/>
    <w:unhideWhenUsed/>
    <w:rsid w:val="00715C19"/>
    <w:rPr>
      <w:color w:val="800080" w:themeColor="followedHyperlink"/>
      <w:u w:val="single"/>
    </w:rPr>
  </w:style>
  <w:style w:type="character" w:customStyle="1" w:styleId="st1">
    <w:name w:val="st1"/>
    <w:basedOn w:val="DefaultParagraphFont"/>
    <w:rsid w:val="00715C19"/>
  </w:style>
  <w:style w:type="paragraph" w:styleId="HTMLPreformatted">
    <w:name w:val="HTML Preformatted"/>
    <w:basedOn w:val="Normal"/>
    <w:link w:val="HTMLPreformattedChar"/>
    <w:uiPriority w:val="99"/>
    <w:unhideWhenUsed/>
    <w:rsid w:val="0071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15C19"/>
    <w:rPr>
      <w:rFonts w:ascii="Courier New" w:eastAsia="Times New Roman" w:hAnsi="Courier New" w:cs="Courier New"/>
      <w:sz w:val="20"/>
      <w:szCs w:val="20"/>
      <w:lang w:val="en-GB" w:eastAsia="en-GB"/>
    </w:rPr>
  </w:style>
  <w:style w:type="character" w:customStyle="1" w:styleId="gd40030cor">
    <w:name w:val="gd40030cor"/>
    <w:basedOn w:val="DefaultParagraphFont"/>
    <w:rsid w:val="00715C19"/>
  </w:style>
  <w:style w:type="character" w:customStyle="1" w:styleId="gd40030ccr">
    <w:name w:val="gd40030ccr"/>
    <w:basedOn w:val="DefaultParagraphFont"/>
    <w:rsid w:val="00715C19"/>
  </w:style>
  <w:style w:type="paragraph" w:styleId="Caption">
    <w:name w:val="caption"/>
    <w:basedOn w:val="Normal"/>
    <w:next w:val="Normal"/>
    <w:uiPriority w:val="35"/>
    <w:unhideWhenUsed/>
    <w:qFormat/>
    <w:rsid w:val="00715C19"/>
    <w:pPr>
      <w:spacing w:line="240" w:lineRule="auto"/>
    </w:pPr>
    <w:rPr>
      <w:b/>
      <w:bCs/>
      <w:color w:val="4F81BD" w:themeColor="accent1"/>
      <w:sz w:val="18"/>
      <w:szCs w:val="18"/>
      <w:lang w:val="en-GB"/>
    </w:rPr>
  </w:style>
  <w:style w:type="paragraph" w:styleId="DocumentMap">
    <w:name w:val="Document Map"/>
    <w:basedOn w:val="Normal"/>
    <w:link w:val="DocumentMapChar"/>
    <w:uiPriority w:val="99"/>
    <w:semiHidden/>
    <w:unhideWhenUsed/>
    <w:rsid w:val="00715C19"/>
    <w:pPr>
      <w:spacing w:after="0" w:line="240" w:lineRule="auto"/>
    </w:pPr>
    <w:rPr>
      <w:rFonts w:ascii="Tahoma" w:hAnsi="Tahoma" w:cs="Tahoma"/>
      <w:sz w:val="16"/>
      <w:szCs w:val="16"/>
      <w:lang w:val="en-GB"/>
    </w:rPr>
  </w:style>
  <w:style w:type="character" w:customStyle="1" w:styleId="DocumentMapChar">
    <w:name w:val="Document Map Char"/>
    <w:basedOn w:val="DefaultParagraphFont"/>
    <w:link w:val="DocumentMap"/>
    <w:uiPriority w:val="99"/>
    <w:semiHidden/>
    <w:rsid w:val="00715C19"/>
    <w:rPr>
      <w:rFonts w:ascii="Tahoma" w:hAnsi="Tahoma" w:cs="Tahoma"/>
      <w:sz w:val="16"/>
      <w:szCs w:val="16"/>
      <w:lang w:val="en-GB"/>
    </w:rPr>
  </w:style>
  <w:style w:type="paragraph" w:styleId="TOC1">
    <w:name w:val="toc 1"/>
    <w:basedOn w:val="Normal"/>
    <w:next w:val="Normal"/>
    <w:autoRedefine/>
    <w:uiPriority w:val="39"/>
    <w:unhideWhenUsed/>
    <w:rsid w:val="00715C19"/>
    <w:pPr>
      <w:spacing w:after="100"/>
    </w:pPr>
    <w:rPr>
      <w:lang w:val="en-GB"/>
    </w:rPr>
  </w:style>
  <w:style w:type="paragraph" w:styleId="TOC2">
    <w:name w:val="toc 2"/>
    <w:basedOn w:val="Normal"/>
    <w:next w:val="Normal"/>
    <w:autoRedefine/>
    <w:uiPriority w:val="39"/>
    <w:unhideWhenUsed/>
    <w:rsid w:val="00715C19"/>
    <w:pPr>
      <w:spacing w:after="100"/>
      <w:ind w:left="220"/>
    </w:pPr>
    <w:rPr>
      <w:lang w:val="en-GB"/>
    </w:rPr>
  </w:style>
  <w:style w:type="paragraph" w:styleId="TOC3">
    <w:name w:val="toc 3"/>
    <w:basedOn w:val="Normal"/>
    <w:next w:val="Normal"/>
    <w:autoRedefine/>
    <w:uiPriority w:val="39"/>
    <w:unhideWhenUsed/>
    <w:rsid w:val="00715C19"/>
    <w:pPr>
      <w:spacing w:after="100"/>
      <w:ind w:left="440"/>
    </w:pPr>
    <w:rPr>
      <w:lang w:val="en-GB"/>
    </w:rPr>
  </w:style>
  <w:style w:type="paragraph" w:styleId="TableofFigures">
    <w:name w:val="table of figures"/>
    <w:basedOn w:val="Normal"/>
    <w:next w:val="Normal"/>
    <w:uiPriority w:val="99"/>
    <w:unhideWhenUsed/>
    <w:rsid w:val="00715C19"/>
    <w:pPr>
      <w:spacing w:after="0"/>
    </w:pPr>
    <w:rPr>
      <w:lang w:val="en-GB"/>
    </w:rPr>
  </w:style>
  <w:style w:type="paragraph" w:styleId="Revision">
    <w:name w:val="Revision"/>
    <w:hidden/>
    <w:uiPriority w:val="99"/>
    <w:semiHidden/>
    <w:rsid w:val="00715C19"/>
    <w:pPr>
      <w:spacing w:after="0" w:line="240" w:lineRule="auto"/>
    </w:pPr>
    <w:rPr>
      <w:lang w:val="en-GB"/>
    </w:rPr>
  </w:style>
  <w:style w:type="paragraph" w:customStyle="1" w:styleId="Heading31">
    <w:name w:val="Heading 31"/>
    <w:next w:val="Normal"/>
    <w:uiPriority w:val="9"/>
    <w:rsid w:val="00715C19"/>
    <w:pPr>
      <w:keepNext/>
      <w:spacing w:before="240" w:after="60"/>
      <w:outlineLvl w:val="2"/>
    </w:pPr>
    <w:rPr>
      <w:rFonts w:ascii="Arial" w:eastAsia="Times New Roman" w:hAnsi="Arial" w:cs="Arial"/>
      <w:b/>
      <w:bCs/>
      <w:sz w:val="26"/>
      <w:szCs w:val="26"/>
      <w:lang w:val="en-GB" w:eastAsia="en-GB" w:bidi="ar-SA"/>
    </w:rPr>
  </w:style>
  <w:style w:type="character" w:customStyle="1" w:styleId="apple-converted-space">
    <w:name w:val="apple-converted-space"/>
    <w:basedOn w:val="DefaultParagraphFont"/>
    <w:rsid w:val="00772D0B"/>
  </w:style>
  <w:style w:type="paragraph" w:styleId="ListBullet">
    <w:name w:val="List Bullet"/>
    <w:basedOn w:val="Normal"/>
    <w:uiPriority w:val="99"/>
    <w:unhideWhenUsed/>
    <w:rsid w:val="00AE69C3"/>
    <w:pPr>
      <w:numPr>
        <w:numId w:val="8"/>
      </w:numPr>
      <w:contextualSpacing/>
    </w:pPr>
  </w:style>
  <w:style w:type="paragraph" w:styleId="NormalWeb">
    <w:name w:val="Normal (Web)"/>
    <w:basedOn w:val="Normal"/>
    <w:uiPriority w:val="99"/>
    <w:unhideWhenUsed/>
    <w:rsid w:val="009C2038"/>
    <w:pPr>
      <w:spacing w:before="100" w:beforeAutospacing="1" w:after="100" w:afterAutospacing="1" w:line="240" w:lineRule="auto"/>
    </w:pPr>
    <w:rPr>
      <w:rFonts w:ascii="Times New Roman" w:hAnsi="Times New Roman" w:cs="Times New Roman"/>
      <w:sz w:val="24"/>
      <w:szCs w:val="24"/>
      <w:lang w:val="en-GB" w:eastAsia="en-GB" w:bidi="ar-SA"/>
    </w:rPr>
  </w:style>
  <w:style w:type="table" w:customStyle="1" w:styleId="TableGrid2">
    <w:name w:val="Table Grid2"/>
    <w:basedOn w:val="TableNormal"/>
    <w:next w:val="TableGrid"/>
    <w:uiPriority w:val="59"/>
    <w:rsid w:val="007B0965"/>
    <w:pPr>
      <w:spacing w:after="0" w:line="240" w:lineRule="auto"/>
    </w:pPr>
    <w:rPr>
      <w:rFonts w:eastAsiaTheme="minorHAnsi"/>
      <w:lang w:val="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C47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Headings"/>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443263">
      <w:bodyDiv w:val="1"/>
      <w:marLeft w:val="0"/>
      <w:marRight w:val="0"/>
      <w:marTop w:val="0"/>
      <w:marBottom w:val="0"/>
      <w:divBdr>
        <w:top w:val="none" w:sz="0" w:space="0" w:color="auto"/>
        <w:left w:val="none" w:sz="0" w:space="0" w:color="auto"/>
        <w:bottom w:val="none" w:sz="0" w:space="0" w:color="auto"/>
        <w:right w:val="none" w:sz="0" w:space="0" w:color="auto"/>
      </w:divBdr>
    </w:div>
    <w:div w:id="352731469">
      <w:bodyDiv w:val="1"/>
      <w:marLeft w:val="0"/>
      <w:marRight w:val="0"/>
      <w:marTop w:val="0"/>
      <w:marBottom w:val="0"/>
      <w:divBdr>
        <w:top w:val="none" w:sz="0" w:space="0" w:color="auto"/>
        <w:left w:val="none" w:sz="0" w:space="0" w:color="auto"/>
        <w:bottom w:val="none" w:sz="0" w:space="0" w:color="auto"/>
        <w:right w:val="none" w:sz="0" w:space="0" w:color="auto"/>
      </w:divBdr>
      <w:divsChild>
        <w:div w:id="1832015921">
          <w:marLeft w:val="0"/>
          <w:marRight w:val="0"/>
          <w:marTop w:val="0"/>
          <w:marBottom w:val="0"/>
          <w:divBdr>
            <w:top w:val="none" w:sz="0" w:space="0" w:color="auto"/>
            <w:left w:val="none" w:sz="0" w:space="0" w:color="auto"/>
            <w:bottom w:val="none" w:sz="0" w:space="0" w:color="auto"/>
            <w:right w:val="none" w:sz="0" w:space="0" w:color="auto"/>
          </w:divBdr>
          <w:divsChild>
            <w:div w:id="1404529119">
              <w:marLeft w:val="0"/>
              <w:marRight w:val="0"/>
              <w:marTop w:val="0"/>
              <w:marBottom w:val="0"/>
              <w:divBdr>
                <w:top w:val="none" w:sz="0" w:space="0" w:color="auto"/>
                <w:left w:val="none" w:sz="0" w:space="0" w:color="auto"/>
                <w:bottom w:val="none" w:sz="0" w:space="0" w:color="auto"/>
                <w:right w:val="none" w:sz="0" w:space="0" w:color="auto"/>
              </w:divBdr>
              <w:divsChild>
                <w:div w:id="1460030850">
                  <w:marLeft w:val="0"/>
                  <w:marRight w:val="0"/>
                  <w:marTop w:val="0"/>
                  <w:marBottom w:val="0"/>
                  <w:divBdr>
                    <w:top w:val="none" w:sz="0" w:space="0" w:color="auto"/>
                    <w:left w:val="none" w:sz="0" w:space="0" w:color="auto"/>
                    <w:bottom w:val="none" w:sz="0" w:space="0" w:color="auto"/>
                    <w:right w:val="none" w:sz="0" w:space="0" w:color="auto"/>
                  </w:divBdr>
                  <w:divsChild>
                    <w:div w:id="2054186325">
                      <w:marLeft w:val="0"/>
                      <w:marRight w:val="0"/>
                      <w:marTop w:val="0"/>
                      <w:marBottom w:val="0"/>
                      <w:divBdr>
                        <w:top w:val="none" w:sz="0" w:space="0" w:color="auto"/>
                        <w:left w:val="none" w:sz="0" w:space="0" w:color="auto"/>
                        <w:bottom w:val="none" w:sz="0" w:space="0" w:color="auto"/>
                        <w:right w:val="none" w:sz="0" w:space="0" w:color="auto"/>
                      </w:divBdr>
                      <w:divsChild>
                        <w:div w:id="1538661099">
                          <w:marLeft w:val="0"/>
                          <w:marRight w:val="0"/>
                          <w:marTop w:val="0"/>
                          <w:marBottom w:val="0"/>
                          <w:divBdr>
                            <w:top w:val="none" w:sz="0" w:space="0" w:color="auto"/>
                            <w:left w:val="none" w:sz="0" w:space="0" w:color="auto"/>
                            <w:bottom w:val="none" w:sz="0" w:space="0" w:color="auto"/>
                            <w:right w:val="none" w:sz="0" w:space="0" w:color="auto"/>
                          </w:divBdr>
                          <w:divsChild>
                            <w:div w:id="1131939409">
                              <w:marLeft w:val="0"/>
                              <w:marRight w:val="0"/>
                              <w:marTop w:val="0"/>
                              <w:marBottom w:val="0"/>
                              <w:divBdr>
                                <w:top w:val="none" w:sz="0" w:space="0" w:color="auto"/>
                                <w:left w:val="none" w:sz="0" w:space="0" w:color="auto"/>
                                <w:bottom w:val="none" w:sz="0" w:space="0" w:color="auto"/>
                                <w:right w:val="none" w:sz="0" w:space="0" w:color="auto"/>
                              </w:divBdr>
                              <w:divsChild>
                                <w:div w:id="475296665">
                                  <w:marLeft w:val="0"/>
                                  <w:marRight w:val="0"/>
                                  <w:marTop w:val="0"/>
                                  <w:marBottom w:val="0"/>
                                  <w:divBdr>
                                    <w:top w:val="none" w:sz="0" w:space="0" w:color="auto"/>
                                    <w:left w:val="none" w:sz="0" w:space="0" w:color="auto"/>
                                    <w:bottom w:val="none" w:sz="0" w:space="0" w:color="auto"/>
                                    <w:right w:val="none" w:sz="0" w:space="0" w:color="auto"/>
                                  </w:divBdr>
                                  <w:divsChild>
                                    <w:div w:id="1482580829">
                                      <w:marLeft w:val="0"/>
                                      <w:marRight w:val="0"/>
                                      <w:marTop w:val="0"/>
                                      <w:marBottom w:val="0"/>
                                      <w:divBdr>
                                        <w:top w:val="none" w:sz="0" w:space="0" w:color="auto"/>
                                        <w:left w:val="none" w:sz="0" w:space="0" w:color="auto"/>
                                        <w:bottom w:val="none" w:sz="0" w:space="0" w:color="auto"/>
                                        <w:right w:val="none" w:sz="0" w:space="0" w:color="auto"/>
                                      </w:divBdr>
                                      <w:divsChild>
                                        <w:div w:id="383942606">
                                          <w:marLeft w:val="0"/>
                                          <w:marRight w:val="0"/>
                                          <w:marTop w:val="0"/>
                                          <w:marBottom w:val="0"/>
                                          <w:divBdr>
                                            <w:top w:val="none" w:sz="0" w:space="0" w:color="auto"/>
                                            <w:left w:val="none" w:sz="0" w:space="0" w:color="auto"/>
                                            <w:bottom w:val="none" w:sz="0" w:space="0" w:color="auto"/>
                                            <w:right w:val="none" w:sz="0" w:space="0" w:color="auto"/>
                                          </w:divBdr>
                                          <w:divsChild>
                                            <w:div w:id="1341422463">
                                              <w:marLeft w:val="0"/>
                                              <w:marRight w:val="0"/>
                                              <w:marTop w:val="0"/>
                                              <w:marBottom w:val="0"/>
                                              <w:divBdr>
                                                <w:top w:val="none" w:sz="0" w:space="0" w:color="auto"/>
                                                <w:left w:val="none" w:sz="0" w:space="0" w:color="auto"/>
                                                <w:bottom w:val="none" w:sz="0" w:space="0" w:color="auto"/>
                                                <w:right w:val="none" w:sz="0" w:space="0" w:color="auto"/>
                                              </w:divBdr>
                                              <w:divsChild>
                                                <w:div w:id="280648810">
                                                  <w:marLeft w:val="0"/>
                                                  <w:marRight w:val="0"/>
                                                  <w:marTop w:val="0"/>
                                                  <w:marBottom w:val="0"/>
                                                  <w:divBdr>
                                                    <w:top w:val="none" w:sz="0" w:space="0" w:color="auto"/>
                                                    <w:left w:val="none" w:sz="0" w:space="0" w:color="auto"/>
                                                    <w:bottom w:val="none" w:sz="0" w:space="0" w:color="auto"/>
                                                    <w:right w:val="none" w:sz="0" w:space="0" w:color="auto"/>
                                                  </w:divBdr>
                                                  <w:divsChild>
                                                    <w:div w:id="1198349035">
                                                      <w:marLeft w:val="0"/>
                                                      <w:marRight w:val="0"/>
                                                      <w:marTop w:val="0"/>
                                                      <w:marBottom w:val="0"/>
                                                      <w:divBdr>
                                                        <w:top w:val="none" w:sz="0" w:space="0" w:color="auto"/>
                                                        <w:left w:val="none" w:sz="0" w:space="0" w:color="auto"/>
                                                        <w:bottom w:val="none" w:sz="0" w:space="0" w:color="auto"/>
                                                        <w:right w:val="none" w:sz="0" w:space="0" w:color="auto"/>
                                                      </w:divBdr>
                                                      <w:divsChild>
                                                        <w:div w:id="416631852">
                                                          <w:marLeft w:val="0"/>
                                                          <w:marRight w:val="0"/>
                                                          <w:marTop w:val="0"/>
                                                          <w:marBottom w:val="0"/>
                                                          <w:divBdr>
                                                            <w:top w:val="none" w:sz="0" w:space="0" w:color="auto"/>
                                                            <w:left w:val="none" w:sz="0" w:space="0" w:color="auto"/>
                                                            <w:bottom w:val="none" w:sz="0" w:space="0" w:color="auto"/>
                                                            <w:right w:val="none" w:sz="0" w:space="0" w:color="auto"/>
                                                          </w:divBdr>
                                                          <w:divsChild>
                                                            <w:div w:id="233126190">
                                                              <w:marLeft w:val="0"/>
                                                              <w:marRight w:val="0"/>
                                                              <w:marTop w:val="0"/>
                                                              <w:marBottom w:val="0"/>
                                                              <w:divBdr>
                                                                <w:top w:val="none" w:sz="0" w:space="0" w:color="auto"/>
                                                                <w:left w:val="none" w:sz="0" w:space="0" w:color="auto"/>
                                                                <w:bottom w:val="none" w:sz="0" w:space="0" w:color="auto"/>
                                                                <w:right w:val="none" w:sz="0" w:space="0" w:color="auto"/>
                                                              </w:divBdr>
                                                              <w:divsChild>
                                                                <w:div w:id="1306855151">
                                                                  <w:marLeft w:val="0"/>
                                                                  <w:marRight w:val="0"/>
                                                                  <w:marTop w:val="0"/>
                                                                  <w:marBottom w:val="0"/>
                                                                  <w:divBdr>
                                                                    <w:top w:val="none" w:sz="0" w:space="0" w:color="auto"/>
                                                                    <w:left w:val="none" w:sz="0" w:space="0" w:color="auto"/>
                                                                    <w:bottom w:val="none" w:sz="0" w:space="0" w:color="auto"/>
                                                                    <w:right w:val="none" w:sz="0" w:space="0" w:color="auto"/>
                                                                  </w:divBdr>
                                                                  <w:divsChild>
                                                                    <w:div w:id="1473206292">
                                                                      <w:marLeft w:val="0"/>
                                                                      <w:marRight w:val="0"/>
                                                                      <w:marTop w:val="0"/>
                                                                      <w:marBottom w:val="0"/>
                                                                      <w:divBdr>
                                                                        <w:top w:val="none" w:sz="0" w:space="0" w:color="auto"/>
                                                                        <w:left w:val="none" w:sz="0" w:space="0" w:color="auto"/>
                                                                        <w:bottom w:val="none" w:sz="0" w:space="0" w:color="auto"/>
                                                                        <w:right w:val="none" w:sz="0" w:space="0" w:color="auto"/>
                                                                      </w:divBdr>
                                                                      <w:divsChild>
                                                                        <w:div w:id="1673678176">
                                                                          <w:marLeft w:val="0"/>
                                                                          <w:marRight w:val="0"/>
                                                                          <w:marTop w:val="0"/>
                                                                          <w:marBottom w:val="0"/>
                                                                          <w:divBdr>
                                                                            <w:top w:val="none" w:sz="0" w:space="0" w:color="auto"/>
                                                                            <w:left w:val="none" w:sz="0" w:space="0" w:color="auto"/>
                                                                            <w:bottom w:val="none" w:sz="0" w:space="0" w:color="auto"/>
                                                                            <w:right w:val="none" w:sz="0" w:space="0" w:color="auto"/>
                                                                          </w:divBdr>
                                                                          <w:divsChild>
                                                                            <w:div w:id="435292043">
                                                                              <w:marLeft w:val="0"/>
                                                                              <w:marRight w:val="0"/>
                                                                              <w:marTop w:val="0"/>
                                                                              <w:marBottom w:val="0"/>
                                                                              <w:divBdr>
                                                                                <w:top w:val="none" w:sz="0" w:space="0" w:color="auto"/>
                                                                                <w:left w:val="none" w:sz="0" w:space="0" w:color="auto"/>
                                                                                <w:bottom w:val="none" w:sz="0" w:space="0" w:color="auto"/>
                                                                                <w:right w:val="none" w:sz="0" w:space="0" w:color="auto"/>
                                                                              </w:divBdr>
                                                                              <w:divsChild>
                                                                                <w:div w:id="154856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379327">
      <w:bodyDiv w:val="1"/>
      <w:marLeft w:val="0"/>
      <w:marRight w:val="0"/>
      <w:marTop w:val="0"/>
      <w:marBottom w:val="0"/>
      <w:divBdr>
        <w:top w:val="none" w:sz="0" w:space="0" w:color="auto"/>
        <w:left w:val="none" w:sz="0" w:space="0" w:color="auto"/>
        <w:bottom w:val="none" w:sz="0" w:space="0" w:color="auto"/>
        <w:right w:val="none" w:sz="0" w:space="0" w:color="auto"/>
      </w:divBdr>
      <w:divsChild>
        <w:div w:id="1363896004">
          <w:marLeft w:val="0"/>
          <w:marRight w:val="0"/>
          <w:marTop w:val="0"/>
          <w:marBottom w:val="0"/>
          <w:divBdr>
            <w:top w:val="none" w:sz="0" w:space="0" w:color="auto"/>
            <w:left w:val="none" w:sz="0" w:space="0" w:color="auto"/>
            <w:bottom w:val="none" w:sz="0" w:space="0" w:color="auto"/>
            <w:right w:val="none" w:sz="0" w:space="0" w:color="auto"/>
          </w:divBdr>
          <w:divsChild>
            <w:div w:id="1403333626">
              <w:marLeft w:val="0"/>
              <w:marRight w:val="0"/>
              <w:marTop w:val="0"/>
              <w:marBottom w:val="0"/>
              <w:divBdr>
                <w:top w:val="none" w:sz="0" w:space="0" w:color="auto"/>
                <w:left w:val="none" w:sz="0" w:space="0" w:color="auto"/>
                <w:bottom w:val="none" w:sz="0" w:space="0" w:color="auto"/>
                <w:right w:val="none" w:sz="0" w:space="0" w:color="auto"/>
              </w:divBdr>
              <w:divsChild>
                <w:div w:id="2034184635">
                  <w:marLeft w:val="0"/>
                  <w:marRight w:val="0"/>
                  <w:marTop w:val="0"/>
                  <w:marBottom w:val="0"/>
                  <w:divBdr>
                    <w:top w:val="none" w:sz="0" w:space="0" w:color="auto"/>
                    <w:left w:val="none" w:sz="0" w:space="0" w:color="auto"/>
                    <w:bottom w:val="none" w:sz="0" w:space="0" w:color="auto"/>
                    <w:right w:val="none" w:sz="0" w:space="0" w:color="auto"/>
                  </w:divBdr>
                  <w:divsChild>
                    <w:div w:id="734357361">
                      <w:marLeft w:val="0"/>
                      <w:marRight w:val="0"/>
                      <w:marTop w:val="0"/>
                      <w:marBottom w:val="0"/>
                      <w:divBdr>
                        <w:top w:val="none" w:sz="0" w:space="0" w:color="auto"/>
                        <w:left w:val="none" w:sz="0" w:space="0" w:color="auto"/>
                        <w:bottom w:val="none" w:sz="0" w:space="0" w:color="auto"/>
                        <w:right w:val="none" w:sz="0" w:space="0" w:color="auto"/>
                      </w:divBdr>
                      <w:divsChild>
                        <w:div w:id="714040723">
                          <w:marLeft w:val="0"/>
                          <w:marRight w:val="0"/>
                          <w:marTop w:val="0"/>
                          <w:marBottom w:val="0"/>
                          <w:divBdr>
                            <w:top w:val="none" w:sz="0" w:space="0" w:color="auto"/>
                            <w:left w:val="none" w:sz="0" w:space="0" w:color="auto"/>
                            <w:bottom w:val="none" w:sz="0" w:space="0" w:color="auto"/>
                            <w:right w:val="none" w:sz="0" w:space="0" w:color="auto"/>
                          </w:divBdr>
                          <w:divsChild>
                            <w:div w:id="98568815">
                              <w:marLeft w:val="0"/>
                              <w:marRight w:val="0"/>
                              <w:marTop w:val="0"/>
                              <w:marBottom w:val="0"/>
                              <w:divBdr>
                                <w:top w:val="none" w:sz="0" w:space="0" w:color="auto"/>
                                <w:left w:val="none" w:sz="0" w:space="0" w:color="auto"/>
                                <w:bottom w:val="none" w:sz="0" w:space="0" w:color="auto"/>
                                <w:right w:val="none" w:sz="0" w:space="0" w:color="auto"/>
                              </w:divBdr>
                              <w:divsChild>
                                <w:div w:id="611785164">
                                  <w:marLeft w:val="0"/>
                                  <w:marRight w:val="0"/>
                                  <w:marTop w:val="0"/>
                                  <w:marBottom w:val="0"/>
                                  <w:divBdr>
                                    <w:top w:val="none" w:sz="0" w:space="0" w:color="auto"/>
                                    <w:left w:val="none" w:sz="0" w:space="0" w:color="auto"/>
                                    <w:bottom w:val="none" w:sz="0" w:space="0" w:color="auto"/>
                                    <w:right w:val="none" w:sz="0" w:space="0" w:color="auto"/>
                                  </w:divBdr>
                                  <w:divsChild>
                                    <w:div w:id="1302422306">
                                      <w:marLeft w:val="0"/>
                                      <w:marRight w:val="0"/>
                                      <w:marTop w:val="0"/>
                                      <w:marBottom w:val="0"/>
                                      <w:divBdr>
                                        <w:top w:val="none" w:sz="0" w:space="0" w:color="auto"/>
                                        <w:left w:val="none" w:sz="0" w:space="0" w:color="auto"/>
                                        <w:bottom w:val="none" w:sz="0" w:space="0" w:color="auto"/>
                                        <w:right w:val="none" w:sz="0" w:space="0" w:color="auto"/>
                                      </w:divBdr>
                                      <w:divsChild>
                                        <w:div w:id="192228042">
                                          <w:marLeft w:val="0"/>
                                          <w:marRight w:val="0"/>
                                          <w:marTop w:val="0"/>
                                          <w:marBottom w:val="0"/>
                                          <w:divBdr>
                                            <w:top w:val="none" w:sz="0" w:space="0" w:color="auto"/>
                                            <w:left w:val="none" w:sz="0" w:space="0" w:color="auto"/>
                                            <w:bottom w:val="none" w:sz="0" w:space="0" w:color="auto"/>
                                            <w:right w:val="none" w:sz="0" w:space="0" w:color="auto"/>
                                          </w:divBdr>
                                          <w:divsChild>
                                            <w:div w:id="818763781">
                                              <w:marLeft w:val="0"/>
                                              <w:marRight w:val="0"/>
                                              <w:marTop w:val="0"/>
                                              <w:marBottom w:val="0"/>
                                              <w:divBdr>
                                                <w:top w:val="none" w:sz="0" w:space="0" w:color="auto"/>
                                                <w:left w:val="none" w:sz="0" w:space="0" w:color="auto"/>
                                                <w:bottom w:val="none" w:sz="0" w:space="0" w:color="auto"/>
                                                <w:right w:val="none" w:sz="0" w:space="0" w:color="auto"/>
                                              </w:divBdr>
                                              <w:divsChild>
                                                <w:div w:id="258760943">
                                                  <w:marLeft w:val="0"/>
                                                  <w:marRight w:val="0"/>
                                                  <w:marTop w:val="0"/>
                                                  <w:marBottom w:val="0"/>
                                                  <w:divBdr>
                                                    <w:top w:val="none" w:sz="0" w:space="0" w:color="auto"/>
                                                    <w:left w:val="none" w:sz="0" w:space="0" w:color="auto"/>
                                                    <w:bottom w:val="none" w:sz="0" w:space="0" w:color="auto"/>
                                                    <w:right w:val="none" w:sz="0" w:space="0" w:color="auto"/>
                                                  </w:divBdr>
                                                  <w:divsChild>
                                                    <w:div w:id="1921870993">
                                                      <w:marLeft w:val="0"/>
                                                      <w:marRight w:val="0"/>
                                                      <w:marTop w:val="0"/>
                                                      <w:marBottom w:val="0"/>
                                                      <w:divBdr>
                                                        <w:top w:val="none" w:sz="0" w:space="0" w:color="auto"/>
                                                        <w:left w:val="none" w:sz="0" w:space="0" w:color="auto"/>
                                                        <w:bottom w:val="none" w:sz="0" w:space="0" w:color="auto"/>
                                                        <w:right w:val="none" w:sz="0" w:space="0" w:color="auto"/>
                                                      </w:divBdr>
                                                      <w:divsChild>
                                                        <w:div w:id="1973363680">
                                                          <w:marLeft w:val="0"/>
                                                          <w:marRight w:val="0"/>
                                                          <w:marTop w:val="0"/>
                                                          <w:marBottom w:val="0"/>
                                                          <w:divBdr>
                                                            <w:top w:val="none" w:sz="0" w:space="0" w:color="auto"/>
                                                            <w:left w:val="none" w:sz="0" w:space="0" w:color="auto"/>
                                                            <w:bottom w:val="none" w:sz="0" w:space="0" w:color="auto"/>
                                                            <w:right w:val="none" w:sz="0" w:space="0" w:color="auto"/>
                                                          </w:divBdr>
                                                          <w:divsChild>
                                                            <w:div w:id="112943494">
                                                              <w:marLeft w:val="0"/>
                                                              <w:marRight w:val="0"/>
                                                              <w:marTop w:val="0"/>
                                                              <w:marBottom w:val="0"/>
                                                              <w:divBdr>
                                                                <w:top w:val="none" w:sz="0" w:space="0" w:color="auto"/>
                                                                <w:left w:val="none" w:sz="0" w:space="0" w:color="auto"/>
                                                                <w:bottom w:val="none" w:sz="0" w:space="0" w:color="auto"/>
                                                                <w:right w:val="none" w:sz="0" w:space="0" w:color="auto"/>
                                                              </w:divBdr>
                                                              <w:divsChild>
                                                                <w:div w:id="148253737">
                                                                  <w:marLeft w:val="0"/>
                                                                  <w:marRight w:val="0"/>
                                                                  <w:marTop w:val="0"/>
                                                                  <w:marBottom w:val="0"/>
                                                                  <w:divBdr>
                                                                    <w:top w:val="none" w:sz="0" w:space="0" w:color="auto"/>
                                                                    <w:left w:val="none" w:sz="0" w:space="0" w:color="auto"/>
                                                                    <w:bottom w:val="none" w:sz="0" w:space="0" w:color="auto"/>
                                                                    <w:right w:val="none" w:sz="0" w:space="0" w:color="auto"/>
                                                                  </w:divBdr>
                                                                  <w:divsChild>
                                                                    <w:div w:id="570777779">
                                                                      <w:marLeft w:val="0"/>
                                                                      <w:marRight w:val="0"/>
                                                                      <w:marTop w:val="0"/>
                                                                      <w:marBottom w:val="0"/>
                                                                      <w:divBdr>
                                                                        <w:top w:val="none" w:sz="0" w:space="0" w:color="auto"/>
                                                                        <w:left w:val="none" w:sz="0" w:space="0" w:color="auto"/>
                                                                        <w:bottom w:val="none" w:sz="0" w:space="0" w:color="auto"/>
                                                                        <w:right w:val="none" w:sz="0" w:space="0" w:color="auto"/>
                                                                      </w:divBdr>
                                                                      <w:divsChild>
                                                                        <w:div w:id="1049260746">
                                                                          <w:marLeft w:val="0"/>
                                                                          <w:marRight w:val="0"/>
                                                                          <w:marTop w:val="0"/>
                                                                          <w:marBottom w:val="0"/>
                                                                          <w:divBdr>
                                                                            <w:top w:val="none" w:sz="0" w:space="0" w:color="auto"/>
                                                                            <w:left w:val="none" w:sz="0" w:space="0" w:color="auto"/>
                                                                            <w:bottom w:val="none" w:sz="0" w:space="0" w:color="auto"/>
                                                                            <w:right w:val="none" w:sz="0" w:space="0" w:color="auto"/>
                                                                          </w:divBdr>
                                                                          <w:divsChild>
                                                                            <w:div w:id="730234356">
                                                                              <w:marLeft w:val="0"/>
                                                                              <w:marRight w:val="0"/>
                                                                              <w:marTop w:val="0"/>
                                                                              <w:marBottom w:val="0"/>
                                                                              <w:divBdr>
                                                                                <w:top w:val="none" w:sz="0" w:space="0" w:color="auto"/>
                                                                                <w:left w:val="none" w:sz="0" w:space="0" w:color="auto"/>
                                                                                <w:bottom w:val="none" w:sz="0" w:space="0" w:color="auto"/>
                                                                                <w:right w:val="none" w:sz="0" w:space="0" w:color="auto"/>
                                                                              </w:divBdr>
                                                                              <w:divsChild>
                                                                                <w:div w:id="1076318216">
                                                                                  <w:marLeft w:val="0"/>
                                                                                  <w:marRight w:val="0"/>
                                                                                  <w:marTop w:val="0"/>
                                                                                  <w:marBottom w:val="0"/>
                                                                                  <w:divBdr>
                                                                                    <w:top w:val="none" w:sz="0" w:space="0" w:color="auto"/>
                                                                                    <w:left w:val="none" w:sz="0" w:space="0" w:color="auto"/>
                                                                                    <w:bottom w:val="none" w:sz="0" w:space="0" w:color="auto"/>
                                                                                    <w:right w:val="none" w:sz="0" w:space="0" w:color="auto"/>
                                                                                  </w:divBdr>
                                                                                  <w:divsChild>
                                                                                    <w:div w:id="880246201">
                                                                                      <w:marLeft w:val="0"/>
                                                                                      <w:marRight w:val="0"/>
                                                                                      <w:marTop w:val="0"/>
                                                                                      <w:marBottom w:val="0"/>
                                                                                      <w:divBdr>
                                                                                        <w:top w:val="none" w:sz="0" w:space="0" w:color="auto"/>
                                                                                        <w:left w:val="none" w:sz="0" w:space="0" w:color="auto"/>
                                                                                        <w:bottom w:val="none" w:sz="0" w:space="0" w:color="auto"/>
                                                                                        <w:right w:val="none" w:sz="0" w:space="0" w:color="auto"/>
                                                                                      </w:divBdr>
                                                                                      <w:divsChild>
                                                                                        <w:div w:id="29769821">
                                                                                          <w:marLeft w:val="0"/>
                                                                                          <w:marRight w:val="0"/>
                                                                                          <w:marTop w:val="0"/>
                                                                                          <w:marBottom w:val="0"/>
                                                                                          <w:divBdr>
                                                                                            <w:top w:val="none" w:sz="0" w:space="0" w:color="auto"/>
                                                                                            <w:left w:val="none" w:sz="0" w:space="0" w:color="auto"/>
                                                                                            <w:bottom w:val="none" w:sz="0" w:space="0" w:color="auto"/>
                                                                                            <w:right w:val="none" w:sz="0" w:space="0" w:color="auto"/>
                                                                                          </w:divBdr>
                                                                                          <w:divsChild>
                                                                                            <w:div w:id="11524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jpe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2.jpeg"/><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theme" Target="theme/theme1.xml"/><Relationship Id="rId10" Type="http://schemas.openxmlformats.org/officeDocument/2006/relationships/hyperlink" Target="http://resources.bmj.com/bmj/authors/editorial-policies/competing-interests/" TargetMode="External"/><Relationship Id="rId19" Type="http://schemas.openxmlformats.org/officeDocument/2006/relationships/image" Target="media/image7.jpeg"/><Relationship Id="rId4" Type="http://schemas.microsoft.com/office/2007/relationships/stylesWithEffects" Target="stylesWithEffects.xml"/><Relationship Id="rId9" Type="http://schemas.openxmlformats.org/officeDocument/2006/relationships/hyperlink" Target="http://www.bmj.com/sites/default/files/BMJ%20Author%20Licence%20March%202013.doc" TargetMode="Externa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604AF2-9766-4F31-B829-40B6C6A3A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TotalTime>
  <Pages>43</Pages>
  <Words>29222</Words>
  <Characters>166572</Characters>
  <Application>Microsoft Office Word</Application>
  <DocSecurity>0</DocSecurity>
  <Lines>1388</Lines>
  <Paragraphs>390</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195404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36</cp:revision>
  <cp:lastPrinted>2012-12-30T16:52:00Z</cp:lastPrinted>
  <dcterms:created xsi:type="dcterms:W3CDTF">2012-10-15T14:18:00Z</dcterms:created>
  <dcterms:modified xsi:type="dcterms:W3CDTF">2013-04-24T13:30:00Z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http://www.zotero.org/styles/bmj</vt:lpwstr>
  </property>
  <property fmtid="{D5CDD505-2E9C-101B-9397-08002B2CF9AE}" pid="3" name="Mendeley Document_1">
    <vt:lpwstr>True</vt:lpwstr>
  </property>
  <property fmtid="{D5CDD505-2E9C-101B-9397-08002B2CF9AE}" pid="4" name="Mendeley User Name_1">
    <vt:lpwstr>j.minton@sheffield.ac.uk@www.mendeley.com</vt:lpwstr>
  </property>
  <property fmtid="{D5CDD505-2E9C-101B-9397-08002B2CF9AE}" pid="5" name="Mendeley Recent Style Name 0_1">
    <vt:lpwstr>American Political Science Association</vt:lpwstr>
  </property>
  <property fmtid="{D5CDD505-2E9C-101B-9397-08002B2CF9AE}" pid="6" name="Mendeley Recent Style Id 0_1">
    <vt:lpwstr>http://www.zotero.org/styles/apsa</vt:lpwstr>
  </property>
  <property fmtid="{D5CDD505-2E9C-101B-9397-08002B2CF9AE}" pid="7" name="Mendeley Recent Style Name 1_1">
    <vt:lpwstr>American Psychological Association 6th Edition</vt:lpwstr>
  </property>
  <property fmtid="{D5CDD505-2E9C-101B-9397-08002B2CF9AE}" pid="8" name="Mendeley Recent Style Id 1_1">
    <vt:lpwstr>http://www.zotero.org/styles/apa</vt:lpwstr>
  </property>
  <property fmtid="{D5CDD505-2E9C-101B-9397-08002B2CF9AE}" pid="9" name="Mendeley Recent Style Name 2_1">
    <vt:lpwstr>American Sociological Association</vt:lpwstr>
  </property>
  <property fmtid="{D5CDD505-2E9C-101B-9397-08002B2CF9AE}" pid="10" name="Mendeley Recent Style Id 2_1">
    <vt:lpwstr>http://www.zotero.org/styles/asa</vt:lpwstr>
  </property>
  <property fmtid="{D5CDD505-2E9C-101B-9397-08002B2CF9AE}" pid="11" name="Mendeley Recent Style Name 3_1">
    <vt:lpwstr>BMJ</vt:lpwstr>
  </property>
  <property fmtid="{D5CDD505-2E9C-101B-9397-08002B2CF9AE}" pid="12" name="Mendeley Recent Style Id 3_1">
    <vt:lpwstr>http://www.zotero.org/styles/bmj</vt:lpwstr>
  </property>
  <property fmtid="{D5CDD505-2E9C-101B-9397-08002B2CF9AE}" pid="13" name="Mendeley Recent Style Name 4_1">
    <vt:lpwstr>Chicago Manual of Style (author-date)</vt:lpwstr>
  </property>
  <property fmtid="{D5CDD505-2E9C-101B-9397-08002B2CF9AE}" pid="14" name="Mendeley Recent Style Id 4_1">
    <vt:lpwstr>http://www.zotero.org/styles/chicago-author-date</vt:lpwstr>
  </property>
  <property fmtid="{D5CDD505-2E9C-101B-9397-08002B2CF9AE}" pid="15" name="Mendeley Recent Style Name 5_1">
    <vt:lpwstr>Harvard Reference format 1 (author-date)</vt:lpwstr>
  </property>
  <property fmtid="{D5CDD505-2E9C-101B-9397-08002B2CF9AE}" pid="16" name="Mendeley Recent Style Id 5_1">
    <vt:lpwstr>http://www.zotero.org/styles/harvard1</vt:lpwstr>
  </property>
  <property fmtid="{D5CDD505-2E9C-101B-9397-08002B2CF9AE}" pid="17" name="Mendeley Recent Style Name 6_1">
    <vt:lpwstr>IEEE</vt:lpwstr>
  </property>
  <property fmtid="{D5CDD505-2E9C-101B-9397-08002B2CF9AE}" pid="18" name="Mendeley Recent Style Id 6_1">
    <vt:lpwstr>http://www.zotero.org/styles/ieee</vt:lpwstr>
  </property>
  <property fmtid="{D5CDD505-2E9C-101B-9397-08002B2CF9AE}" pid="19" name="Mendeley Recent Style Name 7_1">
    <vt:lpwstr>International Journal of Epidemiology</vt:lpwstr>
  </property>
  <property fmtid="{D5CDD505-2E9C-101B-9397-08002B2CF9AE}" pid="20" name="Mendeley Recent Style Id 7_1">
    <vt:lpwstr>http://www.zotero.org/styles/international-journal-of-epidemiology</vt:lpwstr>
  </property>
  <property fmtid="{D5CDD505-2E9C-101B-9397-08002B2CF9AE}" pid="21" name="Mendeley Recent Style Name 8_1">
    <vt:lpwstr>Modern Humanities Research Association (note with bibliography)</vt:lpwstr>
  </property>
  <property fmtid="{D5CDD505-2E9C-101B-9397-08002B2CF9AE}" pid="22" name="Mendeley Recent Style Id 8_1">
    <vt:lpwstr>http://www.zotero.org/styles/mhra</vt:lpwstr>
  </property>
  <property fmtid="{D5CDD505-2E9C-101B-9397-08002B2CF9AE}" pid="23" name="Mendeley Recent Style Name 9_1">
    <vt:lpwstr>Modern Language Association</vt:lpwstr>
  </property>
  <property fmtid="{D5CDD505-2E9C-101B-9397-08002B2CF9AE}" pid="24" name="Mendeley Recent Style Id 9_1">
    <vt:lpwstr>http://www.zotero.org/styles/mla</vt:lpwstr>
  </property>
</Properties>
</file>