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13" w:rsidRPr="00980413" w:rsidRDefault="00980413" w:rsidP="00980413">
      <w:pPr>
        <w:pStyle w:val="Heading1"/>
        <w:numPr>
          <w:ilvl w:val="0"/>
          <w:numId w:val="0"/>
        </w:numPr>
        <w:rPr>
          <w:rStyle w:val="apple-converted-space"/>
        </w:rPr>
      </w:pPr>
      <w:bookmarkStart w:id="0" w:name="_GoBack"/>
      <w:r w:rsidRPr="00980413">
        <w:t>Title - All manuscripts</w:t>
      </w:r>
      <w:r w:rsidRPr="00980413">
        <w:rPr>
          <w:rStyle w:val="apple-converted-space"/>
        </w:rPr>
        <w:t> </w:t>
      </w:r>
    </w:p>
    <w:p w:rsidR="00326C92" w:rsidRDefault="00326C92" w:rsidP="00C47292">
      <w:r>
        <w:t>When is it cost effective to use transthoracic echocardiography to aid the decision to prescribe oral anticoagulants in patients with newly diagnosed atrial fibrillation? An economic evaluation</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r w:rsidRPr="00980413">
        <w:t>- Names, addresses, and positions of all authors</w:t>
      </w:r>
      <w:r>
        <w:rPr>
          <w:rFonts w:ascii="Verdana" w:hAnsi="Verdana"/>
          <w:color w:val="000000"/>
          <w:sz w:val="17"/>
          <w:szCs w:val="17"/>
          <w:shd w:val="clear" w:color="auto" w:fill="FFFFFF"/>
        </w:rPr>
        <w:t xml:space="preserve"> </w:t>
      </w:r>
    </w:p>
    <w:p w:rsidR="00980413" w:rsidRDefault="00980413" w:rsidP="00980413">
      <w:pPr>
        <w:pStyle w:val="Heading2"/>
        <w:numPr>
          <w:ilvl w:val="0"/>
          <w:numId w:val="0"/>
        </w:numPr>
      </w:pPr>
      <w:r>
        <w:t xml:space="preserve">Corresponding Author: </w:t>
      </w:r>
    </w:p>
    <w:p w:rsidR="00980413" w:rsidRDefault="00980413" w:rsidP="00752A4B">
      <w:pPr>
        <w:spacing w:after="0"/>
      </w:pPr>
      <w:r>
        <w:t>Jonathan William Minton,</w:t>
      </w:r>
    </w:p>
    <w:p w:rsidR="00D71C90" w:rsidRDefault="00D71C90" w:rsidP="00980413">
      <w:pPr>
        <w:spacing w:after="0"/>
      </w:pPr>
      <w:r>
        <w:t>Research Associate</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980413" w:rsidP="00980413"/>
    <w:p w:rsidR="00980413" w:rsidRDefault="00980413" w:rsidP="00980413">
      <w:pPr>
        <w:pStyle w:val="Heading2"/>
        <w:numPr>
          <w:ilvl w:val="0"/>
          <w:numId w:val="0"/>
        </w:numPr>
      </w:pPr>
      <w:r>
        <w:t xml:space="preserve">Second Author: </w:t>
      </w:r>
    </w:p>
    <w:p w:rsidR="00980413" w:rsidRDefault="00980413" w:rsidP="00BD77AC">
      <w:pPr>
        <w:spacing w:after="0"/>
      </w:pPr>
      <w:r>
        <w:t>Professor Matthew Stevenson</w:t>
      </w:r>
    </w:p>
    <w:p w:rsidR="00D71C90" w:rsidRDefault="00D71C90" w:rsidP="00BD77AC">
      <w:pPr>
        <w:spacing w:after="0"/>
      </w:pPr>
      <w:r>
        <w:t>Professor of Health Economics</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C47292" w:rsidP="00980413">
      <w:pPr>
        <w:pStyle w:val="Heading2"/>
        <w:numPr>
          <w:ilvl w:val="0"/>
          <w:numId w:val="0"/>
        </w:numPr>
      </w:pPr>
      <w:r>
        <w:t xml:space="preserve">Third Author: </w:t>
      </w:r>
    </w:p>
    <w:p w:rsidR="00C47292" w:rsidRDefault="00C47292" w:rsidP="00BD77AC">
      <w:pPr>
        <w:spacing w:after="0"/>
      </w:pPr>
      <w:proofErr w:type="spellStart"/>
      <w:r>
        <w:t>Dr</w:t>
      </w:r>
      <w:proofErr w:type="spellEnd"/>
      <w:r>
        <w:t xml:space="preserve"> Emma Simpson,</w:t>
      </w:r>
    </w:p>
    <w:p w:rsidR="00C47292" w:rsidRDefault="00C47292" w:rsidP="00C47292">
      <w:pPr>
        <w:spacing w:after="0"/>
      </w:pPr>
      <w:r>
        <w:t>Health Economic and Decision Science</w:t>
      </w:r>
    </w:p>
    <w:p w:rsidR="00C47292" w:rsidRDefault="00C47292" w:rsidP="00C47292">
      <w:pPr>
        <w:spacing w:after="0"/>
      </w:pPr>
      <w:r>
        <w:t>School of Health and Related Research</w:t>
      </w:r>
    </w:p>
    <w:p w:rsidR="00C47292" w:rsidRDefault="00C47292" w:rsidP="00C47292">
      <w:pPr>
        <w:spacing w:after="0"/>
      </w:pPr>
      <w:r>
        <w:t>The University of Sheffield</w:t>
      </w:r>
    </w:p>
    <w:p w:rsidR="00C47292" w:rsidRDefault="00C47292" w:rsidP="00C47292">
      <w:pPr>
        <w:spacing w:after="0"/>
      </w:pPr>
      <w:r>
        <w:lastRenderedPageBreak/>
        <w:t>Regent Court</w:t>
      </w:r>
    </w:p>
    <w:p w:rsidR="00C47292" w:rsidRDefault="00C47292" w:rsidP="00C47292">
      <w:pPr>
        <w:spacing w:after="0"/>
      </w:pPr>
      <w:r>
        <w:t>30 Regent Street</w:t>
      </w:r>
    </w:p>
    <w:p w:rsidR="00C47292" w:rsidRDefault="00C47292" w:rsidP="00C47292">
      <w:pPr>
        <w:spacing w:after="0"/>
      </w:pPr>
      <w:r>
        <w:t>Sheffield</w:t>
      </w:r>
    </w:p>
    <w:p w:rsidR="00C47292" w:rsidRDefault="00C47292" w:rsidP="00C47292">
      <w:pPr>
        <w:spacing w:after="0"/>
      </w:pPr>
      <w:r>
        <w:t>S1 4DA</w:t>
      </w:r>
    </w:p>
    <w:p w:rsidR="00C47292" w:rsidRPr="00C47292" w:rsidRDefault="00C47292" w:rsidP="00C47292"/>
    <w:p w:rsidR="00C47292" w:rsidRPr="00C47292" w:rsidRDefault="00C47292" w:rsidP="00C47292"/>
    <w:p w:rsidR="00980413" w:rsidRDefault="00C47292" w:rsidP="00980413">
      <w:pPr>
        <w:pStyle w:val="Heading2"/>
        <w:numPr>
          <w:ilvl w:val="0"/>
          <w:numId w:val="0"/>
        </w:numPr>
      </w:pPr>
      <w:r>
        <w:t>Fourth</w:t>
      </w:r>
      <w:r w:rsidR="00980413">
        <w:t xml:space="preserve"> Author: </w:t>
      </w:r>
    </w:p>
    <w:p w:rsidR="00980413" w:rsidRDefault="00980413" w:rsidP="00980413">
      <w:pPr>
        <w:spacing w:after="0"/>
      </w:pPr>
      <w:r>
        <w:t>Professor Gregory Y H Lip</w:t>
      </w:r>
    </w:p>
    <w:p w:rsidR="00980413" w:rsidRDefault="00980413" w:rsidP="00980413">
      <w:pPr>
        <w:spacing w:after="0"/>
      </w:pPr>
      <w:r>
        <w:t>University of Birmingham Centre for Cardiovascular Sciences</w:t>
      </w:r>
    </w:p>
    <w:p w:rsidR="00980413" w:rsidRDefault="00980413" w:rsidP="00980413">
      <w:pPr>
        <w:spacing w:after="0"/>
      </w:pPr>
      <w:r>
        <w:t>City Hospital</w:t>
      </w:r>
    </w:p>
    <w:p w:rsidR="00980413" w:rsidRDefault="00980413" w:rsidP="00980413">
      <w:pPr>
        <w:spacing w:after="0"/>
      </w:pPr>
      <w:r>
        <w:t>Birmingham</w:t>
      </w:r>
    </w:p>
    <w:p w:rsidR="00980413" w:rsidRDefault="00980413" w:rsidP="00980413">
      <w:pPr>
        <w:spacing w:after="0"/>
      </w:pPr>
      <w:r>
        <w:t>B18 7QH</w:t>
      </w:r>
    </w:p>
    <w:p w:rsidR="00980413" w:rsidRDefault="00980413" w:rsidP="00980413">
      <w:pPr>
        <w:pStyle w:val="Heading1"/>
        <w:numPr>
          <w:ilvl w:val="0"/>
          <w:numId w:val="0"/>
        </w:numPr>
      </w:pPr>
      <w:r w:rsidRPr="00980413">
        <w:t xml:space="preserve">Copyright </w:t>
      </w:r>
      <w:r>
        <w:t>Statement</w:t>
      </w:r>
    </w:p>
    <w:p w:rsidR="00980413" w:rsidRPr="00980413" w:rsidRDefault="00980413" w:rsidP="00980413">
      <w:pPr>
        <w:spacing w:after="0"/>
      </w:pPr>
      <w:r w:rsidRPr="00980413">
        <w:rPr>
          <w:bCs/>
          <w:iCs/>
        </w:rPr>
        <w:t>The Corresponding Author has the right to grant on behalf of all authors and does grant on behalf of all authors,</w:t>
      </w:r>
      <w:r w:rsidRPr="00980413">
        <w:t xml:space="preserve"> a worldwide </w:t>
      </w:r>
      <w:proofErr w:type="spellStart"/>
      <w:r w:rsidRPr="00980413">
        <w:t>licence</w:t>
      </w:r>
      <w:proofErr w:type="spellEnd"/>
      <w:r w:rsidRPr="00980413">
        <w:t> </w:t>
      </w:r>
      <w:r w:rsidRPr="00980413">
        <w:rPr>
          <w:bCs/>
          <w:iCs/>
        </w:rPr>
        <w:t xml:space="preserve">to the Publishers and its licensees in perpetuity, in all forms, formats and media (whether known now or created in the future), to </w:t>
      </w:r>
      <w:proofErr w:type="spellStart"/>
      <w:r w:rsidRPr="00980413">
        <w:rPr>
          <w:bCs/>
          <w:iCs/>
        </w:rPr>
        <w:t>i</w:t>
      </w:r>
      <w:proofErr w:type="spellEnd"/>
      <w:r w:rsidRPr="00980413">
        <w:rPr>
          <w:bCs/>
          <w:iCs/>
        </w:rPr>
        <w:t xml:space="preserve">)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w:t>
      </w:r>
      <w:proofErr w:type="spellStart"/>
      <w:r w:rsidRPr="00980413">
        <w:rPr>
          <w:bCs/>
          <w:iCs/>
        </w:rPr>
        <w:t>licence</w:t>
      </w:r>
      <w:proofErr w:type="spellEnd"/>
      <w:r w:rsidRPr="00980413">
        <w:rPr>
          <w:bCs/>
          <w:iCs/>
        </w:rPr>
        <w:t xml:space="preserve"> any third party</w:t>
      </w:r>
      <w:r>
        <w:rPr>
          <w:bCs/>
          <w:iCs/>
        </w:rPr>
        <w:t xml:space="preserve"> to do any or all of the above.</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Competing interest statement - All manuscripts</w:t>
      </w:r>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 All authors have completed the Unified Competing Interest form atwww.icmje.org/coi_disclosure.pdf (available on request from the corresponding author) and declare: no support from any </w:t>
      </w:r>
      <w:proofErr w:type="spellStart"/>
      <w:r>
        <w:rPr>
          <w:rFonts w:ascii="Verdana" w:hAnsi="Verdana"/>
          <w:color w:val="000000"/>
          <w:sz w:val="17"/>
          <w:szCs w:val="17"/>
          <w:shd w:val="clear" w:color="auto" w:fill="FFFFFF"/>
        </w:rPr>
        <w:t>organisation</w:t>
      </w:r>
      <w:proofErr w:type="spellEnd"/>
      <w:r>
        <w:rPr>
          <w:rFonts w:ascii="Verdana" w:hAnsi="Verdana"/>
          <w:color w:val="000000"/>
          <w:sz w:val="17"/>
          <w:szCs w:val="17"/>
          <w:shd w:val="clear" w:color="auto" w:fill="FFFFFF"/>
        </w:rPr>
        <w:t xml:space="preserve"> for the submitted work [or describe if any]; no financial relationships with any </w:t>
      </w:r>
      <w:proofErr w:type="spellStart"/>
      <w:r>
        <w:rPr>
          <w:rFonts w:ascii="Verdana" w:hAnsi="Verdana"/>
          <w:color w:val="000000"/>
          <w:sz w:val="17"/>
          <w:szCs w:val="17"/>
          <w:shd w:val="clear" w:color="auto" w:fill="FFFFFF"/>
        </w:rPr>
        <w:t>organisations</w:t>
      </w:r>
      <w:proofErr w:type="spellEnd"/>
      <w:r>
        <w:rPr>
          <w:rFonts w:ascii="Verdana" w:hAnsi="Verdana"/>
          <w:color w:val="000000"/>
          <w:sz w:val="17"/>
          <w:szCs w:val="17"/>
          <w:shd w:val="clear" w:color="auto" w:fill="FFFFFF"/>
        </w:rPr>
        <w:t xml:space="preserve"> that might have an interest in the submitted work in the previous three years [or describe if any], no other relationships or activities that could appear to have influenced the submitted work [or describe if any].-</w:t>
      </w:r>
      <w:r>
        <w:rPr>
          <w:rStyle w:val="apple-converted-space"/>
          <w:rFonts w:ascii="Verdana" w:hAnsi="Verdana"/>
          <w:color w:val="000000"/>
          <w:sz w:val="17"/>
          <w:szCs w:val="17"/>
          <w:shd w:val="clear" w:color="auto" w:fill="FFFFFF"/>
        </w:rPr>
        <w:t> </w:t>
      </w:r>
      <w:r>
        <w:rPr>
          <w:rFonts w:ascii="Verdana" w:hAnsi="Verdana"/>
          <w:b w:val="0"/>
          <w:bCs w:val="0"/>
          <w:color w:val="000000"/>
          <w:sz w:val="17"/>
          <w:szCs w:val="17"/>
          <w:shd w:val="clear" w:color="auto" w:fill="FFFFFF"/>
        </w:rPr>
        <w:t>Please note: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The corresponding author must collect Unified Competing Interest forms from all authors and </w:t>
      </w:r>
      <w:proofErr w:type="spellStart"/>
      <w:r>
        <w:rPr>
          <w:rFonts w:ascii="Verdana" w:hAnsi="Verdana"/>
          <w:color w:val="000000"/>
          <w:sz w:val="17"/>
          <w:szCs w:val="17"/>
          <w:shd w:val="clear" w:color="auto" w:fill="FFFFFF"/>
        </w:rPr>
        <w:t>summarise</w:t>
      </w:r>
      <w:proofErr w:type="spellEnd"/>
      <w:r>
        <w:rPr>
          <w:rFonts w:ascii="Verdana" w:hAnsi="Verdana"/>
          <w:color w:val="000000"/>
          <w:sz w:val="17"/>
          <w:szCs w:val="17"/>
          <w:shd w:val="clear" w:color="auto" w:fill="FFFFFF"/>
        </w:rPr>
        <w:t xml:space="preserve"> their declarations as above within the manuscript. You do NOT need to send copies of the forms to the BMJ. Please click here for</w:t>
      </w:r>
      <w:r>
        <w:rPr>
          <w:rStyle w:val="apple-converted-space"/>
          <w:rFonts w:ascii="Verdana" w:hAnsi="Verdana"/>
          <w:color w:val="000000"/>
          <w:sz w:val="17"/>
          <w:szCs w:val="17"/>
          <w:shd w:val="clear" w:color="auto" w:fill="FFFFFF"/>
        </w:rPr>
        <w:t> </w:t>
      </w:r>
      <w:r w:rsidRPr="000D7226">
        <w:rPr>
          <w:rFonts w:ascii="Verdana" w:hAnsi="Verdana"/>
          <w:sz w:val="17"/>
          <w:szCs w:val="17"/>
          <w:shd w:val="clear" w:color="auto" w:fill="FFFFFF"/>
        </w:rPr>
        <w:t>further guidance</w:t>
      </w:r>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D21515"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contributors, and the name of the guarantor - All full papers (</w:t>
      </w:r>
      <w:proofErr w:type="spellStart"/>
      <w:r>
        <w:rPr>
          <w:rFonts w:ascii="Verdana" w:hAnsi="Verdana"/>
          <w:color w:val="000000"/>
          <w:sz w:val="17"/>
          <w:szCs w:val="17"/>
          <w:shd w:val="clear" w:color="auto" w:fill="FFFFFF"/>
        </w:rPr>
        <w:t>eg</w:t>
      </w:r>
      <w:proofErr w:type="spellEnd"/>
      <w:r>
        <w:rPr>
          <w:rFonts w:ascii="Verdana" w:hAnsi="Verdana"/>
          <w:color w:val="000000"/>
          <w:sz w:val="17"/>
          <w:szCs w:val="17"/>
          <w:shd w:val="clear" w:color="auto" w:fill="FFFFFF"/>
        </w:rPr>
        <w:t xml:space="preserve"> not fillers or personal views)</w:t>
      </w:r>
      <w:r>
        <w:rPr>
          <w:rStyle w:val="apple-converted-space"/>
          <w:rFonts w:ascii="Verdana" w:hAnsi="Verdana"/>
          <w:color w:val="000000"/>
          <w:sz w:val="17"/>
          <w:szCs w:val="17"/>
          <w:shd w:val="clear" w:color="auto" w:fill="FFFFFF"/>
        </w:rPr>
        <w:t> </w:t>
      </w:r>
    </w:p>
    <w:p w:rsidR="00D21515" w:rsidRDefault="00935ED3" w:rsidP="00D21515">
      <w:r>
        <w:t xml:space="preserve">JM: </w:t>
      </w:r>
      <w:r w:rsidR="00D21515">
        <w:t xml:space="preserve">Developed model; wrote first and subsequent drafts of manuscript; </w:t>
      </w:r>
    </w:p>
    <w:p w:rsidR="00D21515" w:rsidRDefault="00D21515" w:rsidP="00D21515">
      <w:r>
        <w:lastRenderedPageBreak/>
        <w:t>MS: Created model; commented on all drafts of manuscript</w:t>
      </w:r>
      <w:r w:rsidR="00C47292">
        <w:t>;</w:t>
      </w:r>
    </w:p>
    <w:p w:rsidR="00C47292" w:rsidRDefault="00C47292" w:rsidP="00D21515">
      <w:r>
        <w:t>ES: Involved in discussion on data sources and commented on manuscript drafts;</w:t>
      </w:r>
    </w:p>
    <w:p w:rsidR="00D21515" w:rsidRPr="00D21515" w:rsidRDefault="00D21515" w:rsidP="00D21515">
      <w:r>
        <w:t xml:space="preserve">GL: </w:t>
      </w:r>
      <w:r w:rsidR="00C97EB8">
        <w:t>Contribute</w:t>
      </w:r>
      <w:r w:rsidR="00C47292">
        <w:t>d to all versions of manuscript and provided clinical input</w:t>
      </w:r>
      <w:r w:rsidR="00C97EB8">
        <w:t>.</w:t>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ethical approval (or a statement that it was not required) - All research studies</w:t>
      </w:r>
      <w:r>
        <w:rPr>
          <w:rStyle w:val="apple-converted-space"/>
          <w:rFonts w:ascii="Verdana" w:hAnsi="Verdana"/>
          <w:color w:val="000000"/>
          <w:sz w:val="17"/>
          <w:szCs w:val="17"/>
          <w:shd w:val="clear" w:color="auto" w:fill="FFFFFF"/>
        </w:rPr>
        <w:t> </w:t>
      </w:r>
    </w:p>
    <w:p w:rsidR="00980413" w:rsidRDefault="0092084E" w:rsidP="00C97EB8">
      <w:pPr>
        <w:jc w:val="left"/>
        <w:rPr>
          <w:rFonts w:ascii="Verdana" w:hAnsi="Verdana"/>
          <w:color w:val="000000"/>
          <w:sz w:val="17"/>
          <w:szCs w:val="17"/>
          <w:shd w:val="clear" w:color="auto" w:fill="FFFFFF"/>
        </w:rPr>
      </w:pPr>
      <w:r w:rsidRPr="00C97EB8">
        <w:t>Not required</w:t>
      </w:r>
      <w:r w:rsidR="00980413">
        <w:rPr>
          <w:rFonts w:ascii="Verdana" w:hAnsi="Verdana"/>
          <w:color w:val="000000"/>
          <w:sz w:val="17"/>
          <w:szCs w:val="17"/>
        </w:rPr>
        <w:br/>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funding - All research studies</w:t>
      </w:r>
      <w:r>
        <w:rPr>
          <w:rStyle w:val="apple-converted-space"/>
          <w:rFonts w:ascii="Verdana" w:hAnsi="Verdana"/>
          <w:color w:val="000000"/>
          <w:sz w:val="17"/>
          <w:szCs w:val="17"/>
          <w:shd w:val="clear" w:color="auto" w:fill="FFFFFF"/>
        </w:rPr>
        <w:t> </w:t>
      </w:r>
    </w:p>
    <w:p w:rsidR="00D71C90" w:rsidRDefault="00D71C90" w:rsidP="00D71C90">
      <w:pPr>
        <w:jc w:val="left"/>
      </w:pPr>
      <w:r>
        <w:t xml:space="preserve">This paper was based on research funded as part of the National Institute for Health Research Health Technology Assessment </w:t>
      </w:r>
      <w:proofErr w:type="spellStart"/>
      <w:r>
        <w:t>Programme</w:t>
      </w:r>
      <w:proofErr w:type="spellEnd"/>
      <w:r>
        <w:t xml:space="preserve"> (Project code 08/45/01)</w:t>
      </w:r>
    </w:p>
    <w:p w:rsidR="00980413" w:rsidRDefault="00980413" w:rsidP="00C97EB8">
      <w:pPr>
        <w:jc w:val="left"/>
        <w:rPr>
          <w:rFonts w:ascii="Verdana" w:hAnsi="Verdana"/>
          <w:color w:val="000000"/>
          <w:sz w:val="17"/>
          <w:szCs w:val="17"/>
          <w:shd w:val="clear" w:color="auto" w:fill="FFFFFF"/>
        </w:rPr>
      </w:pP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the role of the study sponsors - All research studies</w:t>
      </w:r>
      <w:r>
        <w:rPr>
          <w:rStyle w:val="apple-converted-space"/>
          <w:rFonts w:ascii="Verdana" w:hAnsi="Verdana"/>
          <w:color w:val="000000"/>
          <w:sz w:val="17"/>
          <w:szCs w:val="17"/>
          <w:shd w:val="clear" w:color="auto" w:fill="FFFFFF"/>
        </w:rPr>
        <w:t> </w:t>
      </w:r>
    </w:p>
    <w:p w:rsidR="00D71C90" w:rsidRPr="00D71C90" w:rsidRDefault="00D71C90" w:rsidP="00D71C90">
      <w:pPr>
        <w:jc w:val="left"/>
      </w:pPr>
      <w:r>
        <w:t xml:space="preserve">The study sponsor had no role in the content of this manuscript. </w:t>
      </w:r>
    </w:p>
    <w:p w:rsidR="00980413" w:rsidRPr="00D71C90" w:rsidRDefault="00980413" w:rsidP="003562A1">
      <w:pPr>
        <w:pStyle w:val="Heading1"/>
        <w:numPr>
          <w:ilvl w:val="0"/>
          <w:numId w:val="0"/>
        </w:numPr>
        <w:rPr>
          <w:rFonts w:ascii="Verdana" w:hAnsi="Verdana"/>
          <w:b w:val="0"/>
          <w:color w:val="000000"/>
          <w:sz w:val="17"/>
          <w:szCs w:val="17"/>
          <w:shd w:val="clear" w:color="auto" w:fill="FFFFFF"/>
        </w:rPr>
      </w:pPr>
      <w:r>
        <w:rPr>
          <w:rFonts w:ascii="Verdana" w:hAnsi="Verdana"/>
          <w:color w:val="000000"/>
          <w:sz w:val="17"/>
          <w:szCs w:val="17"/>
          <w:shd w:val="clear" w:color="auto" w:fill="FFFFFF"/>
        </w:rPr>
        <w:t>- Statement of independence of researchers from funders - All research studies</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sidR="00D71C90">
        <w:rPr>
          <w:rFonts w:asciiTheme="minorHAnsi" w:eastAsiaTheme="minorEastAsia" w:hAnsiTheme="minorHAnsi" w:cstheme="minorBidi"/>
          <w:b w:val="0"/>
          <w:bCs w:val="0"/>
          <w:sz w:val="22"/>
          <w:szCs w:val="22"/>
        </w:rPr>
        <w:t>The</w:t>
      </w:r>
      <w:proofErr w:type="gramEnd"/>
      <w:r w:rsidR="00D71C90">
        <w:rPr>
          <w:rFonts w:asciiTheme="minorHAnsi" w:eastAsiaTheme="minorEastAsia" w:hAnsiTheme="minorHAnsi" w:cstheme="minorBidi"/>
          <w:b w:val="0"/>
          <w:bCs w:val="0"/>
          <w:sz w:val="22"/>
          <w:szCs w:val="22"/>
        </w:rPr>
        <w:t xml:space="preserve"> authors are all independent of the funders.</w:t>
      </w:r>
    </w:p>
    <w:p w:rsidR="00980413" w:rsidRDefault="00980413" w:rsidP="003562A1">
      <w:pPr>
        <w:pStyle w:val="Heading1"/>
        <w:numPr>
          <w:ilvl w:val="0"/>
          <w:numId w:val="0"/>
        </w:numPr>
        <w:rPr>
          <w:lang w:val="en-GB"/>
        </w:rPr>
      </w:pPr>
      <w:r>
        <w:rPr>
          <w:rFonts w:ascii="Verdana" w:hAnsi="Verdana"/>
          <w:color w:val="000000"/>
          <w:sz w:val="17"/>
          <w:szCs w:val="17"/>
          <w:shd w:val="clear" w:color="auto" w:fill="FFFFFF"/>
        </w:rPr>
        <w:t xml:space="preserve">- Data sharing statement </w:t>
      </w:r>
      <w:proofErr w:type="gramStart"/>
      <w:r>
        <w:rPr>
          <w:rFonts w:ascii="Verdana" w:hAnsi="Verdana"/>
          <w:color w:val="000000"/>
          <w:sz w:val="17"/>
          <w:szCs w:val="17"/>
          <w:shd w:val="clear" w:color="auto" w:fill="FFFFFF"/>
        </w:rPr>
        <w:t>All</w:t>
      </w:r>
      <w:proofErr w:type="gramEnd"/>
      <w:r>
        <w:rPr>
          <w:rFonts w:ascii="Verdana" w:hAnsi="Verdana"/>
          <w:color w:val="000000"/>
          <w:sz w:val="17"/>
          <w:szCs w:val="17"/>
          <w:shd w:val="clear" w:color="auto" w:fill="FFFFFF"/>
        </w:rPr>
        <w:t xml:space="preserve"> research studies</w:t>
      </w:r>
      <w:r>
        <w:rPr>
          <w:rStyle w:val="apple-converted-space"/>
          <w:rFonts w:ascii="Verdana" w:hAnsi="Verdana"/>
          <w:color w:val="000000"/>
          <w:sz w:val="17"/>
          <w:szCs w:val="17"/>
          <w:shd w:val="clear" w:color="auto" w:fill="FFFFFF"/>
        </w:rPr>
        <w:t> </w:t>
      </w:r>
    </w:p>
    <w:p w:rsidR="00980413" w:rsidRDefault="00980413" w:rsidP="00D71C90">
      <w:pPr>
        <w:jc w:val="left"/>
        <w:rPr>
          <w:lang w:val="en-GB"/>
        </w:rPr>
      </w:pPr>
    </w:p>
    <w:p w:rsidR="00023C7B" w:rsidRDefault="0092084E">
      <w:pPr>
        <w:spacing w:line="276" w:lineRule="auto"/>
        <w:jc w:val="left"/>
        <w:rPr>
          <w:lang w:val="en-GB"/>
        </w:rPr>
      </w:pPr>
      <w:r>
        <w:rPr>
          <w:lang w:val="en-GB"/>
        </w:rPr>
        <w:br w:type="page"/>
      </w:r>
      <w:r w:rsidR="00023C7B">
        <w:rPr>
          <w:lang w:val="en-GB"/>
        </w:rPr>
        <w:lastRenderedPageBreak/>
        <w:br w:type="page"/>
      </w:r>
    </w:p>
    <w:p w:rsidR="009B762A" w:rsidRPr="00532F44" w:rsidRDefault="0005390C" w:rsidP="003562A1">
      <w:pPr>
        <w:pStyle w:val="Heading1"/>
        <w:numPr>
          <w:ilvl w:val="0"/>
          <w:numId w:val="0"/>
        </w:numPr>
        <w:rPr>
          <w:lang w:val="en-GB"/>
        </w:rPr>
      </w:pPr>
      <w:r w:rsidRPr="00532F44">
        <w:rPr>
          <w:lang w:val="en-GB"/>
        </w:rPr>
        <w:lastRenderedPageBreak/>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w:t>
      </w:r>
      <w:r w:rsidR="008C662C">
        <w:rPr>
          <w:shd w:val="clear" w:color="auto" w:fill="FFFFFF"/>
        </w:rPr>
        <w:t xml:space="preserve">the </w:t>
      </w:r>
      <w:r w:rsidRPr="00532F44">
        <w:rPr>
          <w:shd w:val="clear" w:color="auto" w:fill="FFFFFF"/>
        </w:rPr>
        <w:t>CHADS</w:t>
      </w:r>
      <w:r w:rsidRPr="00532F44">
        <w:rPr>
          <w:shd w:val="clear" w:color="auto" w:fill="FFFFFF"/>
          <w:vertAlign w:val="subscript"/>
        </w:rPr>
        <w:t>2</w:t>
      </w:r>
      <w:r w:rsidRPr="00532F44">
        <w:rPr>
          <w:shd w:val="clear" w:color="auto" w:fill="FFFFFF"/>
        </w:rPr>
        <w:t xml:space="preserve"> </w:t>
      </w:r>
      <w:r w:rsidR="008C662C">
        <w:rPr>
          <w:shd w:val="clear" w:color="auto" w:fill="FFFFFF"/>
        </w:rPr>
        <w:t>score (used for stroke risk stratification), c</w:t>
      </w:r>
      <w:r>
        <w:rPr>
          <w:shd w:val="clear" w:color="auto" w:fill="FFFFFF"/>
        </w:rPr>
        <w:t>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023C7B" w:rsidRDefault="00772D0B" w:rsidP="005B26D5">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023C7B" w:rsidRDefault="00023C7B" w:rsidP="00023C7B">
      <w:r>
        <w:br w:type="page"/>
      </w:r>
    </w:p>
    <w:p w:rsidR="00023C7B" w:rsidRDefault="00023C7B" w:rsidP="00023C7B">
      <w:pPr>
        <w:pStyle w:val="Heading1"/>
        <w:numPr>
          <w:ilvl w:val="0"/>
          <w:numId w:val="0"/>
        </w:numPr>
      </w:pPr>
      <w:r>
        <w:lastRenderedPageBreak/>
        <w:t>What is already known about this subject?</w:t>
      </w:r>
    </w:p>
    <w:p w:rsidR="00023C7B" w:rsidRDefault="00023C7B" w:rsidP="00023C7B">
      <w:pPr>
        <w:rPr>
          <w:shd w:val="clear" w:color="auto" w:fill="FFFFFF"/>
        </w:rPr>
      </w:pPr>
      <w:r w:rsidRPr="00532F44">
        <w:rPr>
          <w:shd w:val="clear" w:color="auto" w:fill="FFFFFF"/>
        </w:rPr>
        <w:t xml:space="preserve">Atrial fibrillation </w:t>
      </w:r>
      <w:r>
        <w:rPr>
          <w:shd w:val="clear" w:color="auto" w:fill="FFFFFF"/>
        </w:rPr>
        <w:t xml:space="preserve">(AF) </w:t>
      </w:r>
      <w:r w:rsidRPr="00532F44">
        <w:rPr>
          <w:shd w:val="clear" w:color="auto" w:fill="FFFFFF"/>
        </w:rPr>
        <w:t xml:space="preserve">is </w:t>
      </w:r>
      <w:r>
        <w:rPr>
          <w:shd w:val="clear" w:color="auto" w:fill="FFFFFF"/>
        </w:rPr>
        <w:t xml:space="preserve">common and increases </w:t>
      </w:r>
      <w:r w:rsidRPr="00532F44">
        <w:rPr>
          <w:shd w:val="clear" w:color="auto" w:fill="FFFFFF"/>
        </w:rPr>
        <w:t>stroke risk</w:t>
      </w:r>
      <w:r>
        <w:rPr>
          <w:shd w:val="clear" w:color="auto" w:fill="FFFFFF"/>
        </w:rPr>
        <w:t>. In additional to stroke risk scoring algorithms such as CHADS</w:t>
      </w:r>
      <w:r w:rsidRPr="005F0E5E">
        <w:rPr>
          <w:shd w:val="clear" w:color="auto" w:fill="FFFFFF"/>
          <w:vertAlign w:val="subscript"/>
        </w:rPr>
        <w:t>2</w:t>
      </w:r>
      <w:r>
        <w:rPr>
          <w:shd w:val="clear" w:color="auto" w:fill="FFFFFF"/>
        </w:rPr>
        <w:t xml:space="preserve">, echocardiography is often 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in order to make optimal decisions on </w:t>
      </w:r>
      <w:proofErr w:type="spellStart"/>
      <w:r>
        <w:rPr>
          <w:shd w:val="clear" w:color="auto" w:fill="FFFFFF"/>
        </w:rPr>
        <w:t>thromboprophylaxis</w:t>
      </w:r>
      <w:proofErr w:type="spellEnd"/>
      <w:r>
        <w:rPr>
          <w:shd w:val="clear" w:color="auto" w:fill="FFFFFF"/>
        </w:rPr>
        <w:t xml:space="preserve"> with oral anticoagulants (OACs).</w:t>
      </w:r>
    </w:p>
    <w:p w:rsidR="00023C7B" w:rsidRDefault="00023C7B" w:rsidP="00023C7B">
      <w:pPr>
        <w:rPr>
          <w:shd w:val="clear" w:color="auto" w:fill="FFFFFF"/>
        </w:rPr>
      </w:pPr>
      <w:r>
        <w:rPr>
          <w:shd w:val="clear" w:color="auto" w:fill="FFFFFF"/>
        </w:rPr>
        <w:t xml:space="preserve">The consequences of </w:t>
      </w:r>
      <w:proofErr w:type="spellStart"/>
      <w:r>
        <w:rPr>
          <w:shd w:val="clear" w:color="auto" w:fill="FFFFFF"/>
        </w:rPr>
        <w:t>thromboprophylaxis</w:t>
      </w:r>
      <w:proofErr w:type="spellEnd"/>
      <w:r>
        <w:rPr>
          <w:shd w:val="clear" w:color="auto" w:fill="FFFFFF"/>
        </w:rPr>
        <w:t xml:space="preserve"> depend on factors such as stroke risk, patient characteristics such as age and sex, and the choice of OAC. These factors affect therefore affect the clinical benefits and cost-effectiveness of using echocardiography in this way by altering the implications of </w:t>
      </w:r>
      <w:proofErr w:type="spellStart"/>
      <w:r>
        <w:rPr>
          <w:shd w:val="clear" w:color="auto" w:fill="FFFFFF"/>
        </w:rPr>
        <w:t>thromboprophylaxis</w:t>
      </w:r>
      <w:proofErr w:type="spellEnd"/>
      <w:r>
        <w:rPr>
          <w:shd w:val="clear" w:color="auto" w:fill="FFFFFF"/>
        </w:rPr>
        <w:t xml:space="preserve"> decisions. </w:t>
      </w:r>
    </w:p>
    <w:p w:rsidR="00023C7B" w:rsidRDefault="00023C7B" w:rsidP="00023C7B">
      <w:pPr>
        <w:pStyle w:val="Heading1"/>
        <w:numPr>
          <w:ilvl w:val="0"/>
          <w:numId w:val="0"/>
        </w:numPr>
      </w:pPr>
      <w:r>
        <w:t>What does this study add?</w:t>
      </w:r>
    </w:p>
    <w:p w:rsidR="00023C7B" w:rsidRDefault="00023C7B" w:rsidP="00023C7B">
      <w:r>
        <w:t xml:space="preserve">This economic evaluation shows that it may be cost-effective to use echocardiography to aid the </w:t>
      </w:r>
      <w:proofErr w:type="spellStart"/>
      <w:r>
        <w:t>thromboprophylaxis</w:t>
      </w:r>
      <w:proofErr w:type="spellEnd"/>
      <w:r>
        <w:t xml:space="preserve"> decision for older patients (aged 65 years at diagnosis), and when considering using either of the newer OACs, </w:t>
      </w:r>
      <w:proofErr w:type="spellStart"/>
      <w:r>
        <w:t>dabigatran</w:t>
      </w:r>
      <w:proofErr w:type="spellEnd"/>
      <w:r>
        <w:t xml:space="preserve"> or </w:t>
      </w:r>
      <w:proofErr w:type="spellStart"/>
      <w:r>
        <w:t>rivaroxaban</w:t>
      </w:r>
      <w:proofErr w:type="spellEnd"/>
      <w:r>
        <w:t xml:space="preserve">. </w:t>
      </w:r>
    </w:p>
    <w:p w:rsidR="00023C7B" w:rsidRDefault="00023C7B" w:rsidP="00023C7B">
      <w:pPr>
        <w:pStyle w:val="Heading1"/>
        <w:numPr>
          <w:ilvl w:val="0"/>
          <w:numId w:val="0"/>
        </w:numPr>
      </w:pPr>
      <w:r>
        <w:t>How might this impact on clinical practice?</w:t>
      </w:r>
    </w:p>
    <w:p w:rsidR="00023C7B" w:rsidRDefault="00023C7B" w:rsidP="00023C7B">
      <w:r>
        <w:t xml:space="preserve">Clinicians should consider the use of echocardiography in aiding the </w:t>
      </w:r>
      <w:proofErr w:type="spellStart"/>
      <w:r>
        <w:t>thromboprophylaxis</w:t>
      </w:r>
      <w:proofErr w:type="spellEnd"/>
      <w:r>
        <w:t xml:space="preserve"> decision when considering treating older patients with a newer OAC. </w:t>
      </w:r>
    </w:p>
    <w:p w:rsidR="005B26D5" w:rsidRPr="00532F44" w:rsidRDefault="005B26D5" w:rsidP="005B26D5">
      <w:pPr>
        <w:rPr>
          <w:b/>
          <w:shd w:val="clear" w:color="auto" w:fill="FFFFFF"/>
        </w:rPr>
      </w:pP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9137B7" w:rsidRPr="0009181B">
        <w:rPr>
          <w:noProof/>
        </w:rPr>
        <w:t>[1]</w:t>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9137B7" w:rsidRPr="0009181B">
        <w:rPr>
          <w:noProof/>
        </w:rPr>
        <w:t>[2]</w:t>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A commonly used</w:t>
      </w:r>
      <w:r w:rsidR="008C662C">
        <w:t xml:space="preserve"> stroke </w:t>
      </w:r>
      <w:r w:rsidRPr="00064789">
        <w:t xml:space="preserve">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9137B7" w:rsidRPr="0009181B">
        <w:rPr>
          <w:noProof/>
        </w:rPr>
        <w:t>[3]</w:t>
      </w:r>
      <w:r w:rsidRPr="00064789">
        <w:t xml:space="preserve"> </w:t>
      </w:r>
      <w:r w:rsidR="00895174">
        <w:t xml:space="preserve">The European Society of Cardiology 2010 guidelines for the management of atrial fibrillation, and subsequent 2012 focused 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rsidRPr="0009181B">
        <w:rPr>
          <w:noProof/>
        </w:rPr>
        <w:t>[3,4]</w:t>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w:t>
      </w:r>
      <w:r w:rsidR="008C662C">
        <w:t>abnormalities of cardiac function and structure (ABN)</w:t>
      </w:r>
      <w:r w:rsidRPr="00064789">
        <w:t xml:space="preserve">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DF52E6" w:rsidRPr="0009181B">
        <w:rPr>
          <w:noProof/>
        </w:rPr>
        <w:t>[5,6]</w:t>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w:t>
      </w:r>
      <w:r w:rsidR="00C47292">
        <w:t>Additionally</w:t>
      </w:r>
      <w:r w:rsidR="00704B8F" w:rsidRPr="00064789">
        <w:t xml:space="preserve">, not all patients who are at higher stroke would be identified (false negatives), and so would </w:t>
      </w:r>
      <w:r w:rsidR="00C47292">
        <w:t>remain un</w:t>
      </w:r>
      <w:r w:rsidR="00704B8F" w:rsidRPr="00064789">
        <w:t xml:space="preserve">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 xml:space="preserve">National Institute for Health and </w:t>
      </w:r>
      <w:r w:rsidR="00C47292">
        <w:t xml:space="preserve">Care </w:t>
      </w:r>
      <w:r w:rsidR="001D7B3F" w:rsidRPr="00064789">
        <w:t>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DF52E6" w:rsidRPr="0009181B">
        <w:rPr>
          <w:noProof/>
        </w:rPr>
        <w:t>[7]</w:t>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w:t>
      </w:r>
      <w:r w:rsidR="00324A95">
        <w:t>Four</w:t>
      </w:r>
      <w:r w:rsidR="00324A95" w:rsidRPr="00064789">
        <w:t xml:space="preserve"> </w:t>
      </w:r>
      <w:r w:rsidR="00267F89" w:rsidRPr="00064789">
        <w:t xml:space="preserve">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rfarin</w:t>
      </w:r>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DF52E6" w:rsidRPr="0009181B">
        <w:rPr>
          <w:noProof/>
        </w:rPr>
        <w:t>[8]</w:t>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w:t>
      </w:r>
      <w:r w:rsidR="00EE646D">
        <w:t xml:space="preserve">Costs were inflation-adjusted to 2012 UK values where necessary. </w:t>
      </w:r>
      <w:r w:rsidR="006D7B3B" w:rsidRPr="00064789">
        <w:t xml:space="preserve">Standard NICE discount rates for utilities and costs of 3.5% per annum are used. </w:t>
      </w:r>
      <w:r w:rsidR="00DF52E6" w:rsidRPr="0009181B">
        <w:rPr>
          <w:noProof/>
        </w:rPr>
        <w:t>[9]</w:t>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n order to incorporate the effect of uncertainty on predicted outcomes</w:t>
      </w:r>
      <w:r w:rsidR="00C47292">
        <w:t>, in order that the full consequences of mortality due to stroke or major blee</w:t>
      </w:r>
      <w:r w:rsidR="00A9463E">
        <w:t>ding</w:t>
      </w:r>
      <w:r w:rsidR="00C47292">
        <w:t xml:space="preserve"> events are compared. A </w:t>
      </w:r>
      <w:r w:rsidR="006D7B3B" w:rsidRPr="00064789">
        <w:t xml:space="preserve">probabilistic </w:t>
      </w:r>
      <w:r w:rsidR="006D7B3B" w:rsidRPr="00064789">
        <w:lastRenderedPageBreak/>
        <w:t xml:space="preserve">model is used, </w:t>
      </w:r>
      <w:r w:rsidR="00834F71" w:rsidRPr="00064789">
        <w:t>meaning</w:t>
      </w:r>
      <w:r w:rsidR="006D7B3B" w:rsidRPr="00064789">
        <w:t xml:space="preserve"> that where possible model parameter estimates are drawn from distributions rather than assumed to be fixed values. </w:t>
      </w:r>
    </w:p>
    <w:p w:rsidR="009344EA" w:rsidRPr="00064789" w:rsidRDefault="009344EA" w:rsidP="009344EA">
      <w:pPr>
        <w:pStyle w:val="Heading2"/>
        <w:numPr>
          <w:ilvl w:val="0"/>
          <w:numId w:val="0"/>
        </w:numPr>
      </w:pPr>
      <w:r w:rsidRPr="00064789">
        <w:t>Scenarios included</w:t>
      </w:r>
    </w:p>
    <w:p w:rsidR="00267F89" w:rsidRPr="00064789" w:rsidRDefault="00A9463E" w:rsidP="008D3B31">
      <w:pPr>
        <w:spacing w:line="480" w:lineRule="auto"/>
      </w:pPr>
      <w:r>
        <w:t>The recommended populations for treating with w</w:t>
      </w:r>
      <w:r w:rsidR="00BE73AD" w:rsidRPr="00064789">
        <w:t xml:space="preserve">arfarin, </w:t>
      </w:r>
      <w:proofErr w:type="spellStart"/>
      <w:r w:rsidR="00BE73AD" w:rsidRPr="00064789">
        <w:t>rivarox</w:t>
      </w:r>
      <w:r w:rsidR="00133DC2" w:rsidRPr="00064789">
        <w:t>a</w:t>
      </w:r>
      <w:r w:rsidR="00BE73AD" w:rsidRPr="00064789">
        <w:t>ban</w:t>
      </w:r>
      <w:proofErr w:type="spellEnd"/>
      <w:r w:rsidR="00BE73AD" w:rsidRPr="00064789">
        <w:t xml:space="preserve">, and </w:t>
      </w:r>
      <w:proofErr w:type="spellStart"/>
      <w:r w:rsidR="00BE73AD" w:rsidRPr="00064789">
        <w:t>dabigatran</w:t>
      </w:r>
      <w:proofErr w:type="spellEnd"/>
      <w:r w:rsidR="00BE73AD" w:rsidRPr="00064789">
        <w:t xml:space="preserve"> are </w:t>
      </w:r>
      <w:r>
        <w:t xml:space="preserve">different in their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w:t>
      </w:r>
      <w:r>
        <w:t xml:space="preserve">similarly </w:t>
      </w:r>
      <w:r w:rsidR="00560933" w:rsidRPr="00064789">
        <w:t xml:space="preserve">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09181B" w:rsidRPr="0009181B">
        <w:rPr>
          <w:noProof/>
        </w:rPr>
        <w:t>[10,11]</w:t>
      </w:r>
      <w:r w:rsidR="00C0617D" w:rsidRPr="00064789">
        <w:t xml:space="preserve"> </w:t>
      </w:r>
      <w:r w:rsidR="00324A95">
        <w:t>Although full incremental analyses of the mean estimates are presented in appendix</w:t>
      </w:r>
      <w:r w:rsidR="0009181B">
        <w:t xml:space="preserve"> </w:t>
      </w:r>
      <w:r w:rsidR="00CF6CB9">
        <w:t>G</w:t>
      </w:r>
      <w:r w:rsidR="00324A95">
        <w:t>, t</w:t>
      </w:r>
      <w:r w:rsidR="00324A95" w:rsidRPr="00064789">
        <w:t xml:space="preserve">he </w:t>
      </w:r>
      <w:r w:rsidR="001D7B3F" w:rsidRPr="00064789">
        <w:t>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00BE73AD" w:rsidRPr="00064789">
        <w:t xml:space="preserve">are described </w:t>
      </w:r>
      <w:r w:rsidR="007946CB">
        <w:t xml:space="preserve">in </w:t>
      </w:r>
      <w:r w:rsidR="007A2563" w:rsidRPr="00532F44">
        <w:t xml:space="preserve">Table </w:t>
      </w:r>
      <w:proofErr w:type="gramStart"/>
      <w:r w:rsidR="007A2563">
        <w:rPr>
          <w:noProof/>
        </w:rPr>
        <w:t>1</w:t>
      </w:r>
      <w:r w:rsidR="007946CB">
        <w:t xml:space="preserve"> </w:t>
      </w:r>
      <w:r w:rsidR="00BE73AD" w:rsidRPr="00064789">
        <w:t>.</w:t>
      </w:r>
      <w:proofErr w:type="gramEnd"/>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7A2563" w:rsidRPr="00532F44">
        <w:t xml:space="preserve">Figure </w:t>
      </w:r>
      <w:r w:rsidR="007A2563">
        <w:t>1</w:t>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w:t>
      </w:r>
      <w:r w:rsidR="00A9463E">
        <w:t>, including the presence of an ABN</w:t>
      </w:r>
      <w:r w:rsidR="001D7B3F" w:rsidRPr="00064789">
        <w:t>. W</w:t>
      </w:r>
      <w:r w:rsidR="00004236" w:rsidRPr="00064789">
        <w:t xml:space="preserve">hether or not </w:t>
      </w:r>
      <w:r w:rsidR="008C662C">
        <w:t xml:space="preserve">an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w:t>
      </w:r>
      <w:r w:rsidR="00A9463E">
        <w:t xml:space="preserve">hypothetical </w:t>
      </w:r>
      <w:r w:rsidR="00A07773" w:rsidRPr="00064789">
        <w:t xml:space="preserve">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w:t>
      </w:r>
      <w:r w:rsidR="00A9463E">
        <w:t>calculated</w:t>
      </w:r>
      <w:r w:rsidR="002D44B0" w:rsidRPr="00064789">
        <w:t>. F</w:t>
      </w:r>
      <w:r w:rsidR="00933B76" w:rsidRPr="00064789">
        <w:t xml:space="preserve">rom these </w:t>
      </w:r>
      <w:r w:rsidR="00263B7C" w:rsidRPr="00064789">
        <w:t>the incremental cost effectiveness ratio (ICER) of including TTE in the diagnostic package</w:t>
      </w:r>
      <w:r w:rsidR="00A9463E">
        <w:t xml:space="preserve"> can be calculated</w:t>
      </w:r>
      <w:r w:rsidR="00263B7C" w:rsidRPr="00064789">
        <w:t>.</w:t>
      </w:r>
    </w:p>
    <w:p w:rsidR="007946CB" w:rsidRPr="00064789" w:rsidRDefault="007946CB" w:rsidP="00B54241">
      <w:pPr>
        <w:spacing w:line="480" w:lineRule="auto"/>
        <w:jc w:val="center"/>
      </w:pPr>
      <w:r>
        <w:lastRenderedPageBreak/>
        <w:t>[</w:t>
      </w:r>
      <w:r w:rsidR="007A2563" w:rsidRPr="00532F44">
        <w:t xml:space="preserve">Figure </w:t>
      </w:r>
      <w:r w:rsidR="007A2563">
        <w:rPr>
          <w:noProof/>
        </w:rPr>
        <w:t>1</w:t>
      </w:r>
      <w:r>
        <w:t xml:space="preserve"> about here]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ABN </w:t>
      </w:r>
      <w:r w:rsidRPr="00064789">
        <w:t xml:space="preserve">would receive the OAC due to TTE correctly identifying </w:t>
      </w:r>
      <w:r w:rsidR="001B457D" w:rsidRPr="00064789">
        <w:t>ABN</w:t>
      </w:r>
      <w:r w:rsidR="00133DC2" w:rsidRPr="00064789">
        <w:t>, dependent on sensitivity of TTE</w:t>
      </w:r>
      <w:r w:rsidR="004E06E9" w:rsidRPr="00064789">
        <w:t xml:space="preserve">. However, when specificity is less than perfect a proportion of </w:t>
      </w:r>
      <w:r w:rsidRPr="00064789">
        <w:t xml:space="preserve">patients without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w:t>
      </w:r>
      <w:r w:rsidR="00A9463E">
        <w:t>ve</w:t>
      </w:r>
      <w:r w:rsidR="00E97667" w:rsidRPr="00064789">
        <w:t xml:space="preserve"> different </w:t>
      </w:r>
      <w:r w:rsidR="00A9463E" w:rsidRPr="00064789">
        <w:t xml:space="preserve">probabilities </w:t>
      </w:r>
      <w:r w:rsidR="00A9463E">
        <w:t>of occurrence,</w:t>
      </w:r>
      <w:r w:rsidR="00A9463E" w:rsidRPr="00064789">
        <w:t xml:space="preserve"> </w:t>
      </w:r>
      <w:r w:rsidR="00253316" w:rsidRPr="00064789">
        <w:t>health related quality of life (</w:t>
      </w:r>
      <w:proofErr w:type="spellStart"/>
      <w:r w:rsidR="00253316" w:rsidRPr="00064789">
        <w:t>HRQoL</w:t>
      </w:r>
      <w:proofErr w:type="spellEnd"/>
      <w:r w:rsidR="00253316" w:rsidRPr="00064789">
        <w:t>)</w:t>
      </w:r>
      <w:r w:rsidR="00E97667" w:rsidRPr="00064789">
        <w:t>, 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lastRenderedPageBreak/>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09181B" w:rsidRPr="0009181B">
        <w:rPr>
          <w:noProof/>
        </w:rPr>
        <w:t>[12]</w:t>
      </w:r>
      <w:r w:rsidR="00E97667" w:rsidRPr="00064789">
        <w:t xml:space="preserve"> </w:t>
      </w:r>
    </w:p>
    <w:p w:rsidR="00F91783" w:rsidRPr="00064789" w:rsidRDefault="00A8404E" w:rsidP="008D3B31">
      <w:pPr>
        <w:spacing w:line="480" w:lineRule="auto"/>
      </w:pPr>
      <w:r w:rsidRPr="00064789">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w:t>
      </w:r>
      <w:r w:rsidR="00A9463E">
        <w:t xml:space="preserve">major </w:t>
      </w:r>
      <w:r w:rsidR="00F91783" w:rsidRPr="00064789">
        <w:t xml:space="preserve">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point</w:t>
      </w:r>
      <w:r w:rsidR="00324A95">
        <w:t xml:space="preserve"> and means the patient will now receive an OAC</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09181B" w:rsidRPr="0009181B">
        <w:rPr>
          <w:noProof/>
        </w:rPr>
        <w:t>[13]</w:t>
      </w:r>
      <w:r w:rsidR="00516779">
        <w:t xml:space="preserve"> Other degrees of disablement following an ICH (GOS 3, GOS 4 and GOS 5) could also occur, which were assumed to affect quality of life but not longevity. Further details are provided in </w:t>
      </w:r>
      <w:r w:rsidR="00CF6CB9">
        <w:t>appendix A</w:t>
      </w:r>
      <w:r w:rsidR="0051677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09181B" w:rsidRPr="0009181B">
        <w:rPr>
          <w:noProof/>
        </w:rPr>
        <w:t>[14]</w:t>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7A2563">
        <w:t xml:space="preserve">Table </w:t>
      </w:r>
      <w:r w:rsidR="007A2563">
        <w:rPr>
          <w:noProof/>
        </w:rPr>
        <w:t>5</w:t>
      </w:r>
      <w:r w:rsidR="0053415A">
        <w:t xml:space="preserve"> in the appendix</w:t>
      </w:r>
      <w:r w:rsidRPr="00064789">
        <w:t>.</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53415A" w:rsidP="008D3B31">
      <w:pPr>
        <w:spacing w:line="480" w:lineRule="auto"/>
      </w:pPr>
      <w:bookmarkStart w:id="1" w:name="_Toc316637315"/>
      <w:r>
        <w:t>The adoption decision, defined as</w:t>
      </w:r>
      <w:r w:rsidR="00777CF9" w:rsidRPr="00064789">
        <w:t xml:space="preserve"> the strategy that is deemed most cost effective, is calculated from the mean values of the costs and the QALYs of each strategy. S</w:t>
      </w:r>
      <w:r w:rsidR="00741A7A" w:rsidRPr="00064789">
        <w:t xml:space="preserve">catterplots of estimates produced by the </w:t>
      </w:r>
      <w:r>
        <w:t>probabilistic sensitivity analysis (</w:t>
      </w:r>
      <w:r w:rsidR="00741A7A" w:rsidRPr="00064789">
        <w:t>PSA</w:t>
      </w:r>
      <w:r>
        <w:t>)</w:t>
      </w:r>
      <w:r w:rsidR="00741A7A" w:rsidRPr="00064789">
        <w:t xml:space="preserve"> provide an </w:t>
      </w:r>
      <w:r w:rsidR="00777CF9" w:rsidRPr="00064789">
        <w:t>indication of uncertainty surrounding the adoption decision</w:t>
      </w:r>
      <w:r w:rsidR="00741A7A" w:rsidRPr="00064789">
        <w:t xml:space="preserve">.  </w:t>
      </w:r>
      <w:r w:rsidR="00777CF9" w:rsidRPr="00064789">
        <w:t xml:space="preserve">A point in the north-west quadrant indicates that the </w:t>
      </w:r>
      <w:r w:rsidR="00741A7A" w:rsidRPr="00064789">
        <w:t xml:space="preserve">TTE </w:t>
      </w:r>
      <w:r w:rsidR="00777CF9" w:rsidRPr="00064789">
        <w:t xml:space="preserve">Strategy </w:t>
      </w:r>
      <w:r w:rsidR="00741A7A" w:rsidRPr="00064789">
        <w:t xml:space="preserve">is both more costly and less effective than the </w:t>
      </w:r>
      <w:r w:rsidR="00777CF9" w:rsidRPr="00064789">
        <w:t>N</w:t>
      </w:r>
      <w:r w:rsidR="00741A7A" w:rsidRPr="00064789">
        <w:t xml:space="preserve">o TTE </w:t>
      </w:r>
      <w:r w:rsidR="00777CF9" w:rsidRPr="00064789">
        <w:t>Strategy</w:t>
      </w:r>
      <w:r w:rsidR="00741A7A" w:rsidRPr="00064789">
        <w:t xml:space="preserve">, and </w:t>
      </w:r>
      <w:r w:rsidR="00E92AF8" w:rsidRPr="00064789">
        <w:t xml:space="preserve">so </w:t>
      </w:r>
      <w:r w:rsidR="00741A7A" w:rsidRPr="00064789">
        <w:t xml:space="preserve">ruled out by dominance. </w:t>
      </w:r>
      <w:r w:rsidR="00777CF9" w:rsidRPr="00064789">
        <w:t xml:space="preserve">A point </w:t>
      </w:r>
      <w:r w:rsidR="00741A7A" w:rsidRPr="00064789">
        <w:t>in the no</w:t>
      </w:r>
      <w:r w:rsidR="00777CF9" w:rsidRPr="00064789">
        <w:t>rth-</w:t>
      </w:r>
      <w:r w:rsidR="00741A7A" w:rsidRPr="00064789">
        <w:t xml:space="preserve">east quadrant indicates </w:t>
      </w:r>
      <w:r w:rsidR="00777CF9" w:rsidRPr="00064789">
        <w:t>that the TTE Strategy is both more expensive and more clinically effective than the No TTE Strategy</w:t>
      </w:r>
      <w:r w:rsidR="00064789" w:rsidRPr="00064789">
        <w:t xml:space="preserve">, and consideration is given to whether the ICER, the ratio of </w:t>
      </w:r>
      <w:r w:rsidR="00064789" w:rsidRPr="00064789">
        <w:lastRenderedPageBreak/>
        <w:t xml:space="preserve">additional cost to additional benefit, is below a </w:t>
      </w:r>
      <w:r w:rsidR="00CF6CB9">
        <w:t xml:space="preserve">willingness-to-pay (WTP) threshold. </w:t>
      </w:r>
      <w:r w:rsidR="00777CF9" w:rsidRPr="00064789">
        <w:t xml:space="preserve">Scatterplots where </w:t>
      </w:r>
      <w:r w:rsidR="00E92AF8" w:rsidRPr="00064789">
        <w:t xml:space="preserve">the scatter covers more than one quadrant indicate some level of decision uncertainty, as different quadrants suggest different decisions. </w:t>
      </w:r>
      <w:r w:rsidR="0009181B" w:rsidRPr="0009181B">
        <w:rPr>
          <w:noProof/>
        </w:rPr>
        <w:t>[15]</w:t>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CF6CB9" w:rsidP="008D3B31">
      <w:pPr>
        <w:spacing w:line="480" w:lineRule="auto"/>
      </w:pPr>
      <w:r>
        <w:t xml:space="preserve">The </w:t>
      </w:r>
      <w:proofErr w:type="spellStart"/>
      <w:r>
        <w:t>cohoice</w:t>
      </w:r>
      <w:proofErr w:type="spellEnd"/>
      <w:r>
        <w:t xml:space="preserve"> of OAC represents one type of deterministic sensitivity analysis (DSA). Two additional types of DSA were also performed. Firstly, sensitivity </w:t>
      </w:r>
      <w:r w:rsidR="00454436" w:rsidRPr="00064789">
        <w:t>analyses were undertaken on the joint uncertainty in the sensitivity and specificity of TTE in detecting ABN.</w:t>
      </w:r>
      <w:r w:rsidR="001138A7" w:rsidRPr="00064789">
        <w:t xml:space="preserve"> </w:t>
      </w:r>
      <w:r>
        <w:t xml:space="preserve">Secondly, the effect of assuming different levels of TPHR was explored. </w:t>
      </w:r>
      <w:r w:rsidR="001138A7" w:rsidRPr="00064789">
        <w:t xml:space="preserve">The results for the joint uncertainty </w:t>
      </w:r>
      <w:r>
        <w:t xml:space="preserve">in sensitivity and specificity </w:t>
      </w:r>
      <w:r w:rsidR="001138A7" w:rsidRPr="00064789">
        <w:t>for</w:t>
      </w:r>
      <w:r w:rsidR="00345E19" w:rsidRPr="00064789">
        <w:t xml:space="preserve"> three</w:t>
      </w:r>
      <w:r w:rsidR="001138A7" w:rsidRPr="00064789">
        <w:t xml:space="preserve"> scenarios are presented in the main article</w:t>
      </w:r>
      <w:r>
        <w:t xml:space="preserve">, and the rest are </w:t>
      </w:r>
      <w:proofErr w:type="spellStart"/>
      <w:r>
        <w:t>exploredin</w:t>
      </w:r>
      <w:proofErr w:type="spellEnd"/>
      <w:r>
        <w:t xml:space="preserve"> appendix </w:t>
      </w:r>
      <w:proofErr w:type="gramStart"/>
      <w:r>
        <w:t>B</w:t>
      </w:r>
      <w:r w:rsidR="001138A7" w:rsidRPr="00064789">
        <w:t>..</w:t>
      </w:r>
      <w:proofErr w:type="gramEnd"/>
      <w:r>
        <w:t xml:space="preserve"> The sensitivity of the results to TPHR is shown in appendix H.</w:t>
      </w:r>
    </w:p>
    <w:p w:rsidR="0005390C" w:rsidRPr="00064789" w:rsidRDefault="00DF4463" w:rsidP="003378D6">
      <w:pPr>
        <w:pStyle w:val="Heading1"/>
        <w:numPr>
          <w:ilvl w:val="0"/>
          <w:numId w:val="0"/>
        </w:numPr>
      </w:pPr>
      <w:bookmarkStart w:id="2" w:name="OLE_LINK1"/>
      <w:bookmarkStart w:id="3" w:name="OLE_LINK2"/>
      <w:bookmarkEnd w:id="1"/>
      <w:r w:rsidRPr="00064789">
        <w:t>Results</w:t>
      </w:r>
    </w:p>
    <w:p w:rsidR="00056C3D" w:rsidRPr="0031099C" w:rsidRDefault="007A2563" w:rsidP="00F309FB">
      <w:pPr>
        <w:spacing w:line="480" w:lineRule="auto"/>
      </w:pPr>
      <w:r w:rsidRPr="00F309FB">
        <w:t xml:space="preserve">Table </w:t>
      </w:r>
      <w:r>
        <w:rPr>
          <w:noProof/>
        </w:rPr>
        <w:t>2</w:t>
      </w:r>
      <w:r w:rsidR="00F309FB">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warfarin,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Pr="0031099C">
        <w:t xml:space="preserve">Figure </w:t>
      </w:r>
      <w:r>
        <w:rPr>
          <w:noProof/>
        </w:rPr>
        <w:t>2</w:t>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w:t>
      </w:r>
      <w:r w:rsidR="00CB6D0B" w:rsidRPr="00CB6D0B">
        <w:t xml:space="preserve"> </w:t>
      </w:r>
      <w:proofErr w:type="gramStart"/>
      <w:r w:rsidRPr="00F309FB">
        <w:t xml:space="preserve">Table </w:t>
      </w:r>
      <w:r>
        <w:rPr>
          <w:noProof/>
        </w:rPr>
        <w:t>2</w:t>
      </w:r>
      <w:r w:rsidR="00F309FB">
        <w:t xml:space="preserve"> </w:t>
      </w:r>
      <w:r w:rsidR="00CB6D0B">
        <w:t xml:space="preserve">also </w:t>
      </w:r>
      <w:r w:rsidR="0083066E" w:rsidRPr="00064789">
        <w:t xml:space="preserve">shows the </w:t>
      </w:r>
      <w:r w:rsidR="006E14F1" w:rsidRPr="00064789">
        <w:t>mean cost</w:t>
      </w:r>
      <w:r w:rsidR="00FE3BA1" w:rsidRPr="00064789">
        <w:t>s</w:t>
      </w:r>
      <w:r w:rsidR="006E14F1" w:rsidRPr="00064789">
        <w:t xml:space="preserve"> and mean</w:t>
      </w:r>
      <w:proofErr w:type="gramEnd"/>
      <w:r w:rsidR="006E14F1" w:rsidRPr="00064789">
        <w:t xml:space="preserve">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rsidR="007A2563" w:rsidRPr="00F309FB">
        <w:t xml:space="preserve">Table </w:t>
      </w:r>
      <w:r w:rsidR="007A2563">
        <w:rPr>
          <w:noProof/>
        </w:rPr>
        <w:t>2</w:t>
      </w:r>
      <w:r>
        <w:t xml:space="preserve"> </w:t>
      </w:r>
      <w:r w:rsidR="00F309FB">
        <w:t>about here]</w:t>
      </w:r>
    </w:p>
    <w:p w:rsidR="00B54241" w:rsidRDefault="00B54241" w:rsidP="00F309FB">
      <w:pPr>
        <w:spacing w:line="480" w:lineRule="auto"/>
        <w:jc w:val="center"/>
      </w:pPr>
      <w:r>
        <w:t>[</w:t>
      </w:r>
      <w:r w:rsidR="007A2563" w:rsidRPr="0031099C">
        <w:t xml:space="preserve">Figure </w:t>
      </w:r>
      <w:r w:rsidR="007A2563">
        <w:rPr>
          <w:noProof/>
        </w:rPr>
        <w:t>2</w:t>
      </w:r>
      <w:r>
        <w:t xml:space="preserve"> about here</w:t>
      </w:r>
    </w:p>
    <w:p w:rsidR="00273A34" w:rsidRDefault="007A2563" w:rsidP="008D3B31">
      <w:pPr>
        <w:spacing w:line="480" w:lineRule="auto"/>
      </w:pPr>
      <w:r w:rsidRPr="00F309FB">
        <w:t xml:space="preserve">Table </w:t>
      </w:r>
      <w:r>
        <w:rPr>
          <w:noProof/>
        </w:rPr>
        <w:t>2</w:t>
      </w:r>
      <w:r w:rsidR="00605BB7" w:rsidRPr="00064789">
        <w:t xml:space="preserve"> </w:t>
      </w:r>
      <w:r w:rsidR="006E14F1" w:rsidRPr="00064789">
        <w:t xml:space="preserve">indicates that, irrespective of the OAC, using TTE in this way reduces the proportion of deaths caused by stroke, but increases the proportion of deaths caused by </w:t>
      </w:r>
      <w:r w:rsidR="0053415A">
        <w:t xml:space="preserve">major </w:t>
      </w:r>
      <w:r w:rsidR="006E14F1" w:rsidRPr="00064789">
        <w:t>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w:t>
      </w:r>
      <w:r w:rsidR="0053415A">
        <w:t xml:space="preserve">a </w:t>
      </w:r>
      <w:r w:rsidR="006E14F1" w:rsidRPr="00064789">
        <w:t xml:space="preserve">strategy </w:t>
      </w:r>
      <w:r w:rsidR="006E14F1" w:rsidRPr="00064789">
        <w:lastRenderedPageBreak/>
        <w:t xml:space="preserve">incorporating TTE is used compared </w:t>
      </w:r>
      <w:r w:rsidR="00B54241">
        <w:t>with</w:t>
      </w:r>
      <w:r w:rsidR="006E14F1" w:rsidRPr="00064789">
        <w:t xml:space="preserve"> the strategy without TTE, but these differences are relatively small</w:t>
      </w:r>
      <w:r w:rsidR="00B54241">
        <w:t xml:space="preserve"> (approximately 0.1 life years)</w:t>
      </w:r>
      <w:r w:rsidR="00FE3BA1" w:rsidRPr="00064789">
        <w:t>.</w:t>
      </w:r>
      <w:r w:rsidR="006E14F1" w:rsidRPr="00064789">
        <w:t xml:space="preserve"> </w:t>
      </w:r>
    </w:p>
    <w:p w:rsidR="00920A0B" w:rsidRPr="00064789" w:rsidRDefault="007A2563" w:rsidP="00900CA4">
      <w:pPr>
        <w:spacing w:line="480" w:lineRule="auto"/>
      </w:pPr>
      <w:r w:rsidRPr="0031099C">
        <w:t xml:space="preserve">Figure </w:t>
      </w:r>
      <w:r>
        <w:rPr>
          <w:noProof/>
        </w:rPr>
        <w:t>2</w:t>
      </w:r>
      <w:r w:rsidR="0053415A">
        <w:t xml:space="preserve"> </w:t>
      </w:r>
      <w:r w:rsidR="00F309FB">
        <w:t>and</w:t>
      </w:r>
      <w:r w:rsidR="00CB6D0B">
        <w:t xml:space="preserve"> </w:t>
      </w:r>
      <w:r w:rsidRPr="00F309FB">
        <w:t xml:space="preserve">Table </w:t>
      </w:r>
      <w:r>
        <w:rPr>
          <w:noProof/>
        </w:rPr>
        <w:t>2</w:t>
      </w:r>
      <w:r w:rsidR="00B54241">
        <w:t xml:space="preserve"> </w:t>
      </w:r>
      <w:r w:rsidR="005653D1" w:rsidRPr="00064789">
        <w:t>both suggest that the cost-effectiveness of the TTE strategy compared with the no TTE strategy depends on the OAC which would be prescribed.  Where the OAC is warfarin (</w:t>
      </w:r>
      <w:r w:rsidRPr="0031099C">
        <w:t xml:space="preserve">Table </w:t>
      </w:r>
      <w:r>
        <w:rPr>
          <w:noProof/>
        </w:rPr>
        <w:t>3</w:t>
      </w:r>
      <w:r w:rsidR="005653D1" w:rsidRPr="00064789">
        <w:t>a), the ICER comparing the tw</w:t>
      </w:r>
      <w:r w:rsidR="00064789" w:rsidRPr="00064789">
        <w:t>o strategies is almost £40 000 per</w:t>
      </w:r>
      <w:r w:rsidR="005653D1" w:rsidRPr="00064789">
        <w:t xml:space="preserve"> QALY; where the OAC </w:t>
      </w:r>
      <w:r w:rsidR="0053415A">
        <w:t xml:space="preserve">is </w:t>
      </w:r>
      <w:proofErr w:type="spellStart"/>
      <w:r w:rsidR="005653D1" w:rsidRPr="00064789">
        <w:t>rivaroxaban</w:t>
      </w:r>
      <w:proofErr w:type="spellEnd"/>
      <w:r w:rsidR="005653D1" w:rsidRPr="00064789">
        <w:t xml:space="preserve"> (</w:t>
      </w:r>
      <w:r w:rsidRPr="00F309FB">
        <w:t xml:space="preserve">Table </w:t>
      </w:r>
      <w:r>
        <w:rPr>
          <w:noProof/>
        </w:rPr>
        <w:t>2</w:t>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rsidRPr="00F309FB">
        <w:t xml:space="preserve">Table </w:t>
      </w:r>
      <w:r>
        <w:rPr>
          <w:noProof/>
        </w:rPr>
        <w:t>2</w:t>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t>Deterministic sensitivity analyses</w:t>
      </w:r>
    </w:p>
    <w:p w:rsidR="00345E19" w:rsidRPr="00064789" w:rsidRDefault="007A2563" w:rsidP="00345E19">
      <w:pPr>
        <w:spacing w:line="480" w:lineRule="auto"/>
      </w:pPr>
      <w:r w:rsidRPr="0031099C">
        <w:t xml:space="preserve">Table </w:t>
      </w:r>
      <w:r>
        <w:rPr>
          <w:noProof/>
        </w:rPr>
        <w:t>3</w:t>
      </w:r>
      <w:r w:rsidR="00B54241">
        <w:t xml:space="preserve"> </w:t>
      </w:r>
      <w:r w:rsidR="00345E19" w:rsidRPr="00064789">
        <w:t xml:space="preserve">shows how the </w:t>
      </w:r>
      <w:r w:rsidR="00B54241">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either a) warfarin</w:t>
      </w:r>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If TTE had perfect sensitivity and specificity, then the additional cost per QALY is estimated to range from around £1,800/QALY for warfarin (a) to</w:t>
      </w:r>
      <w:r w:rsidR="0053415A">
        <w:t xml:space="preserve"> £1,100/QALY for </w:t>
      </w:r>
      <w:proofErr w:type="spellStart"/>
      <w:r w:rsidR="0053415A">
        <w:t>dabigatran</w:t>
      </w:r>
      <w:proofErr w:type="spellEnd"/>
      <w:r w:rsidR="0053415A">
        <w:t xml:space="preserve"> (c)</w:t>
      </w:r>
      <w:r w:rsidR="00345E19" w:rsidRPr="00064789">
        <w:t xml:space="preserve"> </w:t>
      </w:r>
      <w:r w:rsidR="0053415A" w:rsidRPr="0009181B">
        <w:rPr>
          <w:noProof/>
        </w:rPr>
        <w:t>[6]</w:t>
      </w:r>
      <w:r w:rsidR="0053415A">
        <w:t>.</w:t>
      </w:r>
      <w:r w:rsidR="0053415A" w:rsidRPr="00064789">
        <w:t xml:space="preserve"> </w:t>
      </w:r>
      <w:r w:rsidR="00345E19" w:rsidRPr="00064789">
        <w:t xml:space="preserve">However, due to the less than perfect specificity of TTE, estimated to be around 0.35, and the increased number of false positives predicted to be treated as a result of this, the ICERs </w:t>
      </w:r>
      <w:r w:rsidR="00FE3BA1" w:rsidRPr="00064789">
        <w:t xml:space="preserve">increase </w:t>
      </w:r>
      <w:r w:rsidR="00B54241">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As the ICER is a ratio, and the absolute differences in QALYs between strategies with and without TTE are small, the ICERs are shown to be highly sensitive to the values of sensitivity and specificity assumed for some scenarios. </w:t>
      </w:r>
    </w:p>
    <w:bookmarkEnd w:id="2"/>
    <w:bookmarkEnd w:id="3"/>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w:t>
      </w:r>
      <w:r w:rsidR="00CF6CB9">
        <w:t>WTP thresholds</w:t>
      </w:r>
      <w:r w:rsidR="00CF6CB9" w:rsidRPr="00064789">
        <w:t xml:space="preserve"> </w:t>
      </w:r>
      <w:r w:rsidRPr="00064789">
        <w:t xml:space="preserve">of £20,000 /QALY or £30,000/QALY, is shown in </w:t>
      </w:r>
      <w:r w:rsidR="007A2563" w:rsidRPr="0031099C">
        <w:t xml:space="preserve">Table </w:t>
      </w:r>
      <w:r w:rsidR="007A2563">
        <w:rPr>
          <w:noProof/>
        </w:rPr>
        <w:t>4</w:t>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t>
      </w:r>
      <w:r w:rsidR="00CF6CB9">
        <w:t>WTP</w:t>
      </w:r>
      <w:r w:rsidRPr="00064789">
        <w:t xml:space="preserve"> thresholds of between £20,000 and £30,000/QALY for </w:t>
      </w:r>
      <w:proofErr w:type="spellStart"/>
      <w:r w:rsidRPr="00064789">
        <w:t>dabigatran</w:t>
      </w:r>
      <w:proofErr w:type="spellEnd"/>
      <w:r w:rsidRPr="00064789">
        <w:t xml:space="preserve">, </w:t>
      </w:r>
      <w:r w:rsidRPr="00064789">
        <w:lastRenderedPageBreak/>
        <w:t xml:space="preserve">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Default="008C662C" w:rsidP="008D3B31">
      <w:pPr>
        <w:spacing w:line="480" w:lineRule="auto"/>
      </w:pPr>
      <w:r>
        <w:t xml:space="preserve">In this study, we have shown that using TTE to inform the decision whether to prescribe a newer OAC to newly diagnosed AF patients may be a clinically and cost- effective strategy. </w:t>
      </w:r>
      <w:r w:rsidR="00D20CA0" w:rsidRPr="00064789">
        <w:t xml:space="preserve">Prior to producing this model, a systematic literature review was conducted to identify, </w:t>
      </w:r>
      <w:proofErr w:type="spellStart"/>
      <w:r w:rsidR="00D20CA0" w:rsidRPr="00064789">
        <w:t>summarise</w:t>
      </w:r>
      <w:proofErr w:type="spellEnd"/>
      <w:r w:rsidR="00D20CA0" w:rsidRPr="00064789">
        <w:t xml:space="preserve"> and appraise existing economic studies for evaluating the cost-effectiveness of TTE in patients with AF</w:t>
      </w:r>
      <w:r>
        <w:t xml:space="preserve"> and we </w:t>
      </w:r>
      <w:r w:rsidR="00D20CA0" w:rsidRPr="00064789">
        <w:t>identified no economic evaluations of</w:t>
      </w:r>
      <w:r w:rsidR="007A14AB">
        <w:t xml:space="preserve"> the use of</w:t>
      </w:r>
      <w:r w:rsidR="00D20CA0" w:rsidRPr="00064789">
        <w:t xml:space="preserve"> TTE in AF patients</w:t>
      </w:r>
      <w:r>
        <w:t>. Thus</w:t>
      </w:r>
      <w:r w:rsidR="0053415A">
        <w:t xml:space="preserve"> we believe </w:t>
      </w:r>
      <w:r w:rsidR="00D20CA0" w:rsidRPr="00064789">
        <w:t>this is the first</w:t>
      </w:r>
      <w:r>
        <w:t xml:space="preserve"> such economic evaluation</w:t>
      </w:r>
      <w:r w:rsidR="00D20CA0" w:rsidRPr="00064789">
        <w:t xml:space="preserve">.  </w:t>
      </w:r>
    </w:p>
    <w:p w:rsidR="00324A95" w:rsidRPr="00064789" w:rsidRDefault="00324A95" w:rsidP="008D3B31">
      <w:pPr>
        <w:spacing w:line="480" w:lineRule="auto"/>
      </w:pPr>
      <w:r>
        <w:t xml:space="preserve">Although the aim of this assessment was to compare strategies involving TTE with strategies not involving TTE, doing this has also involved modeling the effects of prescribing any one of three OACs, either initially (as a result of a positive TTE result), </w:t>
      </w:r>
      <w:r w:rsidR="000466CA">
        <w:t xml:space="preserve">or </w:t>
      </w:r>
      <w:r>
        <w:t xml:space="preserve">at a later </w:t>
      </w:r>
      <w:r w:rsidR="000466CA">
        <w:t xml:space="preserve">stage due to either experiencing a stroke or reaching the age of 75 years.  Appendix </w:t>
      </w:r>
      <w:r w:rsidR="00CF6CB9">
        <w:t xml:space="preserve">G </w:t>
      </w:r>
      <w:r w:rsidR="000466CA">
        <w:t>presents full incremental analyses for each of the four patient groups based on the mean estimates from the PSA samples. However, the evidence used to inform the relevant model parameters were not obtained systematically, and the model was not developed so as to be able to estimate the effect of more complex scenarios which may be of clinical relevance, as discussed in the implications for research section. Because of these limitations, the full incremental results should be considered exploratory and indicative rather than robust and authoritative.</w:t>
      </w:r>
    </w:p>
    <w:p w:rsidR="00A02F0A" w:rsidRDefault="00DB728C" w:rsidP="008D3B31">
      <w:pPr>
        <w:spacing w:line="480" w:lineRule="auto"/>
      </w:pPr>
      <w:r>
        <w:t xml:space="preserve">An additional limitation was in using only the </w:t>
      </w:r>
      <w:proofErr w:type="spellStart"/>
      <w:r w:rsidR="00654FFC" w:rsidRPr="00064789">
        <w:t>the</w:t>
      </w:r>
      <w:proofErr w:type="spellEnd"/>
      <w:r w:rsidR="00654FFC" w:rsidRPr="00064789">
        <w:t xml:space="preserve"> CHADS</w:t>
      </w:r>
      <w:r w:rsidR="00654FFC" w:rsidRPr="00064789">
        <w:rPr>
          <w:vertAlign w:val="subscript"/>
        </w:rPr>
        <w:t>2</w:t>
      </w:r>
      <w:r w:rsidR="00654FFC" w:rsidRPr="00064789">
        <w:t xml:space="preserve"> clinical risk prediction tool. An alternative to this tool is </w:t>
      </w:r>
      <w:r w:rsidR="008C662C">
        <w:t xml:space="preserve">the </w:t>
      </w:r>
      <w:r w:rsidR="00654FFC" w:rsidRPr="00064789">
        <w:t>CHA</w:t>
      </w:r>
      <w:r w:rsidR="00654FFC" w:rsidRPr="00064789">
        <w:rPr>
          <w:vertAlign w:val="subscript"/>
        </w:rPr>
        <w:t>2</w:t>
      </w:r>
      <w:r w:rsidR="00654FFC" w:rsidRPr="00064789">
        <w:t>DS</w:t>
      </w:r>
      <w:r w:rsidR="00654FFC" w:rsidRPr="00064789">
        <w:rPr>
          <w:vertAlign w:val="subscript"/>
        </w:rPr>
        <w:t>2</w:t>
      </w:r>
      <w:r w:rsidR="00654FFC" w:rsidRPr="00064789">
        <w:t>-VASc</w:t>
      </w:r>
      <w:r w:rsidR="008C662C">
        <w:t xml:space="preserve"> score</w:t>
      </w:r>
      <w:r w:rsidR="00654FFC" w:rsidRPr="00064789">
        <w:t>, which is considered to be better at distinguishing low risk from very low risk patients</w:t>
      </w:r>
      <w:r w:rsidR="00253316" w:rsidRPr="00064789">
        <w:t xml:space="preserve">, and is the only such tool recommended in the 2012 focused update of the ESC guidelines.  </w:t>
      </w:r>
      <w:r w:rsidR="0009181B" w:rsidRPr="0009181B">
        <w:rPr>
          <w:noProof/>
        </w:rPr>
        <w:t>[3,4,16,17]</w:t>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w:t>
      </w:r>
      <w:r w:rsidR="00654FFC" w:rsidRPr="00064789">
        <w:lastRenderedPageBreak/>
        <w:t xml:space="preserve">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09181B" w:rsidRPr="0009181B">
        <w:rPr>
          <w:noProof/>
        </w:rPr>
        <w:t>[10,11]</w:t>
      </w:r>
      <w:r w:rsidR="00654FFC" w:rsidRPr="00064789">
        <w:t xml:space="preserve"> </w:t>
      </w:r>
    </w:p>
    <w:p w:rsidR="00A02F0A" w:rsidRDefault="0009181B" w:rsidP="008D3B31">
      <w:pPr>
        <w:spacing w:line="480" w:lineRule="auto"/>
      </w:pPr>
      <w:r>
        <w:t>Apart from age and stroke history, the clinical characteristics of patients which are used in CHADS</w:t>
      </w:r>
      <w:r w:rsidRPr="00511D4E">
        <w:rPr>
          <w:vertAlign w:val="subscript"/>
        </w:rPr>
        <w:t>2</w:t>
      </w:r>
      <w:r>
        <w:t xml:space="preserve"> were not independently modeled, and so were assumed not to develop </w:t>
      </w:r>
      <w:r w:rsidR="00A02F0A">
        <w:t>over a patient’s lifetime</w:t>
      </w:r>
      <w:r>
        <w:t xml:space="preserve">. </w:t>
      </w:r>
      <w:r w:rsidR="00A02F0A">
        <w:t>As many patients with an initial CHADS</w:t>
      </w:r>
      <w:r w:rsidR="00A02F0A" w:rsidRPr="00511D4E">
        <w:rPr>
          <w:vertAlign w:val="subscript"/>
        </w:rPr>
        <w:t>2</w:t>
      </w:r>
      <w:r w:rsidR="00A02F0A">
        <w:t xml:space="preserve"> score of zero may become diabetic before reaching the age of 75 years or suffering a stroke, this means the model is likely to slightly over-estimate the time that someone who has not been identified with LA ABN will not receive an OAC. </w:t>
      </w:r>
    </w:p>
    <w:p w:rsidR="00E36870" w:rsidRPr="00064789" w:rsidRDefault="00E36870" w:rsidP="008D3B31">
      <w:pPr>
        <w:spacing w:line="480" w:lineRule="auto"/>
      </w:pPr>
      <w:r w:rsidRPr="00064789">
        <w:t xml:space="preserve">The dose of </w:t>
      </w:r>
      <w:proofErr w:type="spellStart"/>
      <w:r w:rsidRPr="00064789">
        <w:t>dabigatran</w:t>
      </w:r>
      <w:proofErr w:type="spellEnd"/>
      <w:r w:rsidRPr="00064789">
        <w:t xml:space="preserve"> was </w:t>
      </w:r>
      <w:r w:rsidR="006C6A8E" w:rsidRPr="00064789">
        <w:t>fixed</w:t>
      </w:r>
      <w:r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Pr="00064789">
        <w:t xml:space="preserve">The stroke risk associated with patients with </w:t>
      </w:r>
      <w:r w:rsidR="002148A0" w:rsidRPr="00064789">
        <w:t xml:space="preserve">LA ABN </w:t>
      </w:r>
      <w:r w:rsidR="006C6A8E" w:rsidRPr="00064789">
        <w:t xml:space="preserve">was </w:t>
      </w:r>
      <w:r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DF52E6" w:rsidRPr="0009181B">
        <w:rPr>
          <w:noProof/>
        </w:rPr>
        <w:t>[6]</w:t>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DF52E6" w:rsidRPr="0009181B">
        <w:rPr>
          <w:noProof/>
        </w:rPr>
        <w:t>[6</w:t>
      </w:r>
      <w:proofErr w:type="gramStart"/>
      <w:r w:rsidR="00DF52E6" w:rsidRPr="0009181B">
        <w:rPr>
          <w:noProof/>
        </w:rPr>
        <w:t>]</w:t>
      </w:r>
      <w:r w:rsidR="00F00EDF" w:rsidRPr="00064789">
        <w:t xml:space="preserve">  </w:t>
      </w:r>
      <w:r w:rsidR="00E36870" w:rsidRPr="00064789">
        <w:t>This</w:t>
      </w:r>
      <w:proofErr w:type="gramEnd"/>
      <w:r w:rsidR="00E36870" w:rsidRPr="00064789">
        <w:t xml:space="preserve">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09181B" w:rsidRPr="0009181B">
        <w:rPr>
          <w:noProof/>
        </w:rPr>
        <w:t>[18]</w:t>
      </w:r>
    </w:p>
    <w:p w:rsidR="004850ED" w:rsidRPr="00064789" w:rsidRDefault="004850ED" w:rsidP="008D3B31">
      <w:pPr>
        <w:spacing w:line="480" w:lineRule="auto"/>
      </w:pPr>
      <w:r w:rsidRPr="00064789">
        <w:lastRenderedPageBreak/>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ABN. If these exist, and produce even small net QALY gains (&gt; 0.0033) then TTE would be cost effective in all scenarios</w:t>
      </w:r>
      <w:r w:rsidR="00621BC9" w:rsidRPr="00064789">
        <w:t>, assuming a cost of £66 per test</w:t>
      </w:r>
      <w:r w:rsidRPr="00064789">
        <w:t xml:space="preserve">. </w:t>
      </w:r>
      <w:r w:rsidR="0009181B" w:rsidRPr="0009181B">
        <w:rPr>
          <w:noProof/>
        </w:rPr>
        <w:t>[19]</w:t>
      </w:r>
      <w:r w:rsidR="00A84F79" w:rsidRPr="00064789">
        <w:t xml:space="preserve"> </w:t>
      </w:r>
      <w:r w:rsidR="00F00EDF" w:rsidRPr="00064789">
        <w:t>As</w:t>
      </w:r>
      <w:r w:rsidR="00120CC0">
        <w:t xml:space="preserve"> </w:t>
      </w:r>
      <w:r w:rsidR="007A2563" w:rsidRPr="0031099C">
        <w:t xml:space="preserve">Table </w:t>
      </w:r>
      <w:r w:rsidR="007A2563">
        <w:rPr>
          <w:noProof/>
        </w:rPr>
        <w:t>3</w:t>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Default="00DB728C" w:rsidP="008D3B31">
      <w:pPr>
        <w:spacing w:line="480" w:lineRule="auto"/>
      </w:pPr>
      <w:r>
        <w:t xml:space="preserve">A range of limitations in the model and process used to identify parameters for it have been described. The </w:t>
      </w:r>
      <w:proofErr w:type="spellStart"/>
      <w:r>
        <w:t>imlitations</w:t>
      </w:r>
      <w:proofErr w:type="spellEnd"/>
      <w:r>
        <w:t xml:space="preserve"> of these limitations can be </w:t>
      </w:r>
      <w:proofErr w:type="spellStart"/>
      <w:r>
        <w:t>understoon</w:t>
      </w:r>
      <w:proofErr w:type="spellEnd"/>
      <w:r>
        <w:t xml:space="preserve"> only through further </w:t>
      </w:r>
      <w:proofErr w:type="spellStart"/>
      <w:r>
        <w:t>researche</w:t>
      </w:r>
      <w:proofErr w:type="spellEnd"/>
      <w:r>
        <w:t xml:space="preserve"> which address such limitations. </w:t>
      </w:r>
      <w:r w:rsidR="00F00EDF"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0466CA" w:rsidRPr="001018C1" w:rsidRDefault="000466CA" w:rsidP="008D3B31">
      <w:pPr>
        <w:spacing w:line="480" w:lineRule="auto"/>
      </w:pPr>
      <w:r>
        <w:t>The model could be developed in order to robustly compare the cost effective</w:t>
      </w:r>
      <w:r w:rsidR="00CE5CAA">
        <w:t>ness</w:t>
      </w:r>
      <w:r>
        <w:t xml:space="preserve"> of a broad range of clinical strategies. </w:t>
      </w:r>
      <w:r w:rsidR="00CE5CAA">
        <w:t xml:space="preserve">For example, it could be adapted so that the effect of different doses of </w:t>
      </w:r>
      <w:proofErr w:type="spellStart"/>
      <w:r w:rsidR="00CE5CAA">
        <w:t>dabigatran</w:t>
      </w:r>
      <w:proofErr w:type="spellEnd"/>
      <w:r w:rsidR="00CE5CAA">
        <w:t xml:space="preserve"> or different warfarin strategies could be estimated. The effect of, for example, switching from one OAC to another in response to clinical events could also be explored. </w:t>
      </w:r>
      <w:r w:rsidR="001018C1">
        <w:t xml:space="preserve">As it is an individual level model, it could be adapted to model variation in bleed risk using the HAS-BLED </w:t>
      </w:r>
      <w:proofErr w:type="gramStart"/>
      <w:r w:rsidR="001018C1">
        <w:t>instrument</w:t>
      </w:r>
      <w:r w:rsidR="0009181B" w:rsidRPr="0009181B">
        <w:rPr>
          <w:noProof/>
        </w:rPr>
        <w:t>[</w:t>
      </w:r>
      <w:proofErr w:type="gramEnd"/>
      <w:r w:rsidR="0009181B" w:rsidRPr="0009181B">
        <w:rPr>
          <w:noProof/>
        </w:rPr>
        <w:t>20]</w:t>
      </w:r>
      <w:r w:rsidR="00CE5CAA">
        <w:t xml:space="preserve">, and </w:t>
      </w:r>
      <w:r w:rsidR="001018C1">
        <w:t>to model each CHADS</w:t>
      </w:r>
      <w:r w:rsidR="001018C1">
        <w:softHyphen/>
      </w:r>
      <w:r w:rsidR="001018C1">
        <w:rPr>
          <w:vertAlign w:val="subscript"/>
        </w:rPr>
        <w:t>2</w:t>
      </w:r>
      <w:r w:rsidR="001018C1">
        <w:t xml:space="preserve"> risk factor independently over time</w:t>
      </w:r>
      <w:r w:rsidR="00A02F0A">
        <w:t xml:space="preserve">, including the risk of developing diabetes and the effect of this condition on </w:t>
      </w:r>
      <w:proofErr w:type="spellStart"/>
      <w:r w:rsidR="00A02F0A">
        <w:t>HRQoL</w:t>
      </w:r>
      <w:proofErr w:type="spellEnd"/>
      <w:r w:rsidR="00A02F0A">
        <w:t xml:space="preserve"> and healthcare provider cost</w:t>
      </w:r>
      <w:r w:rsidR="001018C1">
        <w:t>. Budget impact analysis could also be performed using this model</w:t>
      </w:r>
      <w:r w:rsidR="00CE5CAA">
        <w:t xml:space="preserve"> to estimate, for example, how rising levels of type </w:t>
      </w:r>
      <w:r w:rsidR="00CE5CAA">
        <w:lastRenderedPageBreak/>
        <w:t xml:space="preserve">2 diabetes (the D in </w:t>
      </w:r>
      <w:r w:rsidR="00CE5CAA" w:rsidRPr="00CE5CAA">
        <w:t>CHADS</w:t>
      </w:r>
      <w:r w:rsidR="00CE5CAA" w:rsidRPr="00CE5CAA">
        <w:softHyphen/>
      </w:r>
      <w:r w:rsidR="00CE5CAA" w:rsidRPr="00511D4E">
        <w:rPr>
          <w:vertAlign w:val="subscript"/>
        </w:rPr>
        <w:t>2</w:t>
      </w:r>
      <w:r w:rsidR="00CE5CAA">
        <w:t xml:space="preserve">) may change the size of the population affected by the use of TTE in the ways indicated.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3B36C5" w:rsidP="008D3B31">
      <w:pPr>
        <w:spacing w:line="480" w:lineRule="auto"/>
      </w:pPr>
      <w:r>
        <w:t xml:space="preserve">If </w:t>
      </w:r>
      <w:r w:rsidR="00DB7C63" w:rsidRPr="00064789">
        <w:t xml:space="preserve">TTE </w:t>
      </w:r>
      <w:r>
        <w:t xml:space="preserve">were to </w:t>
      </w:r>
      <w:r w:rsidR="00DB7C63" w:rsidRPr="00064789">
        <w:t>be recommended for those patients with CHADS</w:t>
      </w:r>
      <w:r w:rsidR="00DB7C63" w:rsidRPr="00064789">
        <w:rPr>
          <w:vertAlign w:val="subscript"/>
        </w:rPr>
        <w:t>2</w:t>
      </w:r>
      <w:r w:rsidR="00DB7C63" w:rsidRPr="00064789">
        <w:t xml:space="preserve"> scores of </w:t>
      </w:r>
      <w:r w:rsidR="00B36EBC" w:rsidRPr="00064789">
        <w:t xml:space="preserve">zero </w:t>
      </w:r>
      <w:r w:rsidR="00DB7C63" w:rsidRPr="00064789">
        <w:t>point</w:t>
      </w:r>
      <w:r w:rsidR="00B36EBC" w:rsidRPr="00064789">
        <w:t>s</w:t>
      </w:r>
      <w:r w:rsidR="00DB7C63"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 xml:space="preserve">e TTE in patients aged 65 years; when warfarin is the OAC of choice, then the addition of TTE does not appear cost-effective at standard </w:t>
      </w:r>
      <w:r w:rsidR="00DB728C">
        <w:t xml:space="preserve">WTP </w:t>
      </w:r>
      <w:r w:rsidR="00064789" w:rsidRPr="00064789">
        <w:t xml:space="preserve">thresholds of either £20,000 per </w:t>
      </w:r>
      <w:r w:rsidR="00B36EBC" w:rsidRPr="00064789">
        <w:t>QALY or £30,000/QALY.</w:t>
      </w:r>
      <w:r w:rsidRPr="00064789">
        <w:t xml:space="preserve"> </w:t>
      </w:r>
      <w:r w:rsidR="008C662C">
        <w:t xml:space="preserve">We </w:t>
      </w:r>
      <w:r w:rsidRPr="00064789">
        <w:t>suggest that</w:t>
      </w:r>
      <w:r w:rsidR="00B36EBC" w:rsidRPr="00064789">
        <w:t xml:space="preserve"> if considering prescribing a newer OAC</w:t>
      </w:r>
      <w:r w:rsidRPr="00064789">
        <w:t>, it may be both clinically effective and cost effective to use TTE to help inform the decision</w:t>
      </w:r>
      <w:r w:rsidR="003B36C5">
        <w:t xml:space="preserve"> in more elderly patients</w:t>
      </w:r>
      <w:r w:rsidR="0031099C" w:rsidRPr="00064789">
        <w:t xml:space="preserve">. </w:t>
      </w:r>
    </w:p>
    <w:p w:rsidR="00D20CA0" w:rsidRDefault="00D20CA0">
      <w:pPr>
        <w:pStyle w:val="NormalWeb"/>
        <w:ind w:left="640" w:hanging="640"/>
      </w:pPr>
    </w:p>
    <w:p w:rsidR="00B54241" w:rsidRPr="00532F44" w:rsidRDefault="00B54241">
      <w:pPr>
        <w:pStyle w:val="NormalWeb"/>
        <w:ind w:left="640" w:hanging="640"/>
        <w:sectPr w:rsidR="00B54241" w:rsidRPr="00532F44" w:rsidSect="001C47C7">
          <w:footerReference w:type="default" r:id="rId9"/>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pPr>
      <w:r w:rsidRPr="00532F44">
        <w:lastRenderedPageBreak/>
        <w:t>References</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 </w:t>
      </w:r>
      <w:r w:rsidRPr="00331F79">
        <w:rPr>
          <w:rFonts w:ascii="Calibri" w:hAnsi="Calibri"/>
          <w:noProof/>
          <w:sz w:val="22"/>
        </w:rPr>
        <w:tab/>
        <w:t xml:space="preserve">Go AS, Hylek EM, Phillips KA, </w:t>
      </w:r>
      <w:r w:rsidRPr="00331F79">
        <w:rPr>
          <w:rFonts w:ascii="Calibri" w:hAnsi="Calibri"/>
          <w:i/>
          <w:iCs/>
          <w:noProof/>
          <w:sz w:val="22"/>
        </w:rPr>
        <w:t>et al.</w:t>
      </w:r>
      <w:r w:rsidRPr="00331F79">
        <w:rPr>
          <w:rFonts w:ascii="Calibri" w:hAnsi="Calibri"/>
          <w:noProof/>
          <w:sz w:val="22"/>
        </w:rPr>
        <w:t xml:space="preserve"> Prevalence of diagnosed atrial fibrillation in adults: national implications for rhythm management and stroke prevention: the AnTicoagulation and Risk Factors in Atrial Fibrillation (ATRIA) Study. </w:t>
      </w:r>
      <w:r w:rsidRPr="00331F79">
        <w:rPr>
          <w:rFonts w:ascii="Calibri" w:hAnsi="Calibri"/>
          <w:i/>
          <w:iCs/>
          <w:noProof/>
          <w:sz w:val="22"/>
        </w:rPr>
        <w:t>JAMA : the journal of the American Medical Association</w:t>
      </w:r>
      <w:r w:rsidRPr="00331F79">
        <w:rPr>
          <w:rFonts w:ascii="Calibri" w:hAnsi="Calibri"/>
          <w:noProof/>
          <w:sz w:val="22"/>
        </w:rPr>
        <w:t xml:space="preserve"> 2001;</w:t>
      </w:r>
      <w:r w:rsidRPr="00331F79">
        <w:rPr>
          <w:rFonts w:ascii="Calibri" w:hAnsi="Calibri"/>
          <w:b/>
          <w:bCs/>
          <w:noProof/>
          <w:sz w:val="22"/>
        </w:rPr>
        <w:t>285</w:t>
      </w:r>
      <w:r w:rsidRPr="00331F79">
        <w:rPr>
          <w:rFonts w:ascii="Calibri" w:hAnsi="Calibri"/>
          <w:noProof/>
          <w:sz w:val="22"/>
        </w:rPr>
        <w:t>:2370–5.</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 </w:t>
      </w:r>
      <w:r w:rsidRPr="00331F79">
        <w:rPr>
          <w:rFonts w:ascii="Calibri" w:hAnsi="Calibri"/>
          <w:noProof/>
          <w:sz w:val="22"/>
        </w:rPr>
        <w:tab/>
        <w:t xml:space="preserve">Rivaroxaban-once daily, oral, direct factor Xa inhibition compared with vitamin K antagonism for prevention of stroke and Embolism Trial in Atrial Fibrillation: rationale and design of the ROCKET AF study. </w:t>
      </w:r>
      <w:r w:rsidRPr="00331F79">
        <w:rPr>
          <w:rFonts w:ascii="Calibri" w:hAnsi="Calibri"/>
          <w:i/>
          <w:iCs/>
          <w:noProof/>
          <w:sz w:val="22"/>
        </w:rPr>
        <w:t>American heart journal</w:t>
      </w:r>
      <w:r w:rsidRPr="00331F79">
        <w:rPr>
          <w:rFonts w:ascii="Calibri" w:hAnsi="Calibri"/>
          <w:noProof/>
          <w:sz w:val="22"/>
        </w:rPr>
        <w:t xml:space="preserve"> 2010;</w:t>
      </w:r>
      <w:r w:rsidRPr="00331F79">
        <w:rPr>
          <w:rFonts w:ascii="Calibri" w:hAnsi="Calibri"/>
          <w:b/>
          <w:bCs/>
          <w:noProof/>
          <w:sz w:val="22"/>
        </w:rPr>
        <w:t>159</w:t>
      </w:r>
      <w:r w:rsidRPr="00331F79">
        <w:rPr>
          <w:rFonts w:ascii="Calibri" w:hAnsi="Calibri"/>
          <w:noProof/>
          <w:sz w:val="22"/>
        </w:rPr>
        <w:t>:340–347.e1.</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3 </w:t>
      </w:r>
      <w:r w:rsidRPr="00331F79">
        <w:rPr>
          <w:rFonts w:ascii="Calibri" w:hAnsi="Calibri"/>
          <w:noProof/>
          <w:sz w:val="22"/>
        </w:rPr>
        <w:tab/>
        <w:t xml:space="preserve">Camm AJ, Kirchhof P, Lip GY, </w:t>
      </w:r>
      <w:r w:rsidRPr="00331F79">
        <w:rPr>
          <w:rFonts w:ascii="Calibri" w:hAnsi="Calibri"/>
          <w:i/>
          <w:iCs/>
          <w:noProof/>
          <w:sz w:val="22"/>
        </w:rPr>
        <w:t>et al.</w:t>
      </w:r>
      <w:r w:rsidRPr="00331F79">
        <w:rPr>
          <w:rFonts w:ascii="Calibri" w:hAnsi="Calibri"/>
          <w:noProof/>
          <w:sz w:val="22"/>
        </w:rPr>
        <w:t xml:space="preserve"> Guidelines for the management of atrial fibrillation: the Task Force for the Management of Atrial Fibrillation of the European Society of Cardiology (ESC). </w:t>
      </w:r>
      <w:r w:rsidRPr="00331F79">
        <w:rPr>
          <w:rFonts w:ascii="Calibri" w:hAnsi="Calibri"/>
          <w:i/>
          <w:iCs/>
          <w:noProof/>
          <w:sz w:val="22"/>
        </w:rPr>
        <w:t>Eur Heart J</w:t>
      </w:r>
      <w:r w:rsidRPr="00331F79">
        <w:rPr>
          <w:rFonts w:ascii="Calibri" w:hAnsi="Calibri"/>
          <w:noProof/>
          <w:sz w:val="22"/>
        </w:rPr>
        <w:t xml:space="preserve"> 2010;</w:t>
      </w:r>
      <w:r w:rsidRPr="00331F79">
        <w:rPr>
          <w:rFonts w:ascii="Calibri" w:hAnsi="Calibri"/>
          <w:b/>
          <w:bCs/>
          <w:noProof/>
          <w:sz w:val="22"/>
        </w:rPr>
        <w:t>31</w:t>
      </w:r>
      <w:r w:rsidRPr="00331F79">
        <w:rPr>
          <w:rFonts w:ascii="Calibri" w:hAnsi="Calibri"/>
          <w:noProof/>
          <w:sz w:val="22"/>
        </w:rPr>
        <w:t>:2369–429.</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4 </w:t>
      </w:r>
      <w:r w:rsidRPr="00331F79">
        <w:rPr>
          <w:rFonts w:ascii="Calibri" w:hAnsi="Calibri"/>
          <w:noProof/>
          <w:sz w:val="22"/>
        </w:rPr>
        <w:tab/>
        <w:t xml:space="preserve">Camm AJ, Lip GYH, De Caterina R, </w:t>
      </w:r>
      <w:r w:rsidRPr="00331F79">
        <w:rPr>
          <w:rFonts w:ascii="Calibri" w:hAnsi="Calibri"/>
          <w:i/>
          <w:iCs/>
          <w:noProof/>
          <w:sz w:val="22"/>
        </w:rPr>
        <w:t>et al.</w:t>
      </w:r>
      <w:r w:rsidRPr="00331F79">
        <w:rPr>
          <w:rFonts w:ascii="Calibri" w:hAnsi="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331F79">
        <w:rPr>
          <w:rFonts w:ascii="Calibri" w:hAnsi="Calibri"/>
          <w:i/>
          <w:iCs/>
          <w:noProof/>
          <w:sz w:val="22"/>
        </w:rPr>
        <w:t>European heart journal</w:t>
      </w:r>
      <w:r w:rsidRPr="00331F79">
        <w:rPr>
          <w:rFonts w:ascii="Calibri" w:hAnsi="Calibri"/>
          <w:noProof/>
          <w:sz w:val="22"/>
        </w:rPr>
        <w:t xml:space="preserve"> Published Online First: 24 August 2012. doi:10.1093/eurheartj/ehs253</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5 </w:t>
      </w:r>
      <w:r w:rsidRPr="00331F79">
        <w:rPr>
          <w:rFonts w:ascii="Calibri" w:hAnsi="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331F79">
        <w:rPr>
          <w:rFonts w:ascii="Calibri" w:hAnsi="Calibri"/>
          <w:i/>
          <w:iCs/>
          <w:noProof/>
          <w:sz w:val="22"/>
        </w:rPr>
        <w:t>Ann Intern Med</w:t>
      </w:r>
      <w:r w:rsidRPr="00331F79">
        <w:rPr>
          <w:rFonts w:ascii="Calibri" w:hAnsi="Calibri"/>
          <w:noProof/>
          <w:sz w:val="22"/>
        </w:rPr>
        <w:t xml:space="preserve"> 1998;</w:t>
      </w:r>
      <w:r w:rsidRPr="00331F79">
        <w:rPr>
          <w:rFonts w:ascii="Calibri" w:hAnsi="Calibri"/>
          <w:b/>
          <w:bCs/>
          <w:noProof/>
          <w:sz w:val="22"/>
        </w:rPr>
        <w:t>128</w:t>
      </w:r>
      <w:r w:rsidRPr="00331F79">
        <w:rPr>
          <w:rFonts w:ascii="Calibri" w:hAnsi="Calibri"/>
          <w:noProof/>
          <w:sz w:val="22"/>
        </w:rPr>
        <w:t>:639–47.</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6 </w:t>
      </w:r>
      <w:r w:rsidRPr="00331F79">
        <w:rPr>
          <w:rFonts w:ascii="Calibri" w:hAnsi="Calibri"/>
          <w:noProof/>
          <w:sz w:val="22"/>
        </w:rPr>
        <w:tab/>
        <w:t xml:space="preserve">Providencia R, Botelho A, Trigo J, </w:t>
      </w:r>
      <w:r w:rsidRPr="00331F79">
        <w:rPr>
          <w:rFonts w:ascii="Calibri" w:hAnsi="Calibri"/>
          <w:i/>
          <w:iCs/>
          <w:noProof/>
          <w:sz w:val="22"/>
        </w:rPr>
        <w:t>et al.</w:t>
      </w:r>
      <w:r w:rsidRPr="00331F79">
        <w:rPr>
          <w:rFonts w:ascii="Calibri" w:hAnsi="Calibri"/>
          <w:noProof/>
          <w:sz w:val="22"/>
        </w:rPr>
        <w:t xml:space="preserve"> Possible refinement of clinical thromboembolism assessment in patients with atrial fibrillation using echocardiographic parameters. </w:t>
      </w:r>
      <w:r w:rsidRPr="00331F79">
        <w:rPr>
          <w:rFonts w:ascii="Calibri" w:hAnsi="Calibri"/>
          <w:i/>
          <w:iCs/>
          <w:noProof/>
          <w:sz w:val="22"/>
        </w:rPr>
        <w:t>Europace</w:t>
      </w:r>
      <w:r w:rsidRPr="00331F79">
        <w:rPr>
          <w:rFonts w:ascii="Calibri" w:hAnsi="Calibri"/>
          <w:noProof/>
          <w:sz w:val="22"/>
        </w:rPr>
        <w:t xml:space="preserve"> 2012;</w:t>
      </w:r>
      <w:r w:rsidRPr="00331F79">
        <w:rPr>
          <w:rFonts w:ascii="Calibri" w:hAnsi="Calibri"/>
          <w:b/>
          <w:bCs/>
          <w:noProof/>
          <w:sz w:val="22"/>
        </w:rPr>
        <w:t>14</w:t>
      </w:r>
      <w:r w:rsidRPr="00331F79">
        <w:rPr>
          <w:rFonts w:ascii="Calibri" w:hAnsi="Calibri"/>
          <w:noProof/>
          <w:sz w:val="22"/>
        </w:rPr>
        <w:t>:36–45.</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7 </w:t>
      </w:r>
      <w:r w:rsidRPr="00331F79">
        <w:rPr>
          <w:rFonts w:ascii="Calibri" w:hAnsi="Calibri"/>
          <w:noProof/>
          <w:sz w:val="22"/>
        </w:rPr>
        <w:tab/>
        <w:t>NICE. Guide to the methods of technology appraisal. 2008.http://www.nice.org.uk/media/B52/A7/TAMethodsGuideUpdatedJune2008.pdf</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8 </w:t>
      </w:r>
      <w:r w:rsidRPr="00331F79">
        <w:rPr>
          <w:rFonts w:ascii="Calibri" w:hAnsi="Calibri"/>
          <w:noProof/>
          <w:sz w:val="22"/>
        </w:rPr>
        <w:tab/>
        <w:t xml:space="preserve">Pliskin JS, Shepard DS, Weinstein MC. Utility Functions for Life Years and Health Status. </w:t>
      </w:r>
      <w:r w:rsidRPr="00331F79">
        <w:rPr>
          <w:rFonts w:ascii="Calibri" w:hAnsi="Calibri"/>
          <w:i/>
          <w:iCs/>
          <w:noProof/>
          <w:sz w:val="22"/>
        </w:rPr>
        <w:t>Operations Research</w:t>
      </w:r>
      <w:r w:rsidRPr="00331F79">
        <w:rPr>
          <w:rFonts w:ascii="Calibri" w:hAnsi="Calibri"/>
          <w:noProof/>
          <w:sz w:val="22"/>
        </w:rPr>
        <w:t xml:space="preserve"> 1980;</w:t>
      </w:r>
      <w:r w:rsidRPr="00331F79">
        <w:rPr>
          <w:rFonts w:ascii="Calibri" w:hAnsi="Calibri"/>
          <w:b/>
          <w:bCs/>
          <w:noProof/>
          <w:sz w:val="22"/>
        </w:rPr>
        <w:t>28</w:t>
      </w:r>
      <w:r w:rsidRPr="00331F79">
        <w:rPr>
          <w:rFonts w:ascii="Calibri" w:hAnsi="Calibri"/>
          <w:noProof/>
          <w:sz w:val="22"/>
        </w:rPr>
        <w:t>:206–24.</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9 </w:t>
      </w:r>
      <w:r w:rsidRPr="00331F79">
        <w:rPr>
          <w:rFonts w:ascii="Calibri" w:hAnsi="Calibri"/>
          <w:noProof/>
          <w:sz w:val="22"/>
        </w:rPr>
        <w:tab/>
        <w:t>NICE. Guide to the methods of technology appraisal. NICE methods guide. 2008;:80.</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10 </w:t>
      </w:r>
      <w:r w:rsidRPr="00331F79">
        <w:rPr>
          <w:rFonts w:ascii="Calibri" w:hAnsi="Calibri"/>
          <w:noProof/>
          <w:sz w:val="22"/>
        </w:rPr>
        <w:tab/>
        <w:t>NICE. Rivaroxaban for the prevention of stroke and systemic embolism in people with atrial fibrillation. NICE technology appraisal guidance 256. 2012.http://www.nice.org.uk/nicemedia/live/13746/59295/59295.pdf (accessed 28 Sep2012).</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11 </w:t>
      </w:r>
      <w:r w:rsidRPr="00331F79">
        <w:rPr>
          <w:rFonts w:ascii="Calibri" w:hAnsi="Calibri"/>
          <w:noProof/>
          <w:sz w:val="22"/>
        </w:rPr>
        <w:tab/>
        <w:t>NICE. Dabigatran etexilate for the prevention of stroke and systemic embolism in atrial fibrillation. NICE technology appraisal guidance 249. 2012.http://www.nice.org.uk/nicemedia/live/13677/58470/58470.pdf (accessed 28 Sep2012).</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12 </w:t>
      </w:r>
      <w:r w:rsidRPr="00331F79">
        <w:rPr>
          <w:rFonts w:ascii="Calibri" w:hAnsi="Calibri"/>
          <w:noProof/>
          <w:sz w:val="22"/>
        </w:rPr>
        <w:tab/>
        <w:t xml:space="preserve">Simpson EL, Stevenson MD, Scope A, </w:t>
      </w:r>
      <w:r w:rsidRPr="00331F79">
        <w:rPr>
          <w:rFonts w:ascii="Calibri" w:hAnsi="Calibri"/>
          <w:i/>
          <w:iCs/>
          <w:noProof/>
          <w:sz w:val="22"/>
        </w:rPr>
        <w:t>et al.</w:t>
      </w:r>
      <w:r w:rsidRPr="00331F79">
        <w:rPr>
          <w:rFonts w:ascii="Calibri" w:hAnsi="Calibri"/>
          <w:noProof/>
          <w:sz w:val="22"/>
        </w:rPr>
        <w:t xml:space="preserve"> Echocardiography in newly diagnosed atrial fibrillation patients: a systematic review and economic evaluation. 2012. </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lastRenderedPageBreak/>
        <w:t xml:space="preserve">13 </w:t>
      </w:r>
      <w:r w:rsidRPr="00331F79">
        <w:rPr>
          <w:rFonts w:ascii="Calibri" w:hAnsi="Calibri"/>
          <w:noProof/>
          <w:sz w:val="22"/>
        </w:rPr>
        <w:tab/>
        <w:t xml:space="preserve">PVS TM-STF on. Medical aspects of the persistent vegetative state: second of two parts. </w:t>
      </w:r>
      <w:r w:rsidRPr="00331F79">
        <w:rPr>
          <w:rFonts w:ascii="Calibri" w:hAnsi="Calibri"/>
          <w:i/>
          <w:iCs/>
          <w:noProof/>
          <w:sz w:val="22"/>
        </w:rPr>
        <w:t>The New England Journal of Medicine</w:t>
      </w:r>
      <w:r w:rsidRPr="00331F79">
        <w:rPr>
          <w:rFonts w:ascii="Calibri" w:hAnsi="Calibri"/>
          <w:noProof/>
          <w:sz w:val="22"/>
        </w:rPr>
        <w:t xml:space="preserve"> 1994;</w:t>
      </w:r>
      <w:r w:rsidRPr="00331F79">
        <w:rPr>
          <w:rFonts w:ascii="Calibri" w:hAnsi="Calibri"/>
          <w:b/>
          <w:bCs/>
          <w:noProof/>
          <w:sz w:val="22"/>
        </w:rPr>
        <w:t>330</w:t>
      </w:r>
      <w:r w:rsidRPr="00331F79">
        <w:rPr>
          <w:rFonts w:ascii="Calibri" w:hAnsi="Calibri"/>
          <w:noProof/>
          <w:sz w:val="22"/>
        </w:rPr>
        <w:t>.http://www.nejm.org/doi/full/10.1056/NEJM199406023302206</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14 </w:t>
      </w:r>
      <w:r w:rsidRPr="00331F79">
        <w:rPr>
          <w:rFonts w:ascii="Calibri" w:hAnsi="Calibri"/>
          <w:noProof/>
          <w:sz w:val="22"/>
        </w:rPr>
        <w:tab/>
        <w:t xml:space="preserve">Eikelboom JW, Wallentin L, Connolly SJ, </w:t>
      </w:r>
      <w:r w:rsidRPr="00331F79">
        <w:rPr>
          <w:rFonts w:ascii="Calibri" w:hAnsi="Calibri"/>
          <w:i/>
          <w:iCs/>
          <w:noProof/>
          <w:sz w:val="22"/>
        </w:rPr>
        <w:t>et al.</w:t>
      </w:r>
      <w:r w:rsidRPr="00331F79">
        <w:rPr>
          <w:rFonts w:ascii="Calibri" w:hAnsi="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331F79">
        <w:rPr>
          <w:rFonts w:ascii="Calibri" w:hAnsi="Calibri"/>
          <w:i/>
          <w:iCs/>
          <w:noProof/>
          <w:sz w:val="22"/>
        </w:rPr>
        <w:t>Circulation</w:t>
      </w:r>
      <w:r w:rsidRPr="00331F79">
        <w:rPr>
          <w:rFonts w:ascii="Calibri" w:hAnsi="Calibri"/>
          <w:noProof/>
          <w:sz w:val="22"/>
        </w:rPr>
        <w:t xml:space="preserve"> 2011;</w:t>
      </w:r>
      <w:r w:rsidRPr="00331F79">
        <w:rPr>
          <w:rFonts w:ascii="Calibri" w:hAnsi="Calibri"/>
          <w:b/>
          <w:bCs/>
          <w:noProof/>
          <w:sz w:val="22"/>
        </w:rPr>
        <w:t>123</w:t>
      </w:r>
      <w:r w:rsidRPr="00331F79">
        <w:rPr>
          <w:rFonts w:ascii="Calibri" w:hAnsi="Calibri"/>
          <w:noProof/>
          <w:sz w:val="22"/>
        </w:rPr>
        <w:t>:2363–72.</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15 </w:t>
      </w:r>
      <w:r w:rsidRPr="00331F79">
        <w:rPr>
          <w:rFonts w:ascii="Calibri" w:hAnsi="Calibri"/>
          <w:noProof/>
          <w:sz w:val="22"/>
        </w:rPr>
        <w:tab/>
        <w:t xml:space="preserve">Drummond MF, Schulpher MJ, Torrance GW, </w:t>
      </w:r>
      <w:r w:rsidRPr="00331F79">
        <w:rPr>
          <w:rFonts w:ascii="Calibri" w:hAnsi="Calibri"/>
          <w:i/>
          <w:iCs/>
          <w:noProof/>
          <w:sz w:val="22"/>
        </w:rPr>
        <w:t>et al.</w:t>
      </w:r>
      <w:r w:rsidRPr="00331F79">
        <w:rPr>
          <w:rFonts w:ascii="Calibri" w:hAnsi="Calibri"/>
          <w:noProof/>
          <w:sz w:val="22"/>
        </w:rPr>
        <w:t xml:space="preserve"> </w:t>
      </w:r>
      <w:r w:rsidRPr="00331F79">
        <w:rPr>
          <w:rFonts w:ascii="Calibri" w:hAnsi="Calibri"/>
          <w:i/>
          <w:iCs/>
          <w:noProof/>
          <w:sz w:val="22"/>
        </w:rPr>
        <w:t>Methods for the Economic Evaluation of Health Care Programmes</w:t>
      </w:r>
      <w:r w:rsidRPr="00331F79">
        <w:rPr>
          <w:rFonts w:ascii="Calibri" w:hAnsi="Calibri"/>
          <w:noProof/>
          <w:sz w:val="22"/>
        </w:rPr>
        <w:t xml:space="preserve">. Third Edit. Oxford: : OUP 2005. </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16 </w:t>
      </w:r>
      <w:r w:rsidRPr="00331F79">
        <w:rPr>
          <w:rFonts w:ascii="Calibri" w:hAnsi="Calibri"/>
          <w:noProof/>
          <w:sz w:val="22"/>
        </w:rPr>
        <w:tab/>
        <w:t xml:space="preserve">Lip GY, Nieuwlaat R, Pisters R, </w:t>
      </w:r>
      <w:r w:rsidRPr="00331F79">
        <w:rPr>
          <w:rFonts w:ascii="Calibri" w:hAnsi="Calibri"/>
          <w:i/>
          <w:iCs/>
          <w:noProof/>
          <w:sz w:val="22"/>
        </w:rPr>
        <w:t>et al.</w:t>
      </w:r>
      <w:r w:rsidRPr="00331F79">
        <w:rPr>
          <w:rFonts w:ascii="Calibri" w:hAnsi="Calibri"/>
          <w:noProof/>
          <w:sz w:val="22"/>
        </w:rPr>
        <w:t xml:space="preserve"> Refining clinical risk stratification for predicting stroke and thromboembolism in atrial fibrillation using a novel risk factor-based approach: the euro heart survey on atrial fibrillation. </w:t>
      </w:r>
      <w:r w:rsidRPr="00331F79">
        <w:rPr>
          <w:rFonts w:ascii="Calibri" w:hAnsi="Calibri"/>
          <w:i/>
          <w:iCs/>
          <w:noProof/>
          <w:sz w:val="22"/>
        </w:rPr>
        <w:t>Chest</w:t>
      </w:r>
      <w:r w:rsidRPr="00331F79">
        <w:rPr>
          <w:rFonts w:ascii="Calibri" w:hAnsi="Calibri"/>
          <w:noProof/>
          <w:sz w:val="22"/>
        </w:rPr>
        <w:t xml:space="preserve"> 2010;</w:t>
      </w:r>
      <w:r w:rsidRPr="00331F79">
        <w:rPr>
          <w:rFonts w:ascii="Calibri" w:hAnsi="Calibri"/>
          <w:b/>
          <w:bCs/>
          <w:noProof/>
          <w:sz w:val="22"/>
        </w:rPr>
        <w:t>137</w:t>
      </w:r>
      <w:r w:rsidRPr="00331F79">
        <w:rPr>
          <w:rFonts w:ascii="Calibri" w:hAnsi="Calibri"/>
          <w:noProof/>
          <w:sz w:val="22"/>
        </w:rPr>
        <w:t>:263–72.</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17 </w:t>
      </w:r>
      <w:r w:rsidRPr="00331F79">
        <w:rPr>
          <w:rFonts w:ascii="Calibri" w:hAnsi="Calibri"/>
          <w:noProof/>
          <w:sz w:val="22"/>
        </w:rPr>
        <w:tab/>
        <w:t xml:space="preserve">Olesen JB, Lip GYH, Hansen ML, </w:t>
      </w:r>
      <w:r w:rsidRPr="00331F79">
        <w:rPr>
          <w:rFonts w:ascii="Calibri" w:hAnsi="Calibri"/>
          <w:i/>
          <w:iCs/>
          <w:noProof/>
          <w:sz w:val="22"/>
        </w:rPr>
        <w:t>et al.</w:t>
      </w:r>
      <w:r w:rsidRPr="00331F79">
        <w:rPr>
          <w:rFonts w:ascii="Calibri" w:hAnsi="Calibri"/>
          <w:noProof/>
          <w:sz w:val="22"/>
        </w:rPr>
        <w:t xml:space="preserve"> Validation of risk stratification schemes for predicting stroke and thromboembolism in patients with atrial fibrillation: nationwide cohort study. </w:t>
      </w:r>
      <w:r w:rsidRPr="00331F79">
        <w:rPr>
          <w:rFonts w:ascii="Calibri" w:hAnsi="Calibri"/>
          <w:i/>
          <w:iCs/>
          <w:noProof/>
          <w:sz w:val="22"/>
        </w:rPr>
        <w:t>BMJ</w:t>
      </w:r>
      <w:r w:rsidRPr="00331F79">
        <w:rPr>
          <w:rFonts w:ascii="Calibri" w:hAnsi="Calibri"/>
          <w:noProof/>
          <w:sz w:val="22"/>
        </w:rPr>
        <w:t xml:space="preserve"> 2011;</w:t>
      </w:r>
      <w:r w:rsidRPr="00331F79">
        <w:rPr>
          <w:rFonts w:ascii="Calibri" w:hAnsi="Calibri"/>
          <w:b/>
          <w:bCs/>
          <w:noProof/>
          <w:sz w:val="22"/>
        </w:rPr>
        <w:t>342</w:t>
      </w:r>
      <w:r w:rsidRPr="00331F79">
        <w:rPr>
          <w:rFonts w:ascii="Calibri" w:hAnsi="Calibri"/>
          <w:noProof/>
          <w:sz w:val="22"/>
        </w:rPr>
        <w:t>:d124–d124.</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18 </w:t>
      </w:r>
      <w:r w:rsidRPr="00331F79">
        <w:rPr>
          <w:rFonts w:ascii="Calibri" w:hAnsi="Calibri"/>
          <w:noProof/>
          <w:sz w:val="22"/>
        </w:rPr>
        <w:tab/>
        <w:t>ONS. Interim Life Tables. 2011;</w:t>
      </w:r>
      <w:r w:rsidRPr="00331F79">
        <w:rPr>
          <w:rFonts w:ascii="Calibri" w:hAnsi="Calibri"/>
          <w:b/>
          <w:bCs/>
          <w:noProof/>
          <w:sz w:val="22"/>
        </w:rPr>
        <w:t>2012</w:t>
      </w:r>
      <w:r w:rsidRPr="00331F79">
        <w:rPr>
          <w:rFonts w:ascii="Calibri" w:hAnsi="Calibri"/>
          <w:noProof/>
          <w:sz w:val="22"/>
        </w:rPr>
        <w:t>.http://www.ons.gov.uk/ons/taxonomy/index.html?nscl=Interim+Life+Tables</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19 </w:t>
      </w:r>
      <w:r w:rsidRPr="00331F79">
        <w:rPr>
          <w:rFonts w:ascii="Calibri" w:hAnsi="Calibri"/>
          <w:noProof/>
          <w:sz w:val="22"/>
        </w:rPr>
        <w:tab/>
        <w:t>DoH. NHS Reference Costs 2009-2010. 2011;</w:t>
      </w:r>
      <w:r w:rsidRPr="00331F79">
        <w:rPr>
          <w:rFonts w:ascii="Calibri" w:hAnsi="Calibri"/>
          <w:b/>
          <w:bCs/>
          <w:noProof/>
          <w:sz w:val="22"/>
        </w:rPr>
        <w:t>2012</w:t>
      </w:r>
      <w:r w:rsidRPr="00331F79">
        <w:rPr>
          <w:rFonts w:ascii="Calibri" w:hAnsi="Calibri"/>
          <w:noProof/>
          <w:sz w:val="22"/>
        </w:rPr>
        <w:t>.http://www.dh.gov.uk/en/Publicationsandstatistics/Publications/PublicationsPolicyAndGuidance/DH_123459</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20 </w:t>
      </w:r>
      <w:r w:rsidRPr="00331F79">
        <w:rPr>
          <w:rFonts w:ascii="Calibri" w:hAnsi="Calibri"/>
          <w:noProof/>
          <w:sz w:val="22"/>
        </w:rPr>
        <w:tab/>
        <w:t xml:space="preserve">Lip GYH, Frison L, Halperin JL, </w:t>
      </w:r>
      <w:r w:rsidRPr="00331F79">
        <w:rPr>
          <w:rFonts w:ascii="Calibri" w:hAnsi="Calibri"/>
          <w:i/>
          <w:iCs/>
          <w:noProof/>
          <w:sz w:val="22"/>
        </w:rPr>
        <w:t>et al.</w:t>
      </w:r>
      <w:r w:rsidRPr="00331F79">
        <w:rPr>
          <w:rFonts w:ascii="Calibri" w:hAnsi="Calibri"/>
          <w:noProof/>
          <w:sz w:val="22"/>
        </w:rPr>
        <w:t xml:space="preserve"> Comparative validation of a novel risk score for predicting bleeding risk in anticoagulated patients with atrial fibrillation: the HAS-BLED (Hypertension, Abnormal Renal/Liver Function, Stroke, Bleeding History or Predisposition, Labile INR, Elderly, Drug. </w:t>
      </w:r>
      <w:r w:rsidRPr="00331F79">
        <w:rPr>
          <w:rFonts w:ascii="Calibri" w:hAnsi="Calibri"/>
          <w:i/>
          <w:iCs/>
          <w:noProof/>
          <w:sz w:val="22"/>
        </w:rPr>
        <w:t>Journal of the American College of Cardiology</w:t>
      </w:r>
      <w:r w:rsidRPr="00331F79">
        <w:rPr>
          <w:rFonts w:ascii="Calibri" w:hAnsi="Calibri"/>
          <w:noProof/>
          <w:sz w:val="22"/>
        </w:rPr>
        <w:t xml:space="preserve"> 2011;</w:t>
      </w:r>
      <w:r w:rsidRPr="00331F79">
        <w:rPr>
          <w:rFonts w:ascii="Calibri" w:hAnsi="Calibri"/>
          <w:b/>
          <w:bCs/>
          <w:noProof/>
          <w:sz w:val="22"/>
        </w:rPr>
        <w:t>57</w:t>
      </w:r>
      <w:r w:rsidRPr="00331F79">
        <w:rPr>
          <w:rFonts w:ascii="Calibri" w:hAnsi="Calibri"/>
          <w:noProof/>
          <w:sz w:val="22"/>
        </w:rPr>
        <w:t>:173–80.</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21 </w:t>
      </w:r>
      <w:r w:rsidRPr="00331F79">
        <w:rPr>
          <w:rFonts w:ascii="Calibri" w:hAnsi="Calibri"/>
          <w:noProof/>
          <w:sz w:val="22"/>
        </w:rPr>
        <w:tab/>
        <w:t xml:space="preserve">Friberg L, Rosenqvist M, Lip GYH. Evaluation of risk stratification schemes for ischaemic stroke and bleeding in 182 678 patients with atrial fibrillation: the Swedish Atrial Fibrillation cohort study. </w:t>
      </w:r>
      <w:r w:rsidRPr="00331F79">
        <w:rPr>
          <w:rFonts w:ascii="Calibri" w:hAnsi="Calibri"/>
          <w:i/>
          <w:iCs/>
          <w:noProof/>
          <w:sz w:val="22"/>
        </w:rPr>
        <w:t>European heart journal</w:t>
      </w:r>
      <w:r w:rsidRPr="00331F79">
        <w:rPr>
          <w:rFonts w:ascii="Calibri" w:hAnsi="Calibri"/>
          <w:noProof/>
          <w:sz w:val="22"/>
        </w:rPr>
        <w:t xml:space="preserve"> Published Online First: 13 January 2012. doi:10.1093/eurheartj/ehr488</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22 </w:t>
      </w:r>
      <w:r w:rsidRPr="00331F79">
        <w:rPr>
          <w:rFonts w:ascii="Calibri" w:hAnsi="Calibri"/>
          <w:noProof/>
          <w:sz w:val="22"/>
        </w:rPr>
        <w:tab/>
        <w:t xml:space="preserve">Lip GYH, Edwards SJ. Stroke prevention with aspirin, warfarin and ximelagatran in patients with non-valvular atrial fibrillation: a systematic review and meta-analysis. </w:t>
      </w:r>
      <w:r w:rsidRPr="00331F79">
        <w:rPr>
          <w:rFonts w:ascii="Calibri" w:hAnsi="Calibri"/>
          <w:i/>
          <w:iCs/>
          <w:noProof/>
          <w:sz w:val="22"/>
        </w:rPr>
        <w:t>Thrombosis research</w:t>
      </w:r>
      <w:r w:rsidRPr="00331F79">
        <w:rPr>
          <w:rFonts w:ascii="Calibri" w:hAnsi="Calibri"/>
          <w:noProof/>
          <w:sz w:val="22"/>
        </w:rPr>
        <w:t xml:space="preserve"> 2006;</w:t>
      </w:r>
      <w:r w:rsidRPr="00331F79">
        <w:rPr>
          <w:rFonts w:ascii="Calibri" w:hAnsi="Calibri"/>
          <w:b/>
          <w:bCs/>
          <w:noProof/>
          <w:sz w:val="22"/>
        </w:rPr>
        <w:t>118</w:t>
      </w:r>
      <w:r w:rsidRPr="00331F79">
        <w:rPr>
          <w:rFonts w:ascii="Calibri" w:hAnsi="Calibri"/>
          <w:noProof/>
          <w:sz w:val="22"/>
        </w:rPr>
        <w:t>:321–33.</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23 </w:t>
      </w:r>
      <w:r w:rsidRPr="00331F79">
        <w:rPr>
          <w:rFonts w:ascii="Calibri" w:hAnsi="Calibri"/>
          <w:noProof/>
          <w:sz w:val="22"/>
        </w:rPr>
        <w:tab/>
        <w:t xml:space="preserve">Patel MR, Mahaffey KW, Garg J, </w:t>
      </w:r>
      <w:r w:rsidRPr="00331F79">
        <w:rPr>
          <w:rFonts w:ascii="Calibri" w:hAnsi="Calibri"/>
          <w:i/>
          <w:iCs/>
          <w:noProof/>
          <w:sz w:val="22"/>
        </w:rPr>
        <w:t>et al.</w:t>
      </w:r>
      <w:r w:rsidRPr="00331F79">
        <w:rPr>
          <w:rFonts w:ascii="Calibri" w:hAnsi="Calibri"/>
          <w:noProof/>
          <w:sz w:val="22"/>
        </w:rPr>
        <w:t xml:space="preserve"> Rivaroxaban versus Warfarin in Nonvalvular Atrial Fibrillation. </w:t>
      </w:r>
      <w:r w:rsidRPr="00331F79">
        <w:rPr>
          <w:rFonts w:ascii="Calibri" w:hAnsi="Calibri"/>
          <w:i/>
          <w:iCs/>
          <w:noProof/>
          <w:sz w:val="22"/>
        </w:rPr>
        <w:t>New England Journal of Medicine</w:t>
      </w:r>
      <w:r w:rsidRPr="00331F79">
        <w:rPr>
          <w:rFonts w:ascii="Calibri" w:hAnsi="Calibri"/>
          <w:noProof/>
          <w:sz w:val="22"/>
        </w:rPr>
        <w:t xml:space="preserve"> 2011;</w:t>
      </w:r>
      <w:r w:rsidRPr="00331F79">
        <w:rPr>
          <w:rFonts w:ascii="Calibri" w:hAnsi="Calibri"/>
          <w:b/>
          <w:bCs/>
          <w:noProof/>
          <w:sz w:val="22"/>
        </w:rPr>
        <w:t>365</w:t>
      </w:r>
      <w:r w:rsidRPr="00331F79">
        <w:rPr>
          <w:rFonts w:ascii="Calibri" w:hAnsi="Calibri"/>
          <w:noProof/>
          <w:sz w:val="22"/>
        </w:rPr>
        <w:t>:883–91.</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24 </w:t>
      </w:r>
      <w:r w:rsidRPr="00331F79">
        <w:rPr>
          <w:rFonts w:ascii="Calibri" w:hAnsi="Calibri"/>
          <w:noProof/>
          <w:sz w:val="22"/>
        </w:rPr>
        <w:tab/>
        <w:t xml:space="preserve">Rivero-Arias O, Ouellet M, Gray A, </w:t>
      </w:r>
      <w:r w:rsidRPr="00331F79">
        <w:rPr>
          <w:rFonts w:ascii="Calibri" w:hAnsi="Calibri"/>
          <w:i/>
          <w:iCs/>
          <w:noProof/>
          <w:sz w:val="22"/>
        </w:rPr>
        <w:t>et al.</w:t>
      </w:r>
      <w:r w:rsidRPr="00331F79">
        <w:rPr>
          <w:rFonts w:ascii="Calibri" w:hAnsi="Calibri"/>
          <w:noProof/>
          <w:sz w:val="22"/>
        </w:rPr>
        <w:t xml:space="preserve"> Mapping the Modified Rankin Scale (mRS) Measurement into the Generic EuroQol (EQ-5D) Health Outcome. </w:t>
      </w:r>
      <w:r w:rsidRPr="00331F79">
        <w:rPr>
          <w:rFonts w:ascii="Calibri" w:hAnsi="Calibri"/>
          <w:i/>
          <w:iCs/>
          <w:noProof/>
          <w:sz w:val="22"/>
        </w:rPr>
        <w:t>Medical Decision Making</w:t>
      </w:r>
      <w:r w:rsidRPr="00331F79">
        <w:rPr>
          <w:rFonts w:ascii="Calibri" w:hAnsi="Calibri"/>
          <w:noProof/>
          <w:sz w:val="22"/>
        </w:rPr>
        <w:t xml:space="preserve"> 2010;</w:t>
      </w:r>
      <w:r w:rsidRPr="00331F79">
        <w:rPr>
          <w:rFonts w:ascii="Calibri" w:hAnsi="Calibri"/>
          <w:b/>
          <w:bCs/>
          <w:noProof/>
          <w:sz w:val="22"/>
        </w:rPr>
        <w:t>30</w:t>
      </w:r>
      <w:r w:rsidRPr="00331F79">
        <w:rPr>
          <w:rFonts w:ascii="Calibri" w:hAnsi="Calibri"/>
          <w:noProof/>
          <w:sz w:val="22"/>
        </w:rPr>
        <w:t>:341–54.</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25 </w:t>
      </w:r>
      <w:r w:rsidRPr="00331F79">
        <w:rPr>
          <w:rFonts w:ascii="Calibri" w:hAnsi="Calibri"/>
          <w:noProof/>
          <w:sz w:val="22"/>
        </w:rPr>
        <w:tab/>
        <w:t xml:space="preserve">Simpson EL, Stevenson MD, Rawdin A, </w:t>
      </w:r>
      <w:r w:rsidRPr="00331F79">
        <w:rPr>
          <w:rFonts w:ascii="Calibri" w:hAnsi="Calibri"/>
          <w:i/>
          <w:iCs/>
          <w:noProof/>
          <w:sz w:val="22"/>
        </w:rPr>
        <w:t>et al.</w:t>
      </w:r>
      <w:r w:rsidRPr="00331F79">
        <w:rPr>
          <w:rFonts w:ascii="Calibri" w:hAnsi="Calibri"/>
          <w:noProof/>
          <w:sz w:val="22"/>
        </w:rPr>
        <w:t xml:space="preserve"> Thrombophilia testing in people with venous thromboembolism: systematic review and cost-effectiveness analysis. </w:t>
      </w:r>
      <w:r w:rsidRPr="00331F79">
        <w:rPr>
          <w:rFonts w:ascii="Calibri" w:hAnsi="Calibri"/>
          <w:i/>
          <w:iCs/>
          <w:noProof/>
          <w:sz w:val="22"/>
        </w:rPr>
        <w:t>Health Technology Assessment</w:t>
      </w:r>
      <w:r w:rsidRPr="00331F79">
        <w:rPr>
          <w:rFonts w:ascii="Calibri" w:hAnsi="Calibri"/>
          <w:noProof/>
          <w:sz w:val="22"/>
        </w:rPr>
        <w:t xml:space="preserve"> 2009;</w:t>
      </w:r>
      <w:r w:rsidRPr="00331F79">
        <w:rPr>
          <w:rFonts w:ascii="Calibri" w:hAnsi="Calibri"/>
          <w:b/>
          <w:bCs/>
          <w:noProof/>
          <w:sz w:val="22"/>
        </w:rPr>
        <w:t>13</w:t>
      </w:r>
      <w:r w:rsidRPr="00331F79">
        <w:rPr>
          <w:rFonts w:ascii="Calibri" w:hAnsi="Calibri"/>
          <w:noProof/>
          <w:sz w:val="22"/>
        </w:rPr>
        <w:t>. doi:10.3310/hta13020</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lastRenderedPageBreak/>
        <w:t xml:space="preserve">26 </w:t>
      </w:r>
      <w:r w:rsidRPr="00331F79">
        <w:rPr>
          <w:rFonts w:ascii="Calibri" w:hAnsi="Calibri"/>
          <w:noProof/>
          <w:sz w:val="22"/>
        </w:rPr>
        <w:tab/>
        <w:t xml:space="preserve">Ara R, Brazier JE. Populating an economic model with health state utility values: moving toward better practice. </w:t>
      </w:r>
      <w:r w:rsidRPr="00331F79">
        <w:rPr>
          <w:rFonts w:ascii="Calibri" w:hAnsi="Calibri"/>
          <w:i/>
          <w:iCs/>
          <w:noProof/>
          <w:sz w:val="22"/>
        </w:rPr>
        <w:t>Value in health : the journal of the International Society for Pharmacoeconomics and Outcomes Research</w:t>
      </w:r>
      <w:r w:rsidRPr="00331F79">
        <w:rPr>
          <w:rFonts w:ascii="Calibri" w:hAnsi="Calibri"/>
          <w:noProof/>
          <w:sz w:val="22"/>
        </w:rPr>
        <w:t xml:space="preserve"> 2010;</w:t>
      </w:r>
      <w:r w:rsidRPr="00331F79">
        <w:rPr>
          <w:rFonts w:ascii="Calibri" w:hAnsi="Calibri"/>
          <w:b/>
          <w:bCs/>
          <w:noProof/>
          <w:sz w:val="22"/>
        </w:rPr>
        <w:t>13</w:t>
      </w:r>
      <w:r w:rsidRPr="00331F79">
        <w:rPr>
          <w:rFonts w:ascii="Calibri" w:hAnsi="Calibri"/>
          <w:noProof/>
          <w:sz w:val="22"/>
        </w:rPr>
        <w:t>:509–18.</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27 </w:t>
      </w:r>
      <w:r w:rsidRPr="00331F79">
        <w:rPr>
          <w:rFonts w:ascii="Calibri" w:hAnsi="Calibri"/>
          <w:noProof/>
          <w:sz w:val="22"/>
        </w:rPr>
        <w:tab/>
        <w:t>NICE. Dabigatran etexilate for the prevention of stroke and systemic embolism in atrial fibrillation: Final appraisal determination. 2011;</w:t>
      </w:r>
      <w:r w:rsidRPr="00331F79">
        <w:rPr>
          <w:rFonts w:ascii="Calibri" w:hAnsi="Calibri"/>
          <w:b/>
          <w:bCs/>
          <w:noProof/>
          <w:sz w:val="22"/>
        </w:rPr>
        <w:t>2012</w:t>
      </w:r>
      <w:r w:rsidRPr="00331F79">
        <w:rPr>
          <w:rFonts w:ascii="Calibri" w:hAnsi="Calibri"/>
          <w:noProof/>
          <w:sz w:val="22"/>
        </w:rPr>
        <w:t>.http://www.nice.org.uk/nicemedia/live/12225/56899/56899.pdf</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28 </w:t>
      </w:r>
      <w:r w:rsidRPr="00331F79">
        <w:rPr>
          <w:rFonts w:ascii="Calibri" w:hAnsi="Calibri"/>
          <w:noProof/>
          <w:sz w:val="22"/>
        </w:rPr>
        <w:tab/>
        <w:t>Group LND. A briefing paper on Dabigatran and Rivaroxaban: What we know so far... 2012;</w:t>
      </w:r>
      <w:r w:rsidRPr="00331F79">
        <w:rPr>
          <w:rFonts w:ascii="Calibri" w:hAnsi="Calibri"/>
          <w:b/>
          <w:bCs/>
          <w:noProof/>
          <w:sz w:val="22"/>
        </w:rPr>
        <w:t>2012</w:t>
      </w:r>
      <w:r w:rsidRPr="00331F79">
        <w:rPr>
          <w:rFonts w:ascii="Calibri" w:hAnsi="Calibri"/>
          <w:noProof/>
          <w:sz w:val="22"/>
        </w:rPr>
        <w:t>.http://www.nelm.nhs.uk/en/NeLM-Area/Evidence/Drug-Specific-Reviews/A-briefing-paper-on-dabigatran-and-rivaroxaban/</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29 </w:t>
      </w:r>
      <w:r w:rsidRPr="00331F79">
        <w:rPr>
          <w:rFonts w:ascii="Calibri" w:hAnsi="Calibri"/>
          <w:noProof/>
          <w:sz w:val="22"/>
        </w:rPr>
        <w:tab/>
        <w:t>BNF. Warfarin. 2011;</w:t>
      </w:r>
      <w:r w:rsidRPr="00331F79">
        <w:rPr>
          <w:rFonts w:ascii="Calibri" w:hAnsi="Calibri"/>
          <w:b/>
          <w:bCs/>
          <w:noProof/>
          <w:sz w:val="22"/>
        </w:rPr>
        <w:t>2012</w:t>
      </w:r>
      <w:r w:rsidRPr="00331F79">
        <w:rPr>
          <w:rFonts w:ascii="Calibri" w:hAnsi="Calibri"/>
          <w:noProof/>
          <w:sz w:val="22"/>
        </w:rPr>
        <w:t>.https://mail.google.com/mail/u/1/#inbox/134f06255f3f63de</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30 </w:t>
      </w:r>
      <w:r w:rsidRPr="00331F79">
        <w:rPr>
          <w:rFonts w:ascii="Calibri" w:hAnsi="Calibri"/>
          <w:noProof/>
          <w:sz w:val="22"/>
        </w:rPr>
        <w:tab/>
        <w:t xml:space="preserve">Sandercock P, Berge E, Dennis M, </w:t>
      </w:r>
      <w:r w:rsidRPr="00331F79">
        <w:rPr>
          <w:rFonts w:ascii="Calibri" w:hAnsi="Calibri"/>
          <w:i/>
          <w:iCs/>
          <w:noProof/>
          <w:sz w:val="22"/>
        </w:rPr>
        <w:t>et al.</w:t>
      </w:r>
      <w:r w:rsidRPr="00331F79">
        <w:rPr>
          <w:rFonts w:ascii="Calibri" w:hAnsi="Calibri"/>
          <w:noProof/>
          <w:sz w:val="22"/>
        </w:rPr>
        <w:t xml:space="preserve"> A systematic review of the effectiveness, cost-effectiveness and barriers to implementation of thrombolytic and neuroprotective therapy for acute ischaemic stroke in the NHS. </w:t>
      </w:r>
      <w:r w:rsidRPr="00331F79">
        <w:rPr>
          <w:rFonts w:ascii="Calibri" w:hAnsi="Calibri"/>
          <w:i/>
          <w:iCs/>
          <w:noProof/>
          <w:sz w:val="22"/>
        </w:rPr>
        <w:t>Health Technology Assessment</w:t>
      </w:r>
      <w:r w:rsidRPr="00331F79">
        <w:rPr>
          <w:rFonts w:ascii="Calibri" w:hAnsi="Calibri"/>
          <w:noProof/>
          <w:sz w:val="22"/>
        </w:rPr>
        <w:t xml:space="preserve"> 2002;</w:t>
      </w:r>
      <w:r w:rsidRPr="00331F79">
        <w:rPr>
          <w:rFonts w:ascii="Calibri" w:hAnsi="Calibri"/>
          <w:b/>
          <w:bCs/>
          <w:noProof/>
          <w:sz w:val="22"/>
        </w:rPr>
        <w:t>6</w:t>
      </w:r>
      <w:r w:rsidRPr="00331F79">
        <w:rPr>
          <w:rFonts w:ascii="Calibri" w:hAnsi="Calibri"/>
          <w:noProof/>
          <w:sz w:val="22"/>
        </w:rPr>
        <w:t>.</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31 </w:t>
      </w:r>
      <w:r w:rsidRPr="00331F79">
        <w:rPr>
          <w:rFonts w:ascii="Calibri" w:hAnsi="Calibri"/>
          <w:noProof/>
          <w:sz w:val="22"/>
        </w:rPr>
        <w:tab/>
        <w:t>NHS. National Stroke Strategy Impact Assessment. 2007;</w:t>
      </w:r>
      <w:r w:rsidRPr="00331F79">
        <w:rPr>
          <w:rFonts w:ascii="Calibri" w:hAnsi="Calibri"/>
          <w:b/>
          <w:bCs/>
          <w:noProof/>
          <w:sz w:val="22"/>
        </w:rPr>
        <w:t>2012</w:t>
      </w:r>
      <w:r w:rsidRPr="00331F79">
        <w:rPr>
          <w:rFonts w:ascii="Calibri" w:hAnsi="Calibri"/>
          <w:noProof/>
          <w:sz w:val="22"/>
        </w:rPr>
        <w:t>.http://www.dh.gov.uk/prod_consum_dh/groups/dh_digitalassets/documents/digitalasset/dh_081054.pdf</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32 </w:t>
      </w:r>
      <w:r w:rsidRPr="00331F79">
        <w:rPr>
          <w:rFonts w:ascii="Calibri" w:hAnsi="Calibri"/>
          <w:noProof/>
          <w:sz w:val="22"/>
        </w:rPr>
        <w:tab/>
        <w:t xml:space="preserve">Curtis L. Unit Costs of Health and Social Care 2010. Kent: 2010. </w:t>
      </w:r>
    </w:p>
    <w:p w:rsidR="00834F71" w:rsidRPr="00532F44" w:rsidRDefault="00834F71" w:rsidP="00331F79">
      <w:pPr>
        <w:pStyle w:val="NormalWeb"/>
        <w:ind w:left="640" w:hanging="640"/>
        <w:divId w:val="551624515"/>
      </w:pP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4" w:name="_Ref321227101"/>
      <w:r w:rsidRPr="00532F44">
        <w:rPr>
          <w:color w:val="auto"/>
        </w:rPr>
        <w:t xml:space="preserve">Table </w:t>
      </w:r>
      <w:r w:rsidR="007A2563">
        <w:rPr>
          <w:noProof/>
          <w:color w:val="auto"/>
        </w:rPr>
        <w:t>1</w:t>
      </w:r>
      <w:bookmarkEnd w:id="4"/>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p w:rsidR="00E5262E" w:rsidRPr="00532F44" w:rsidRDefault="00E5262E" w:rsidP="00E5262E">
      <w:pPr>
        <w:divId w:val="1548566716"/>
        <w:rPr>
          <w:lang w:val="en-GB"/>
        </w:r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11590"/>
      </w:tblGrid>
      <w:tr w:rsidR="007946CB" w:rsidRPr="0031099C" w:rsidTr="00CB6D0B">
        <w:tc>
          <w:tcPr>
            <w:tcW w:w="11590" w:type="dxa"/>
          </w:tcPr>
          <w:tbl>
            <w:tblPr>
              <w:tblStyle w:val="TableGrid"/>
              <w:tblW w:w="11335" w:type="dxa"/>
              <w:tblLook w:val="04A0" w:firstRow="1" w:lastRow="0" w:firstColumn="1" w:lastColumn="0" w:noHBand="0" w:noVBand="1"/>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17.132</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0.9</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90.2</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0.087</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0.007</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0.052</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1 974</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9.94</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39 569</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17.204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1.3</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90.7</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0.078</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0.172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0.010</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keepNext/>
                    <w:jc w:val="right"/>
                    <w:rPr>
                      <w:rFonts w:ascii="Times New Roman" w:eastAsia="Times New Roman" w:hAnsi="Times New Roman"/>
                    </w:rPr>
                  </w:pPr>
                  <w:r w:rsidRPr="0031099C">
                    <w:t>0.079</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3 106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9.97</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keepNext/>
                    <w:jc w:val="right"/>
                  </w:pPr>
                </w:p>
              </w:tc>
            </w:tr>
          </w:tbl>
          <w:p w:rsidR="007946CB" w:rsidRPr="0031099C" w:rsidRDefault="007946CB" w:rsidP="00EF4E89">
            <w:pPr>
              <w:pStyle w:val="Caption"/>
              <w:rPr>
                <w:color w:val="auto"/>
              </w:rPr>
            </w:pPr>
          </w:p>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r w:rsidRPr="0031099C">
              <w:t>W</w:t>
            </w:r>
            <w:r w:rsidR="007946CB" w:rsidRPr="0031099C">
              <w:t>arfarin</w:t>
            </w:r>
          </w:p>
        </w:tc>
      </w:tr>
      <w:tr w:rsidR="007946CB" w:rsidRPr="0031099C" w:rsidTr="00CB6D0B">
        <w:tc>
          <w:tcPr>
            <w:tcW w:w="11590" w:type="dxa"/>
          </w:tcPr>
          <w:tbl>
            <w:tblPr>
              <w:tblStyle w:val="TableGrid"/>
              <w:tblW w:w="11335" w:type="dxa"/>
              <w:tblLook w:val="04A0" w:firstRow="1" w:lastRow="0" w:firstColumn="1" w:lastColumn="0" w:noHBand="0" w:noVBand="1"/>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19.460</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10.5</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88.4</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0.103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0.223</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1 955</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22 751</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19.554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9.4</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89.0</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0.201</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3 039</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9.99</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proofErr w:type="spellStart"/>
            <w:r w:rsidRPr="0031099C">
              <w:t>R</w:t>
            </w:r>
            <w:r w:rsidR="007946CB" w:rsidRPr="0031099C">
              <w:t>ivaroxaban</w:t>
            </w:r>
            <w:proofErr w:type="spellEnd"/>
          </w:p>
        </w:tc>
      </w:tr>
      <w:tr w:rsidR="007946CB" w:rsidRPr="0031099C" w:rsidTr="00CB6D0B">
        <w:tc>
          <w:tcPr>
            <w:tcW w:w="11590" w:type="dxa"/>
          </w:tcPr>
          <w:tbl>
            <w:tblPr>
              <w:tblStyle w:val="TableGrid"/>
              <w:tblW w:w="11335" w:type="dxa"/>
              <w:tblLook w:val="04A0" w:firstRow="1" w:lastRow="0" w:firstColumn="1" w:lastColumn="0" w:noHBand="0" w:noVBand="1"/>
            </w:tblPr>
            <w:tblGrid>
              <w:gridCol w:w="1267"/>
              <w:gridCol w:w="914"/>
              <w:gridCol w:w="848"/>
              <w:gridCol w:w="749"/>
              <w:gridCol w:w="759"/>
              <w:gridCol w:w="1194"/>
              <w:gridCol w:w="1337"/>
              <w:gridCol w:w="690"/>
              <w:gridCol w:w="738"/>
              <w:gridCol w:w="855"/>
              <w:gridCol w:w="850"/>
              <w:gridCol w:w="1134"/>
            </w:tblGrid>
            <w:tr w:rsidR="00CB6D0B" w:rsidRPr="0031099C" w:rsidTr="00CB6D0B">
              <w:tc>
                <w:tcPr>
                  <w:tcW w:w="2181"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59"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19.485</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10.2</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88.7</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0.220</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1 942</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12 314</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19.598</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89.4</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0.195</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0.097</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2 946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10.01</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7946CB" w:rsidP="00EF4E89">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5" w:name="_Ref349291846"/>
      <w:bookmarkStart w:id="6" w:name="_Ref349294513"/>
      <w:r w:rsidRPr="00F309FB">
        <w:rPr>
          <w:color w:val="auto"/>
        </w:rPr>
        <w:t xml:space="preserve">Table </w:t>
      </w:r>
      <w:r w:rsidR="007A2563">
        <w:rPr>
          <w:noProof/>
          <w:color w:val="auto"/>
        </w:rPr>
        <w:t>2</w:t>
      </w:r>
      <w:bookmarkEnd w:id="5"/>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warfarin;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6"/>
      <w:r w:rsidR="00CB6D0B">
        <w:rPr>
          <w:color w:val="auto"/>
        </w:rPr>
        <w:t xml:space="preserve">; </w:t>
      </w:r>
      <w:r w:rsidR="00CB6D0B" w:rsidRPr="00F309FB">
        <w:rPr>
          <w:color w:val="auto"/>
        </w:rPr>
        <w:t>ICER: incremental cost effectiveness</w:t>
      </w:r>
      <w:r w:rsidR="00CB6D0B">
        <w:rPr>
          <w:color w:val="auto"/>
        </w:rPr>
        <w:t xml:space="preserve"> ratio (In £/QALY)</w:t>
      </w:r>
      <w:r w:rsidR="00CB6D0B" w:rsidRPr="00F309FB">
        <w:rPr>
          <w:color w:val="auto"/>
        </w:rPr>
        <w:t>.</w:t>
      </w:r>
      <w:r w:rsidR="00CB6D0B">
        <w:rPr>
          <w:color w:val="auto"/>
        </w:rPr>
        <w:t xml:space="preserve"> QALY: Quality adjusted life year</w:t>
      </w:r>
    </w:p>
    <w:p w:rsidR="007946CB" w:rsidRDefault="007946CB" w:rsidP="007946CB">
      <w:pPr>
        <w:spacing w:line="276" w:lineRule="auto"/>
        <w:jc w:val="left"/>
        <w:rPr>
          <w:lang w:val="en-GB"/>
        </w:rPr>
      </w:pPr>
    </w:p>
    <w:p w:rsidR="00EB3ED4" w:rsidRPr="000D7226" w:rsidRDefault="007946CB" w:rsidP="000D7226">
      <w:pPr>
        <w:spacing w:line="276" w:lineRule="auto"/>
        <w:jc w:val="left"/>
        <w:rPr>
          <w:lang w:val="en-GB"/>
        </w:rPr>
        <w:sectPr w:rsidR="00EB3ED4" w:rsidRPr="000D7226" w:rsidSect="003225C4">
          <w:pgSz w:w="16838" w:h="11906" w:orient="landscape"/>
          <w:pgMar w:top="1440" w:right="1440" w:bottom="1440" w:left="1440" w:header="708" w:footer="708" w:gutter="0"/>
          <w:cols w:space="708"/>
          <w:docGrid w:linePitch="360"/>
        </w:sectPr>
      </w:pPr>
      <w:r>
        <w:rPr>
          <w:lang w:val="en-GB"/>
        </w:rPr>
        <w:lastRenderedPageBreak/>
        <w:br w:type="page"/>
      </w: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bookmarkStart w:id="7" w:name="_Ref335141468"/>
      <w:r w:rsidRPr="0031099C">
        <w:rPr>
          <w:color w:val="auto"/>
        </w:rPr>
        <w:lastRenderedPageBreak/>
        <w:t xml:space="preserve">Table </w:t>
      </w:r>
      <w:r w:rsidR="007A2563">
        <w:rPr>
          <w:noProof/>
          <w:color w:val="auto"/>
        </w:rPr>
        <w:t>3</w:t>
      </w:r>
      <w:bookmarkEnd w:id="7"/>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8" w:name="_Ref335142114"/>
      <w:proofErr w:type="gramStart"/>
      <w:r w:rsidRPr="0031099C">
        <w:rPr>
          <w:color w:val="auto"/>
        </w:rPr>
        <w:lastRenderedPageBreak/>
        <w:t xml:space="preserve">Table </w:t>
      </w:r>
      <w:r w:rsidR="007A2563">
        <w:rPr>
          <w:noProof/>
          <w:color w:val="auto"/>
        </w:rPr>
        <w:t>4</w:t>
      </w:r>
      <w:bookmarkEnd w:id="8"/>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bookmarkEnd w:id="0"/>
    <w:p w:rsidR="003D7462" w:rsidRPr="001C4819" w:rsidRDefault="003D7462" w:rsidP="000D7226">
      <w:pPr>
        <w:pStyle w:val="Heading1"/>
        <w:numPr>
          <w:ilvl w:val="0"/>
          <w:numId w:val="0"/>
        </w:numPr>
        <w:divId w:val="1548566716"/>
      </w:pPr>
    </w:p>
    <w:sectPr w:rsidR="003D7462" w:rsidRPr="001C4819" w:rsidSect="000D72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907" w:rsidRDefault="005B4907" w:rsidP="008D11C1">
      <w:r>
        <w:separator/>
      </w:r>
    </w:p>
  </w:endnote>
  <w:endnote w:type="continuationSeparator" w:id="0">
    <w:p w:rsidR="005B4907" w:rsidRDefault="005B4907"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214751"/>
      <w:docPartObj>
        <w:docPartGallery w:val="Page Numbers (Bottom of Page)"/>
        <w:docPartUnique/>
      </w:docPartObj>
    </w:sdtPr>
    <w:sdtEndPr/>
    <w:sdtContent>
      <w:p w:rsidR="00E74718" w:rsidRDefault="00E74718" w:rsidP="008D11C1">
        <w:pPr>
          <w:pStyle w:val="Footer"/>
        </w:pPr>
        <w:r>
          <w:fldChar w:fldCharType="begin"/>
        </w:r>
        <w:r>
          <w:instrText xml:space="preserve"> PAGE   \* MERGEFORMAT </w:instrText>
        </w:r>
        <w:r>
          <w:fldChar w:fldCharType="separate"/>
        </w:r>
        <w:r w:rsidR="000D7226">
          <w:rPr>
            <w:noProof/>
          </w:rPr>
          <w:t>22</w:t>
        </w:r>
        <w:r>
          <w:rPr>
            <w:noProof/>
          </w:rPr>
          <w:fldChar w:fldCharType="end"/>
        </w:r>
      </w:p>
    </w:sdtContent>
  </w:sdt>
  <w:p w:rsidR="00E74718" w:rsidRDefault="00E74718"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907" w:rsidRDefault="005B4907" w:rsidP="008D11C1">
      <w:r>
        <w:separator/>
      </w:r>
    </w:p>
  </w:footnote>
  <w:footnote w:type="continuationSeparator" w:id="0">
    <w:p w:rsidR="005B4907" w:rsidRDefault="005B4907" w:rsidP="008D11C1">
      <w:r>
        <w:continuationSeparator/>
      </w:r>
    </w:p>
  </w:footnote>
  <w:footnote w:id="1">
    <w:p w:rsidR="00E74718" w:rsidRDefault="00E74718">
      <w:pPr>
        <w:pStyle w:val="FootnoteText"/>
      </w:pPr>
      <w:r>
        <w:rPr>
          <w:rStyle w:val="FootnoteReference"/>
        </w:rPr>
        <w:footnoteRef/>
      </w:r>
      <w:r>
        <w:t xml:space="preserve"> Precise ICER is £30,310/QALY, so the No TTE option is still optimal at £30,000/QALY.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F135AD5"/>
    <w:multiLevelType w:val="hybridMultilevel"/>
    <w:tmpl w:val="37D66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A1A25D5"/>
    <w:multiLevelType w:val="hybridMultilevel"/>
    <w:tmpl w:val="25F6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4"/>
  </w:num>
  <w:num w:numId="5">
    <w:abstractNumId w:val="18"/>
  </w:num>
  <w:num w:numId="6">
    <w:abstractNumId w:val="12"/>
  </w:num>
  <w:num w:numId="7">
    <w:abstractNumId w:val="6"/>
  </w:num>
  <w:num w:numId="8">
    <w:abstractNumId w:val="0"/>
  </w:num>
  <w:num w:numId="9">
    <w:abstractNumId w:val="21"/>
  </w:num>
  <w:num w:numId="10">
    <w:abstractNumId w:val="2"/>
  </w:num>
  <w:num w:numId="11">
    <w:abstractNumId w:val="22"/>
  </w:num>
  <w:num w:numId="12">
    <w:abstractNumId w:val="17"/>
  </w:num>
  <w:num w:numId="13">
    <w:abstractNumId w:val="13"/>
  </w:num>
  <w:num w:numId="14">
    <w:abstractNumId w:val="19"/>
  </w:num>
  <w:num w:numId="15">
    <w:abstractNumId w:val="7"/>
  </w:num>
  <w:num w:numId="16">
    <w:abstractNumId w:val="14"/>
  </w:num>
  <w:num w:numId="17">
    <w:abstractNumId w:val="10"/>
  </w:num>
  <w:num w:numId="18">
    <w:abstractNumId w:val="3"/>
  </w:num>
  <w:num w:numId="19">
    <w:abstractNumId w:val="16"/>
  </w:num>
  <w:num w:numId="20">
    <w:abstractNumId w:val="9"/>
  </w:num>
  <w:num w:numId="21">
    <w:abstractNumId w:val="5"/>
  </w:num>
  <w:num w:numId="22">
    <w:abstractNumId w:val="15"/>
  </w:num>
  <w:num w:numId="23">
    <w:abstractNumId w:val="4"/>
  </w:num>
  <w:num w:numId="24">
    <w:abstractNumId w:val="11"/>
  </w:num>
  <w:num w:numId="25">
    <w:abstractNumId w:val="20"/>
  </w:num>
  <w:num w:numId="26">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D1"/>
    <w:rsid w:val="00001090"/>
    <w:rsid w:val="00004236"/>
    <w:rsid w:val="0000576D"/>
    <w:rsid w:val="0001769B"/>
    <w:rsid w:val="00023C7B"/>
    <w:rsid w:val="00023D5D"/>
    <w:rsid w:val="00034BAF"/>
    <w:rsid w:val="000406AE"/>
    <w:rsid w:val="00040779"/>
    <w:rsid w:val="0004239D"/>
    <w:rsid w:val="000466CA"/>
    <w:rsid w:val="0005390C"/>
    <w:rsid w:val="00056C3D"/>
    <w:rsid w:val="00064789"/>
    <w:rsid w:val="000701BC"/>
    <w:rsid w:val="000804A5"/>
    <w:rsid w:val="000804F2"/>
    <w:rsid w:val="00081AF9"/>
    <w:rsid w:val="0009181B"/>
    <w:rsid w:val="0009234A"/>
    <w:rsid w:val="000A4ABF"/>
    <w:rsid w:val="000A6E69"/>
    <w:rsid w:val="000B7AA1"/>
    <w:rsid w:val="000C4858"/>
    <w:rsid w:val="000C54E6"/>
    <w:rsid w:val="000D7226"/>
    <w:rsid w:val="000F1109"/>
    <w:rsid w:val="000F1748"/>
    <w:rsid w:val="001018C1"/>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C4819"/>
    <w:rsid w:val="001D7B3F"/>
    <w:rsid w:val="00214615"/>
    <w:rsid w:val="002148A0"/>
    <w:rsid w:val="00216347"/>
    <w:rsid w:val="002163D3"/>
    <w:rsid w:val="002173F5"/>
    <w:rsid w:val="00220632"/>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E07F9"/>
    <w:rsid w:val="002F05E5"/>
    <w:rsid w:val="002F7CCE"/>
    <w:rsid w:val="00305A5B"/>
    <w:rsid w:val="00307F5F"/>
    <w:rsid w:val="0031099C"/>
    <w:rsid w:val="00313F74"/>
    <w:rsid w:val="003162AB"/>
    <w:rsid w:val="00321AA3"/>
    <w:rsid w:val="003225C4"/>
    <w:rsid w:val="00324A95"/>
    <w:rsid w:val="00326C92"/>
    <w:rsid w:val="00331F79"/>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B36C5"/>
    <w:rsid w:val="003C217E"/>
    <w:rsid w:val="003D01CF"/>
    <w:rsid w:val="003D3DC2"/>
    <w:rsid w:val="003D4906"/>
    <w:rsid w:val="003D7462"/>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28AD"/>
    <w:rsid w:val="00465A7A"/>
    <w:rsid w:val="0047004A"/>
    <w:rsid w:val="004850ED"/>
    <w:rsid w:val="00492057"/>
    <w:rsid w:val="00495D9F"/>
    <w:rsid w:val="0049753A"/>
    <w:rsid w:val="004A0CFF"/>
    <w:rsid w:val="004B418E"/>
    <w:rsid w:val="004B4D95"/>
    <w:rsid w:val="004B7B0B"/>
    <w:rsid w:val="004C3BA6"/>
    <w:rsid w:val="004D5F6A"/>
    <w:rsid w:val="004E06E9"/>
    <w:rsid w:val="004E27C1"/>
    <w:rsid w:val="004E4448"/>
    <w:rsid w:val="004F29CD"/>
    <w:rsid w:val="00500063"/>
    <w:rsid w:val="00501F33"/>
    <w:rsid w:val="00504A6F"/>
    <w:rsid w:val="00511D4E"/>
    <w:rsid w:val="00512460"/>
    <w:rsid w:val="00515AEC"/>
    <w:rsid w:val="00516779"/>
    <w:rsid w:val="00523D67"/>
    <w:rsid w:val="00525959"/>
    <w:rsid w:val="00532F44"/>
    <w:rsid w:val="0053415A"/>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B4907"/>
    <w:rsid w:val="005C1F9B"/>
    <w:rsid w:val="005D114E"/>
    <w:rsid w:val="005D3306"/>
    <w:rsid w:val="005E29E8"/>
    <w:rsid w:val="005E46D7"/>
    <w:rsid w:val="005E79DB"/>
    <w:rsid w:val="005F3E89"/>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0162"/>
    <w:rsid w:val="00724EAA"/>
    <w:rsid w:val="00732E2A"/>
    <w:rsid w:val="00736D21"/>
    <w:rsid w:val="00737173"/>
    <w:rsid w:val="00741A7A"/>
    <w:rsid w:val="00741D85"/>
    <w:rsid w:val="007461E7"/>
    <w:rsid w:val="00752A4B"/>
    <w:rsid w:val="007606EA"/>
    <w:rsid w:val="007670AC"/>
    <w:rsid w:val="00770134"/>
    <w:rsid w:val="00772D0B"/>
    <w:rsid w:val="00777CF9"/>
    <w:rsid w:val="00793FD8"/>
    <w:rsid w:val="007946CB"/>
    <w:rsid w:val="00795047"/>
    <w:rsid w:val="007955A1"/>
    <w:rsid w:val="00796E10"/>
    <w:rsid w:val="007973DF"/>
    <w:rsid w:val="007A14AB"/>
    <w:rsid w:val="007A2563"/>
    <w:rsid w:val="007A2853"/>
    <w:rsid w:val="007B0965"/>
    <w:rsid w:val="007B5046"/>
    <w:rsid w:val="007B765A"/>
    <w:rsid w:val="007C70A4"/>
    <w:rsid w:val="007D019C"/>
    <w:rsid w:val="007D1C2B"/>
    <w:rsid w:val="007F3F38"/>
    <w:rsid w:val="007F66EC"/>
    <w:rsid w:val="00810E76"/>
    <w:rsid w:val="00812032"/>
    <w:rsid w:val="00812600"/>
    <w:rsid w:val="00820F9B"/>
    <w:rsid w:val="0083066E"/>
    <w:rsid w:val="00831F3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662C"/>
    <w:rsid w:val="008C72E4"/>
    <w:rsid w:val="008D11C1"/>
    <w:rsid w:val="008D30D8"/>
    <w:rsid w:val="008D3B31"/>
    <w:rsid w:val="008D613B"/>
    <w:rsid w:val="008E6143"/>
    <w:rsid w:val="00900CA4"/>
    <w:rsid w:val="00900D68"/>
    <w:rsid w:val="00903CA6"/>
    <w:rsid w:val="00911187"/>
    <w:rsid w:val="0091160C"/>
    <w:rsid w:val="009137B7"/>
    <w:rsid w:val="0092084E"/>
    <w:rsid w:val="00920A0B"/>
    <w:rsid w:val="00925E03"/>
    <w:rsid w:val="00930CCB"/>
    <w:rsid w:val="009329A8"/>
    <w:rsid w:val="00932F8B"/>
    <w:rsid w:val="00933B76"/>
    <w:rsid w:val="00933C10"/>
    <w:rsid w:val="009344EA"/>
    <w:rsid w:val="00935ED3"/>
    <w:rsid w:val="0093614E"/>
    <w:rsid w:val="0094141C"/>
    <w:rsid w:val="009606A0"/>
    <w:rsid w:val="00960F46"/>
    <w:rsid w:val="00972322"/>
    <w:rsid w:val="00974077"/>
    <w:rsid w:val="009764E6"/>
    <w:rsid w:val="00980413"/>
    <w:rsid w:val="00983B8D"/>
    <w:rsid w:val="009840A6"/>
    <w:rsid w:val="0098691C"/>
    <w:rsid w:val="00997914"/>
    <w:rsid w:val="009A3B70"/>
    <w:rsid w:val="009A59BC"/>
    <w:rsid w:val="009A6772"/>
    <w:rsid w:val="009B513D"/>
    <w:rsid w:val="009B762A"/>
    <w:rsid w:val="009C0DBF"/>
    <w:rsid w:val="009C2038"/>
    <w:rsid w:val="009C2BE1"/>
    <w:rsid w:val="009C7509"/>
    <w:rsid w:val="009E7F0D"/>
    <w:rsid w:val="009F27B4"/>
    <w:rsid w:val="009F5199"/>
    <w:rsid w:val="00A0005C"/>
    <w:rsid w:val="00A02F0A"/>
    <w:rsid w:val="00A059E1"/>
    <w:rsid w:val="00A07773"/>
    <w:rsid w:val="00A101B1"/>
    <w:rsid w:val="00A11AEA"/>
    <w:rsid w:val="00A12911"/>
    <w:rsid w:val="00A17AD4"/>
    <w:rsid w:val="00A40066"/>
    <w:rsid w:val="00A42D14"/>
    <w:rsid w:val="00A541AC"/>
    <w:rsid w:val="00A603E8"/>
    <w:rsid w:val="00A80926"/>
    <w:rsid w:val="00A8404E"/>
    <w:rsid w:val="00A84C60"/>
    <w:rsid w:val="00A84F79"/>
    <w:rsid w:val="00A9463E"/>
    <w:rsid w:val="00A96DA4"/>
    <w:rsid w:val="00AB2D8E"/>
    <w:rsid w:val="00AC692E"/>
    <w:rsid w:val="00AD0F91"/>
    <w:rsid w:val="00AD6705"/>
    <w:rsid w:val="00AE4E57"/>
    <w:rsid w:val="00AE69C3"/>
    <w:rsid w:val="00AF094E"/>
    <w:rsid w:val="00B1326A"/>
    <w:rsid w:val="00B13ECE"/>
    <w:rsid w:val="00B14037"/>
    <w:rsid w:val="00B23932"/>
    <w:rsid w:val="00B24433"/>
    <w:rsid w:val="00B31E31"/>
    <w:rsid w:val="00B325C3"/>
    <w:rsid w:val="00B36EBC"/>
    <w:rsid w:val="00B37EDA"/>
    <w:rsid w:val="00B43839"/>
    <w:rsid w:val="00B54241"/>
    <w:rsid w:val="00B56A7D"/>
    <w:rsid w:val="00B577E8"/>
    <w:rsid w:val="00B66501"/>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D77AC"/>
    <w:rsid w:val="00BE4AC4"/>
    <w:rsid w:val="00BE7146"/>
    <w:rsid w:val="00BE73AD"/>
    <w:rsid w:val="00BF721A"/>
    <w:rsid w:val="00C007A4"/>
    <w:rsid w:val="00C0367B"/>
    <w:rsid w:val="00C0617D"/>
    <w:rsid w:val="00C16573"/>
    <w:rsid w:val="00C1788C"/>
    <w:rsid w:val="00C2196C"/>
    <w:rsid w:val="00C23AC0"/>
    <w:rsid w:val="00C27319"/>
    <w:rsid w:val="00C3051A"/>
    <w:rsid w:val="00C314AC"/>
    <w:rsid w:val="00C32E52"/>
    <w:rsid w:val="00C3520A"/>
    <w:rsid w:val="00C3580C"/>
    <w:rsid w:val="00C42A71"/>
    <w:rsid w:val="00C46C92"/>
    <w:rsid w:val="00C47292"/>
    <w:rsid w:val="00C6586B"/>
    <w:rsid w:val="00C84263"/>
    <w:rsid w:val="00C87195"/>
    <w:rsid w:val="00C918EC"/>
    <w:rsid w:val="00C97EB8"/>
    <w:rsid w:val="00CA434B"/>
    <w:rsid w:val="00CB2A91"/>
    <w:rsid w:val="00CB6661"/>
    <w:rsid w:val="00CB6D0B"/>
    <w:rsid w:val="00CD343F"/>
    <w:rsid w:val="00CD6936"/>
    <w:rsid w:val="00CE4F27"/>
    <w:rsid w:val="00CE585A"/>
    <w:rsid w:val="00CE5CAA"/>
    <w:rsid w:val="00CE68A8"/>
    <w:rsid w:val="00CE721E"/>
    <w:rsid w:val="00CF007B"/>
    <w:rsid w:val="00CF1136"/>
    <w:rsid w:val="00CF20FA"/>
    <w:rsid w:val="00CF29E8"/>
    <w:rsid w:val="00CF6CB9"/>
    <w:rsid w:val="00D06A78"/>
    <w:rsid w:val="00D103FA"/>
    <w:rsid w:val="00D10C1C"/>
    <w:rsid w:val="00D200D6"/>
    <w:rsid w:val="00D20CA0"/>
    <w:rsid w:val="00D21515"/>
    <w:rsid w:val="00D22AB2"/>
    <w:rsid w:val="00D324CF"/>
    <w:rsid w:val="00D34DE7"/>
    <w:rsid w:val="00D47469"/>
    <w:rsid w:val="00D561D8"/>
    <w:rsid w:val="00D57902"/>
    <w:rsid w:val="00D62831"/>
    <w:rsid w:val="00D65C68"/>
    <w:rsid w:val="00D67B2F"/>
    <w:rsid w:val="00D71944"/>
    <w:rsid w:val="00D71C90"/>
    <w:rsid w:val="00D7721F"/>
    <w:rsid w:val="00D828F2"/>
    <w:rsid w:val="00D87110"/>
    <w:rsid w:val="00DB4BF1"/>
    <w:rsid w:val="00DB728C"/>
    <w:rsid w:val="00DB7C63"/>
    <w:rsid w:val="00DC17EE"/>
    <w:rsid w:val="00DC2385"/>
    <w:rsid w:val="00DC2BB2"/>
    <w:rsid w:val="00DC628D"/>
    <w:rsid w:val="00DD5C22"/>
    <w:rsid w:val="00DE0591"/>
    <w:rsid w:val="00DE62D7"/>
    <w:rsid w:val="00DE6F42"/>
    <w:rsid w:val="00DF06B6"/>
    <w:rsid w:val="00DF4463"/>
    <w:rsid w:val="00DF52E6"/>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2A6E"/>
    <w:rsid w:val="00E74718"/>
    <w:rsid w:val="00E74F07"/>
    <w:rsid w:val="00E84302"/>
    <w:rsid w:val="00E92AF8"/>
    <w:rsid w:val="00E93B06"/>
    <w:rsid w:val="00E97667"/>
    <w:rsid w:val="00EB3ED4"/>
    <w:rsid w:val="00EB5AE5"/>
    <w:rsid w:val="00EB5B27"/>
    <w:rsid w:val="00EB79E8"/>
    <w:rsid w:val="00ED065B"/>
    <w:rsid w:val="00ED0A41"/>
    <w:rsid w:val="00ED1CB5"/>
    <w:rsid w:val="00ED28B9"/>
    <w:rsid w:val="00EE646D"/>
    <w:rsid w:val="00EE7B58"/>
    <w:rsid w:val="00EF4164"/>
    <w:rsid w:val="00EF4E89"/>
    <w:rsid w:val="00EF7137"/>
    <w:rsid w:val="00F006F2"/>
    <w:rsid w:val="00F00EDF"/>
    <w:rsid w:val="00F0458E"/>
    <w:rsid w:val="00F051CA"/>
    <w:rsid w:val="00F15320"/>
    <w:rsid w:val="00F16C06"/>
    <w:rsid w:val="00F2700F"/>
    <w:rsid w:val="00F309FB"/>
    <w:rsid w:val="00F37F4A"/>
    <w:rsid w:val="00F406A5"/>
    <w:rsid w:val="00F5273F"/>
    <w:rsid w:val="00F5467D"/>
    <w:rsid w:val="00F54A94"/>
    <w:rsid w:val="00F60289"/>
    <w:rsid w:val="00F82325"/>
    <w:rsid w:val="00F91783"/>
    <w:rsid w:val="00FA2321"/>
    <w:rsid w:val="00FA261E"/>
    <w:rsid w:val="00FB3E31"/>
    <w:rsid w:val="00FB4677"/>
    <w:rsid w:val="00FB6128"/>
    <w:rsid w:val="00FC1604"/>
    <w:rsid w:val="00FC748C"/>
    <w:rsid w:val="00FD30C1"/>
    <w:rsid w:val="00FE12A1"/>
    <w:rsid w:val="00FE3BA1"/>
    <w:rsid w:val="00FE62CA"/>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3263">
      <w:bodyDiv w:val="1"/>
      <w:marLeft w:val="0"/>
      <w:marRight w:val="0"/>
      <w:marTop w:val="0"/>
      <w:marBottom w:val="0"/>
      <w:divBdr>
        <w:top w:val="none" w:sz="0" w:space="0" w:color="auto"/>
        <w:left w:val="none" w:sz="0" w:space="0" w:color="auto"/>
        <w:bottom w:val="none" w:sz="0" w:space="0" w:color="auto"/>
        <w:right w:val="none" w:sz="0" w:space="0" w:color="auto"/>
      </w:divBdr>
    </w:div>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sChild>
                                                                                                <w:div w:id="551624515">
                                                                                                  <w:marLeft w:val="0"/>
                                                                                                  <w:marRight w:val="0"/>
                                                                                                  <w:marTop w:val="0"/>
                                                                                                  <w:marBottom w:val="0"/>
                                                                                                  <w:divBdr>
                                                                                                    <w:top w:val="none" w:sz="0" w:space="0" w:color="auto"/>
                                                                                                    <w:left w:val="none" w:sz="0" w:space="0" w:color="auto"/>
                                                                                                    <w:bottom w:val="none" w:sz="0" w:space="0" w:color="auto"/>
                                                                                                    <w:right w:val="none" w:sz="0" w:space="0" w:color="auto"/>
                                                                                                  </w:divBdr>
                                                                                                  <w:divsChild>
                                                                                                    <w:div w:id="4490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81CF77-8E17-4858-ADB5-7E9732B9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6166</Words>
  <Characters>35152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cp:lastPrinted>2013-09-05T11:15:00Z</cp:lastPrinted>
  <dcterms:created xsi:type="dcterms:W3CDTF">2013-09-09T16:34:00Z</dcterms:created>
  <dcterms:modified xsi:type="dcterms:W3CDTF">2013-09-09T16:38:00Z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