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62A" w:rsidRDefault="00BD38CD">
      <w:r>
        <w:t>Comments from Matt</w:t>
      </w:r>
    </w:p>
    <w:p w:rsidR="00BD38CD" w:rsidRDefault="00BD38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3685"/>
        <w:gridCol w:w="4456"/>
      </w:tblGrid>
      <w:tr w:rsidR="00BD38CD" w:rsidTr="00BD38CD">
        <w:tc>
          <w:tcPr>
            <w:tcW w:w="534" w:type="dxa"/>
          </w:tcPr>
          <w:p w:rsidR="00BD38CD" w:rsidRPr="00BD38CD" w:rsidRDefault="00BD38CD">
            <w:pPr>
              <w:rPr>
                <w:b/>
              </w:rPr>
            </w:pPr>
            <w:r w:rsidRPr="00BD38CD">
              <w:rPr>
                <w:b/>
              </w:rPr>
              <w:t>#</w:t>
            </w:r>
          </w:p>
        </w:tc>
        <w:tc>
          <w:tcPr>
            <w:tcW w:w="567" w:type="dxa"/>
          </w:tcPr>
          <w:p w:rsidR="00BD38CD" w:rsidRPr="00BD38CD" w:rsidRDefault="00BD38CD">
            <w:pPr>
              <w:rPr>
                <w:b/>
              </w:rPr>
            </w:pPr>
            <w:r w:rsidRPr="00BD38CD">
              <w:rPr>
                <w:b/>
              </w:rPr>
              <w:t>p</w:t>
            </w:r>
          </w:p>
        </w:tc>
        <w:tc>
          <w:tcPr>
            <w:tcW w:w="3685" w:type="dxa"/>
          </w:tcPr>
          <w:p w:rsidR="00BD38CD" w:rsidRPr="00BD38CD" w:rsidRDefault="00BD38CD">
            <w:pPr>
              <w:rPr>
                <w:b/>
              </w:rPr>
            </w:pPr>
            <w:r w:rsidRPr="00BD38CD">
              <w:rPr>
                <w:b/>
              </w:rPr>
              <w:t>Comment</w:t>
            </w:r>
          </w:p>
        </w:tc>
        <w:tc>
          <w:tcPr>
            <w:tcW w:w="4456" w:type="dxa"/>
          </w:tcPr>
          <w:p w:rsidR="00BD38CD" w:rsidRPr="00BD38CD" w:rsidRDefault="00BD38CD">
            <w:pPr>
              <w:rPr>
                <w:b/>
              </w:rPr>
            </w:pPr>
            <w:r w:rsidRPr="00BD38CD">
              <w:rPr>
                <w:b/>
              </w:rPr>
              <w:t>Response</w:t>
            </w:r>
          </w:p>
        </w:tc>
      </w:tr>
      <w:tr w:rsidR="00BD38CD" w:rsidTr="00BD38CD">
        <w:tc>
          <w:tcPr>
            <w:tcW w:w="534" w:type="dxa"/>
          </w:tcPr>
          <w:p w:rsidR="00BD38CD" w:rsidRDefault="00BD38CD">
            <w:r>
              <w:t>1</w:t>
            </w:r>
          </w:p>
        </w:tc>
        <w:tc>
          <w:tcPr>
            <w:tcW w:w="567" w:type="dxa"/>
          </w:tcPr>
          <w:p w:rsidR="00BD38CD" w:rsidRDefault="00BD38CD">
            <w:r>
              <w:t>1</w:t>
            </w:r>
          </w:p>
        </w:tc>
        <w:tc>
          <w:tcPr>
            <w:tcW w:w="3685" w:type="dxa"/>
          </w:tcPr>
          <w:p w:rsidR="00BD38CD" w:rsidRDefault="00BD38CD">
            <w:r>
              <w:t xml:space="preserve">What does a TTE tell you? </w:t>
            </w:r>
          </w:p>
          <w:p w:rsidR="00BD38CD" w:rsidRDefault="00BD38CD" w:rsidP="00BD38CD">
            <w:pPr>
              <w:pStyle w:val="ListParagraph"/>
              <w:numPr>
                <w:ilvl w:val="0"/>
                <w:numId w:val="1"/>
              </w:numPr>
            </w:pPr>
            <w:r>
              <w:t>I’d ignore here [sic?]</w:t>
            </w:r>
          </w:p>
        </w:tc>
        <w:tc>
          <w:tcPr>
            <w:tcW w:w="4456" w:type="dxa"/>
          </w:tcPr>
          <w:p w:rsidR="00BD38CD" w:rsidRPr="00BD38CD" w:rsidRDefault="00BD38CD">
            <w:pPr>
              <w:rPr>
                <w:b/>
                <w:i/>
              </w:rPr>
            </w:pPr>
            <w:r>
              <w:rPr>
                <w:b/>
                <w:u w:val="single"/>
              </w:rPr>
              <w:t>Action</w:t>
            </w:r>
            <w:r>
              <w:rPr>
                <w:b/>
              </w:rPr>
              <w:t xml:space="preserve">: </w:t>
            </w:r>
            <w:r>
              <w:rPr>
                <w:b/>
                <w:i/>
              </w:rPr>
              <w:t>No action taken.</w:t>
            </w:r>
          </w:p>
        </w:tc>
      </w:tr>
      <w:tr w:rsidR="00BD38CD" w:rsidTr="00BD38CD">
        <w:tc>
          <w:tcPr>
            <w:tcW w:w="534" w:type="dxa"/>
          </w:tcPr>
          <w:p w:rsidR="00BD38CD" w:rsidRDefault="00BD38CD">
            <w:r>
              <w:t>2</w:t>
            </w:r>
          </w:p>
        </w:tc>
        <w:tc>
          <w:tcPr>
            <w:tcW w:w="567" w:type="dxa"/>
          </w:tcPr>
          <w:p w:rsidR="00BD38CD" w:rsidRDefault="00BD38CD">
            <w:r>
              <w:t>1</w:t>
            </w:r>
          </w:p>
        </w:tc>
        <w:tc>
          <w:tcPr>
            <w:tcW w:w="3685" w:type="dxa"/>
          </w:tcPr>
          <w:p w:rsidR="00BD38CD" w:rsidRDefault="00BD38CD">
            <w:r>
              <w:t>Why different OACs in different populations?</w:t>
            </w:r>
          </w:p>
        </w:tc>
        <w:tc>
          <w:tcPr>
            <w:tcW w:w="4456" w:type="dxa"/>
          </w:tcPr>
          <w:p w:rsidR="00BD38CD" w:rsidRDefault="00BD38CD">
            <w:r>
              <w:t xml:space="preserve">This is answered later in the manuscript. </w:t>
            </w:r>
          </w:p>
          <w:p w:rsidR="00BD38CD" w:rsidRPr="00BD38CD" w:rsidRDefault="00BD38CD">
            <w:pPr>
              <w:rPr>
                <w:b/>
                <w:i/>
              </w:rPr>
            </w:pPr>
            <w:r>
              <w:rPr>
                <w:b/>
                <w:u w:val="single"/>
              </w:rPr>
              <w:t>Action</w:t>
            </w:r>
            <w:r>
              <w:rPr>
                <w:b/>
                <w:i/>
              </w:rPr>
              <w:t>: No action taken.</w:t>
            </w:r>
          </w:p>
        </w:tc>
      </w:tr>
      <w:tr w:rsidR="00BD38CD" w:rsidTr="00BD38CD">
        <w:tc>
          <w:tcPr>
            <w:tcW w:w="534" w:type="dxa"/>
          </w:tcPr>
          <w:p w:rsidR="00BD38CD" w:rsidRDefault="00BD38CD">
            <w:r>
              <w:t>3</w:t>
            </w:r>
          </w:p>
        </w:tc>
        <w:tc>
          <w:tcPr>
            <w:tcW w:w="567" w:type="dxa"/>
          </w:tcPr>
          <w:p w:rsidR="00BD38CD" w:rsidRDefault="00BD38CD">
            <w:r>
              <w:t>1</w:t>
            </w:r>
          </w:p>
        </w:tc>
        <w:tc>
          <w:tcPr>
            <w:tcW w:w="3685" w:type="dxa"/>
          </w:tcPr>
          <w:p w:rsidR="00BD38CD" w:rsidRDefault="00BD38CD">
            <w:r>
              <w:t xml:space="preserve">Not clear whether this is for CHADS2 0 or 1, or just 1. </w:t>
            </w:r>
          </w:p>
        </w:tc>
        <w:tc>
          <w:tcPr>
            <w:tcW w:w="4456" w:type="dxa"/>
          </w:tcPr>
          <w:p w:rsidR="00BD38CD" w:rsidRDefault="00BD38CD" w:rsidP="00BD38CD">
            <w:r>
              <w:t>The point is it’s either, and is just affected by the choice of OAC.</w:t>
            </w:r>
          </w:p>
          <w:p w:rsidR="00BD38CD" w:rsidRDefault="00BD38CD" w:rsidP="00BD38CD">
            <w:r>
              <w:rPr>
                <w:b/>
                <w:u w:val="single"/>
              </w:rPr>
              <w:t>Action</w:t>
            </w:r>
            <w:r>
              <w:rPr>
                <w:b/>
                <w:i/>
              </w:rPr>
              <w:t>: No action taken.</w:t>
            </w:r>
          </w:p>
        </w:tc>
      </w:tr>
      <w:tr w:rsidR="00BD38CD" w:rsidTr="00BD38CD">
        <w:tc>
          <w:tcPr>
            <w:tcW w:w="534" w:type="dxa"/>
          </w:tcPr>
          <w:p w:rsidR="00BD38CD" w:rsidRDefault="00BD38CD">
            <w:r>
              <w:t>4</w:t>
            </w:r>
          </w:p>
        </w:tc>
        <w:tc>
          <w:tcPr>
            <w:tcW w:w="567" w:type="dxa"/>
          </w:tcPr>
          <w:p w:rsidR="00BD38CD" w:rsidRDefault="00BD38CD">
            <w:r>
              <w:t>2</w:t>
            </w:r>
          </w:p>
        </w:tc>
        <w:tc>
          <w:tcPr>
            <w:tcW w:w="3685" w:type="dxa"/>
          </w:tcPr>
          <w:p w:rsidR="00BD38CD" w:rsidRDefault="00BD38CD">
            <w:r>
              <w:t>This seems confusing as the example you provide is not [?] clinically effective. If we push not CE then we need to say the gains come at a high cost.</w:t>
            </w:r>
          </w:p>
        </w:tc>
        <w:tc>
          <w:tcPr>
            <w:tcW w:w="4456" w:type="dxa"/>
          </w:tcPr>
          <w:p w:rsidR="00BD38CD" w:rsidRDefault="00BD38CD">
            <w:r>
              <w:t>Unsure how to respond to this.</w:t>
            </w:r>
          </w:p>
          <w:p w:rsidR="00BD38CD" w:rsidRPr="00BD38CD" w:rsidRDefault="00BD38CD">
            <w:pPr>
              <w:rPr>
                <w:b/>
                <w:i/>
              </w:rPr>
            </w:pPr>
            <w:r>
              <w:rPr>
                <w:b/>
                <w:u w:val="single"/>
              </w:rPr>
              <w:t>Action:</w:t>
            </w:r>
            <w:r>
              <w:rPr>
                <w:b/>
                <w:i/>
              </w:rPr>
              <w:t xml:space="preserve"> Matt to suggest alternative sentence or discuss.</w:t>
            </w:r>
          </w:p>
        </w:tc>
      </w:tr>
      <w:tr w:rsidR="00BD38CD" w:rsidTr="00BD38CD">
        <w:tc>
          <w:tcPr>
            <w:tcW w:w="534" w:type="dxa"/>
          </w:tcPr>
          <w:p w:rsidR="00BD38CD" w:rsidRDefault="00BD38CD">
            <w:r>
              <w:t>5</w:t>
            </w:r>
          </w:p>
        </w:tc>
        <w:tc>
          <w:tcPr>
            <w:tcW w:w="567" w:type="dxa"/>
          </w:tcPr>
          <w:p w:rsidR="00BD38CD" w:rsidRDefault="00171BE5">
            <w:r>
              <w:t>6</w:t>
            </w:r>
          </w:p>
        </w:tc>
        <w:tc>
          <w:tcPr>
            <w:tcW w:w="3685" w:type="dxa"/>
          </w:tcPr>
          <w:p w:rsidR="00BD38CD" w:rsidRDefault="00171BE5">
            <w:r>
              <w:t>Need to make sure we tie in the others.</w:t>
            </w:r>
          </w:p>
        </w:tc>
        <w:tc>
          <w:tcPr>
            <w:tcW w:w="4456" w:type="dxa"/>
          </w:tcPr>
          <w:p w:rsidR="00171BE5" w:rsidRDefault="00171BE5">
            <w:r>
              <w:t>I’ve changed the first sentence of this paragraph to read:</w:t>
            </w:r>
          </w:p>
          <w:p w:rsidR="00BD38CD" w:rsidRDefault="00171BE5">
            <w:r w:rsidRPr="00532F44">
              <w:t xml:space="preserve">Due to the large number of scenarios run, only the results for two scenarios are </w:t>
            </w:r>
            <w:r>
              <w:t xml:space="preserve">discussed </w:t>
            </w:r>
            <w:r w:rsidRPr="00532F44">
              <w:t>in detail here for illustration</w:t>
            </w:r>
            <w:r>
              <w:t>, although the results for the other scenarios are also provided</w:t>
            </w:r>
            <w:r>
              <w:t>.</w:t>
            </w:r>
          </w:p>
          <w:p w:rsidR="00171BE5" w:rsidRDefault="00171BE5">
            <w:r>
              <w:rPr>
                <w:b/>
                <w:u w:val="single"/>
              </w:rPr>
              <w:t>Action:</w:t>
            </w:r>
            <w:r>
              <w:rPr>
                <w:b/>
                <w:i/>
              </w:rPr>
              <w:t xml:space="preserve"> Matt to </w:t>
            </w:r>
            <w:r>
              <w:rPr>
                <w:b/>
                <w:i/>
              </w:rPr>
              <w:t>see whether this amendment does the job, and if not suggest an alternative.</w:t>
            </w:r>
          </w:p>
        </w:tc>
      </w:tr>
      <w:tr w:rsidR="00BD38CD" w:rsidTr="00BD38CD">
        <w:tc>
          <w:tcPr>
            <w:tcW w:w="534" w:type="dxa"/>
          </w:tcPr>
          <w:p w:rsidR="00BD38CD" w:rsidRDefault="009C4E97">
            <w:r>
              <w:t>6</w:t>
            </w:r>
          </w:p>
        </w:tc>
        <w:tc>
          <w:tcPr>
            <w:tcW w:w="567" w:type="dxa"/>
          </w:tcPr>
          <w:p w:rsidR="00BD38CD" w:rsidRDefault="009C4E97">
            <w:r>
              <w:t>7</w:t>
            </w:r>
          </w:p>
        </w:tc>
        <w:tc>
          <w:tcPr>
            <w:tcW w:w="3685" w:type="dxa"/>
          </w:tcPr>
          <w:p w:rsidR="00BD38CD" w:rsidRDefault="009C4E97">
            <w:r>
              <w:t>Suggest delete second more in :</w:t>
            </w:r>
          </w:p>
          <w:p w:rsidR="009C4E97" w:rsidRDefault="009C4E97">
            <w:r w:rsidRPr="00532F44">
              <w:t>The mean costs and QALYs associated with each arm indicate that the TTE strategy confers an average of 0.5 additional QALYs, but costs on average more than £3,000 more per patient.</w:t>
            </w:r>
          </w:p>
        </w:tc>
        <w:tc>
          <w:tcPr>
            <w:tcW w:w="4456" w:type="dxa"/>
          </w:tcPr>
          <w:p w:rsidR="00BD38CD" w:rsidRDefault="009C4E97">
            <w:r>
              <w:t>This isn’t a typo or word repetition. Removing the second more changes the meaning.</w:t>
            </w:r>
          </w:p>
          <w:p w:rsidR="009C4E97" w:rsidRDefault="009C4E97" w:rsidP="009C4E97">
            <w:r>
              <w:rPr>
                <w:b/>
                <w:u w:val="single"/>
              </w:rPr>
              <w:t>Action: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To discuss.</w:t>
            </w:r>
          </w:p>
        </w:tc>
      </w:tr>
      <w:tr w:rsidR="00BD38CD" w:rsidTr="00BD38CD">
        <w:tc>
          <w:tcPr>
            <w:tcW w:w="534" w:type="dxa"/>
          </w:tcPr>
          <w:p w:rsidR="00BD38CD" w:rsidRDefault="009C4E97">
            <w:r>
              <w:t>7</w:t>
            </w:r>
          </w:p>
        </w:tc>
        <w:tc>
          <w:tcPr>
            <w:tcW w:w="567" w:type="dxa"/>
          </w:tcPr>
          <w:p w:rsidR="00BD38CD" w:rsidRDefault="009C4E97">
            <w:r>
              <w:t>19</w:t>
            </w:r>
          </w:p>
        </w:tc>
        <w:tc>
          <w:tcPr>
            <w:tcW w:w="3685" w:type="dxa"/>
          </w:tcPr>
          <w:p w:rsidR="00BD38CD" w:rsidRDefault="009C4E97">
            <w:r>
              <w:t>Alter – ditto for others (To W_50_0_M in table 4)</w:t>
            </w:r>
          </w:p>
        </w:tc>
        <w:tc>
          <w:tcPr>
            <w:tcW w:w="4456" w:type="dxa"/>
          </w:tcPr>
          <w:p w:rsidR="00BD38CD" w:rsidRDefault="009C4E97">
            <w:r>
              <w:t>Not sure what to alter these to. As the table captions describe the populatio</w:t>
            </w:r>
            <w:r w:rsidR="00317B0E">
              <w:t>ns, and the shorthand is a bit unseemly. I’ve just removed this.</w:t>
            </w:r>
          </w:p>
          <w:p w:rsidR="00317B0E" w:rsidRDefault="00317B0E">
            <w:r>
              <w:rPr>
                <w:b/>
                <w:u w:val="single"/>
              </w:rPr>
              <w:t>Action:</w:t>
            </w:r>
            <w:r>
              <w:rPr>
                <w:b/>
                <w:i/>
              </w:rPr>
              <w:t xml:space="preserve"> To discuss</w:t>
            </w:r>
            <w:r>
              <w:rPr>
                <w:b/>
                <w:i/>
              </w:rPr>
              <w:t xml:space="preserve"> and agree if this is the right course of action</w:t>
            </w:r>
            <w:r>
              <w:rPr>
                <w:b/>
                <w:i/>
              </w:rPr>
              <w:t>.</w:t>
            </w:r>
          </w:p>
        </w:tc>
      </w:tr>
      <w:tr w:rsidR="00317B0E" w:rsidTr="00BD38CD">
        <w:tc>
          <w:tcPr>
            <w:tcW w:w="534" w:type="dxa"/>
          </w:tcPr>
          <w:p w:rsidR="00317B0E" w:rsidRDefault="00317B0E">
            <w:r>
              <w:t>8</w:t>
            </w:r>
          </w:p>
        </w:tc>
        <w:tc>
          <w:tcPr>
            <w:tcW w:w="567" w:type="dxa"/>
          </w:tcPr>
          <w:p w:rsidR="00317B0E" w:rsidRDefault="00317B0E">
            <w:r>
              <w:t>20</w:t>
            </w:r>
          </w:p>
        </w:tc>
        <w:tc>
          <w:tcPr>
            <w:tcW w:w="3685" w:type="dxa"/>
          </w:tcPr>
          <w:p w:rsidR="00317B0E" w:rsidRDefault="00317B0E">
            <w:r>
              <w:t>Shouldn’t this be males</w:t>
            </w:r>
          </w:p>
        </w:tc>
        <w:tc>
          <w:tcPr>
            <w:tcW w:w="4456" w:type="dxa"/>
          </w:tcPr>
          <w:p w:rsidR="00317B0E" w:rsidRDefault="00317B0E">
            <w:r>
              <w:t>The table and graphs were of the wrong populations. This has now been corrected (to W_50_1_M)</w:t>
            </w:r>
          </w:p>
          <w:p w:rsidR="00317B0E" w:rsidRDefault="00317B0E" w:rsidP="00317B0E">
            <w:r>
              <w:rPr>
                <w:b/>
                <w:u w:val="single"/>
              </w:rPr>
              <w:t>Action:</w:t>
            </w:r>
            <w:r>
              <w:rPr>
                <w:b/>
                <w:i/>
              </w:rPr>
              <w:t xml:space="preserve"> </w:t>
            </w:r>
            <w:proofErr w:type="gramStart"/>
            <w:r>
              <w:rPr>
                <w:b/>
                <w:i/>
              </w:rPr>
              <w:t>JM  to</w:t>
            </w:r>
            <w:proofErr w:type="gramEnd"/>
            <w:r>
              <w:rPr>
                <w:b/>
                <w:i/>
              </w:rPr>
              <w:t xml:space="preserve"> double check this and other graphs.</w:t>
            </w:r>
          </w:p>
        </w:tc>
      </w:tr>
    </w:tbl>
    <w:p w:rsidR="00BD38CD" w:rsidRDefault="00BD38CD">
      <w:bookmarkStart w:id="0" w:name="_GoBack"/>
      <w:bookmarkEnd w:id="0"/>
    </w:p>
    <w:sectPr w:rsidR="00BD38CD" w:rsidSect="009B7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0137"/>
    <w:multiLevelType w:val="hybridMultilevel"/>
    <w:tmpl w:val="73202B6E"/>
    <w:lvl w:ilvl="0" w:tplc="157EC3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D38CD"/>
    <w:rsid w:val="00171BE5"/>
    <w:rsid w:val="00317B0E"/>
    <w:rsid w:val="009B762A"/>
    <w:rsid w:val="009C4E97"/>
    <w:rsid w:val="00BD38CD"/>
    <w:rsid w:val="00C1201C"/>
    <w:rsid w:val="00C26442"/>
    <w:rsid w:val="00D828F2"/>
    <w:rsid w:val="00E1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38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38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Minton</dc:creator>
  <cp:keywords/>
  <dc:description/>
  <cp:lastModifiedBy>Jon Minton</cp:lastModifiedBy>
  <cp:revision>5</cp:revision>
  <dcterms:created xsi:type="dcterms:W3CDTF">2012-12-05T15:20:00Z</dcterms:created>
  <dcterms:modified xsi:type="dcterms:W3CDTF">2012-12-06T10:08:00Z</dcterms:modified>
</cp:coreProperties>
</file>