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F41" w:rsidRDefault="006F6F41" w:rsidP="004F35EE">
      <w:pPr>
        <w:pStyle w:val="Heading1"/>
      </w:pPr>
      <w:r>
        <w:t xml:space="preserve">Comments from </w:t>
      </w:r>
      <w:proofErr w:type="spellStart"/>
      <w:r>
        <w:t>Lipp</w:t>
      </w:r>
      <w:proofErr w:type="spellEnd"/>
      <w:r>
        <w:t xml:space="preserve"> w/ suggestions by Matt–Mid December</w:t>
      </w:r>
    </w:p>
    <w:tbl>
      <w:tblPr>
        <w:tblStyle w:val="TableGrid"/>
        <w:tblW w:w="0" w:type="auto"/>
        <w:tblLayout w:type="fixed"/>
        <w:tblLook w:val="04A0" w:firstRow="1" w:lastRow="0" w:firstColumn="1" w:lastColumn="0" w:noHBand="0" w:noVBand="1"/>
      </w:tblPr>
      <w:tblGrid>
        <w:gridCol w:w="294"/>
        <w:gridCol w:w="665"/>
        <w:gridCol w:w="3969"/>
        <w:gridCol w:w="4314"/>
      </w:tblGrid>
      <w:tr w:rsidR="006F6F41" w:rsidTr="004B59B0">
        <w:tc>
          <w:tcPr>
            <w:tcW w:w="294" w:type="dxa"/>
          </w:tcPr>
          <w:p w:rsidR="006F6F41" w:rsidRPr="00BD38CD" w:rsidRDefault="006F6F41" w:rsidP="0031022F">
            <w:pPr>
              <w:rPr>
                <w:b/>
              </w:rPr>
            </w:pPr>
            <w:r w:rsidRPr="00BD38CD">
              <w:rPr>
                <w:b/>
              </w:rPr>
              <w:t>#</w:t>
            </w:r>
          </w:p>
        </w:tc>
        <w:tc>
          <w:tcPr>
            <w:tcW w:w="665" w:type="dxa"/>
          </w:tcPr>
          <w:p w:rsidR="006F6F41" w:rsidRPr="00BD38CD" w:rsidRDefault="006F6F41" w:rsidP="0031022F">
            <w:pPr>
              <w:rPr>
                <w:b/>
              </w:rPr>
            </w:pPr>
            <w:r w:rsidRPr="00BD38CD">
              <w:rPr>
                <w:b/>
              </w:rPr>
              <w:t>p</w:t>
            </w:r>
          </w:p>
        </w:tc>
        <w:tc>
          <w:tcPr>
            <w:tcW w:w="3969" w:type="dxa"/>
          </w:tcPr>
          <w:p w:rsidR="006F6F41" w:rsidRPr="00BD38CD" w:rsidRDefault="006F6F41" w:rsidP="0031022F">
            <w:pPr>
              <w:rPr>
                <w:b/>
              </w:rPr>
            </w:pPr>
            <w:r w:rsidRPr="00BD38CD">
              <w:rPr>
                <w:b/>
              </w:rPr>
              <w:t>Comment</w:t>
            </w:r>
          </w:p>
        </w:tc>
        <w:tc>
          <w:tcPr>
            <w:tcW w:w="4314" w:type="dxa"/>
          </w:tcPr>
          <w:p w:rsidR="006F6F41" w:rsidRPr="00BD38CD" w:rsidRDefault="006F6F41" w:rsidP="0031022F">
            <w:pPr>
              <w:rPr>
                <w:b/>
              </w:rPr>
            </w:pPr>
            <w:r w:rsidRPr="00BD38CD">
              <w:rPr>
                <w:b/>
              </w:rPr>
              <w:t>Response</w:t>
            </w:r>
          </w:p>
        </w:tc>
      </w:tr>
      <w:tr w:rsidR="006F6F41" w:rsidTr="004B59B0">
        <w:tc>
          <w:tcPr>
            <w:tcW w:w="294" w:type="dxa"/>
          </w:tcPr>
          <w:p w:rsidR="006F6F41" w:rsidRDefault="006F6F41" w:rsidP="0031022F">
            <w:r>
              <w:t>1</w:t>
            </w:r>
          </w:p>
        </w:tc>
        <w:tc>
          <w:tcPr>
            <w:tcW w:w="665" w:type="dxa"/>
          </w:tcPr>
          <w:p w:rsidR="006F6F41" w:rsidRDefault="006F6F41" w:rsidP="0031022F">
            <w:r>
              <w:t>1</w:t>
            </w:r>
          </w:p>
        </w:tc>
        <w:tc>
          <w:tcPr>
            <w:tcW w:w="3969" w:type="dxa"/>
          </w:tcPr>
          <w:p w:rsidR="006F6F41" w:rsidRPr="004B59B0" w:rsidRDefault="006F6F41" w:rsidP="006F6F41">
            <w:pPr>
              <w:rPr>
                <w:b/>
                <w:shd w:val="clear" w:color="auto" w:fill="FFFFFF"/>
              </w:rPr>
            </w:pPr>
            <w:r>
              <w:t>“</w:t>
            </w:r>
            <w:r w:rsidRPr="00532F44">
              <w:rPr>
                <w:b/>
                <w:shd w:val="clear" w:color="auto" w:fill="FFFFFF"/>
              </w:rPr>
              <w:t xml:space="preserve">Conclusions: </w:t>
            </w:r>
            <w:r>
              <w:t>I</w:t>
            </w:r>
            <w:r w:rsidRPr="00532F44">
              <w:t>rrespective of the OAC, scenarios exist where the use of TTE is both clinically effective and cost-effective.</w:t>
            </w:r>
            <w:r w:rsidR="004B59B0">
              <w:t>”</w:t>
            </w:r>
          </w:p>
        </w:tc>
        <w:tc>
          <w:tcPr>
            <w:tcW w:w="4314" w:type="dxa"/>
          </w:tcPr>
          <w:p w:rsidR="006F6F41" w:rsidRDefault="006F6F41" w:rsidP="0031022F">
            <w:r>
              <w:t>This needs changing.</w:t>
            </w:r>
          </w:p>
          <w:p w:rsidR="006F6F41" w:rsidRPr="006F6F41" w:rsidRDefault="006F6F41" w:rsidP="0031022F">
            <w:pPr>
              <w:rPr>
                <w:b/>
                <w:i/>
              </w:rPr>
            </w:pPr>
            <w:r w:rsidRPr="006F6F41">
              <w:rPr>
                <w:b/>
                <w:i/>
              </w:rPr>
              <w:t>Action: JM to look through results for different OACs and produce new conclusion.</w:t>
            </w:r>
          </w:p>
          <w:p w:rsidR="006F6F41" w:rsidRPr="006F6F41" w:rsidRDefault="006F6F41" w:rsidP="0031022F"/>
        </w:tc>
      </w:tr>
      <w:tr w:rsidR="006F6F41" w:rsidTr="004B59B0">
        <w:tc>
          <w:tcPr>
            <w:tcW w:w="294" w:type="dxa"/>
          </w:tcPr>
          <w:p w:rsidR="006F6F41" w:rsidRDefault="006F6F41" w:rsidP="0031022F">
            <w:r>
              <w:t>2</w:t>
            </w:r>
          </w:p>
        </w:tc>
        <w:tc>
          <w:tcPr>
            <w:tcW w:w="665" w:type="dxa"/>
          </w:tcPr>
          <w:p w:rsidR="006F6F41" w:rsidRDefault="006F6F41" w:rsidP="0031022F">
            <w:r>
              <w:t>4</w:t>
            </w:r>
          </w:p>
        </w:tc>
        <w:tc>
          <w:tcPr>
            <w:tcW w:w="3969" w:type="dxa"/>
          </w:tcPr>
          <w:p w:rsidR="006F6F41" w:rsidRDefault="006F6F41" w:rsidP="006F6F41">
            <w:pPr>
              <w:pStyle w:val="CommentText"/>
            </w:pPr>
            <w:r>
              <w:t xml:space="preserve">A TTE will not detect this – this needs a TRANSOESOPHAGEAL ECHO </w:t>
            </w:r>
            <w:proofErr w:type="spellStart"/>
            <w:r>
              <w:t>ie</w:t>
            </w:r>
            <w:proofErr w:type="spellEnd"/>
            <w:r>
              <w:t xml:space="preserve"> TOE</w:t>
            </w:r>
          </w:p>
          <w:p w:rsidR="006F6F41" w:rsidRDefault="006F6F41" w:rsidP="0031022F"/>
        </w:tc>
        <w:tc>
          <w:tcPr>
            <w:tcW w:w="4314" w:type="dxa"/>
          </w:tcPr>
          <w:p w:rsidR="006F6F41" w:rsidRPr="00BD38CD" w:rsidRDefault="006F6F41" w:rsidP="0031022F">
            <w:pPr>
              <w:rPr>
                <w:b/>
                <w:i/>
              </w:rPr>
            </w:pPr>
            <w:r>
              <w:rPr>
                <w:b/>
                <w:i/>
              </w:rPr>
              <w:t>Action: wording has been changed to “some forms of LA ABN.” [DONE]</w:t>
            </w:r>
          </w:p>
        </w:tc>
      </w:tr>
      <w:tr w:rsidR="006F6F41" w:rsidTr="004B59B0">
        <w:tc>
          <w:tcPr>
            <w:tcW w:w="294" w:type="dxa"/>
          </w:tcPr>
          <w:p w:rsidR="006F6F41" w:rsidRDefault="006F6F41" w:rsidP="0031022F">
            <w:r>
              <w:t>3</w:t>
            </w:r>
          </w:p>
        </w:tc>
        <w:tc>
          <w:tcPr>
            <w:tcW w:w="665" w:type="dxa"/>
          </w:tcPr>
          <w:p w:rsidR="006F6F41" w:rsidRDefault="006F6F41" w:rsidP="0031022F">
            <w:r>
              <w:t>4</w:t>
            </w:r>
          </w:p>
        </w:tc>
        <w:tc>
          <w:tcPr>
            <w:tcW w:w="3969" w:type="dxa"/>
          </w:tcPr>
          <w:p w:rsidR="006F6F41" w:rsidRDefault="006F6F41" w:rsidP="0031022F">
            <w:r>
              <w:t>This should go into the Methods, not the Introduction</w:t>
            </w:r>
          </w:p>
        </w:tc>
        <w:tc>
          <w:tcPr>
            <w:tcW w:w="4314" w:type="dxa"/>
          </w:tcPr>
          <w:p w:rsidR="006F6F41" w:rsidRDefault="006F6F41" w:rsidP="006F6F41">
            <w:r>
              <w:t>We disagree that this should go in the methods, as it’s introducing the decision problem, and how TTE should be part of this.</w:t>
            </w:r>
          </w:p>
          <w:p w:rsidR="006F6F41" w:rsidRPr="006F6F41" w:rsidRDefault="006F6F41" w:rsidP="006F6F41">
            <w:pPr>
              <w:rPr>
                <w:b/>
                <w:i/>
              </w:rPr>
            </w:pPr>
            <w:r>
              <w:rPr>
                <w:b/>
                <w:i/>
              </w:rPr>
              <w:t>Action: None further required [DONE]</w:t>
            </w:r>
          </w:p>
        </w:tc>
      </w:tr>
      <w:tr w:rsidR="006F6F41" w:rsidTr="004B59B0">
        <w:tc>
          <w:tcPr>
            <w:tcW w:w="294" w:type="dxa"/>
          </w:tcPr>
          <w:p w:rsidR="006F6F41" w:rsidRDefault="006F6F41" w:rsidP="0031022F">
            <w:r>
              <w:t>4</w:t>
            </w:r>
          </w:p>
        </w:tc>
        <w:tc>
          <w:tcPr>
            <w:tcW w:w="665" w:type="dxa"/>
          </w:tcPr>
          <w:p w:rsidR="006F6F41" w:rsidRDefault="006F6F41" w:rsidP="0031022F">
            <w:r>
              <w:t>5</w:t>
            </w:r>
          </w:p>
        </w:tc>
        <w:tc>
          <w:tcPr>
            <w:tcW w:w="3969" w:type="dxa"/>
          </w:tcPr>
          <w:p w:rsidR="006F6F41" w:rsidRDefault="006F6F41" w:rsidP="0031022F">
            <w:r>
              <w:t xml:space="preserve">Not true </w:t>
            </w:r>
          </w:p>
          <w:p w:rsidR="006F6F41" w:rsidRDefault="006F6F41" w:rsidP="0031022F">
            <w:r>
              <w:t>One or more, as recommended in new guidelines</w:t>
            </w:r>
          </w:p>
        </w:tc>
        <w:tc>
          <w:tcPr>
            <w:tcW w:w="4314" w:type="dxa"/>
          </w:tcPr>
          <w:p w:rsidR="006F6F41" w:rsidRDefault="006F6F41" w:rsidP="006F6F41">
            <w:r>
              <w:t>Wording has been changed to reflect this. Only scenarios where patients have an initial CHADS2 score of zero are now included.</w:t>
            </w:r>
          </w:p>
          <w:p w:rsidR="006F6F41" w:rsidRPr="006F6F41" w:rsidRDefault="006F6F41" w:rsidP="006F6F41">
            <w:r>
              <w:rPr>
                <w:b/>
                <w:i/>
              </w:rPr>
              <w:t>Action: None further required [DONE]</w:t>
            </w:r>
          </w:p>
        </w:tc>
      </w:tr>
      <w:tr w:rsidR="006F6F41" w:rsidTr="004B59B0">
        <w:tc>
          <w:tcPr>
            <w:tcW w:w="294" w:type="dxa"/>
          </w:tcPr>
          <w:p w:rsidR="006F6F41" w:rsidRDefault="006F6F41" w:rsidP="0031022F">
            <w:r>
              <w:t>5</w:t>
            </w:r>
          </w:p>
        </w:tc>
        <w:tc>
          <w:tcPr>
            <w:tcW w:w="665" w:type="dxa"/>
          </w:tcPr>
          <w:p w:rsidR="006F6F41" w:rsidRDefault="006F6F41" w:rsidP="0031022F">
            <w:r>
              <w:t>X</w:t>
            </w:r>
          </w:p>
        </w:tc>
        <w:tc>
          <w:tcPr>
            <w:tcW w:w="3969" w:type="dxa"/>
          </w:tcPr>
          <w:p w:rsidR="006F6F41" w:rsidRDefault="006F6F41" w:rsidP="006F6F41">
            <w:r>
              <w:t xml:space="preserve">Discussion with Matt: Need to look back at report and see which data sources have been used for estimating relative risks </w:t>
            </w:r>
            <w:r w:rsidR="00F90D93">
              <w:t>of bleeds compared with warfarin.</w:t>
            </w:r>
          </w:p>
        </w:tc>
        <w:tc>
          <w:tcPr>
            <w:tcW w:w="4314" w:type="dxa"/>
          </w:tcPr>
          <w:p w:rsidR="006F6F41" w:rsidRDefault="000D731E" w:rsidP="000D731E">
            <w:r>
              <w:t xml:space="preserve">Went through PSA inputs sheet, found descriptions. Added additional references regarding </w:t>
            </w:r>
            <w:proofErr w:type="spellStart"/>
            <w:r>
              <w:t>rivaroxaban</w:t>
            </w:r>
            <w:proofErr w:type="spellEnd"/>
            <w:r>
              <w:t xml:space="preserve"> (Patel 2011) to manuscript table.</w:t>
            </w:r>
          </w:p>
          <w:p w:rsidR="000D731E" w:rsidRDefault="000D731E" w:rsidP="000D731E">
            <w:r>
              <w:rPr>
                <w:b/>
                <w:i/>
              </w:rPr>
              <w:t>Action: None further required [DONE]</w:t>
            </w:r>
          </w:p>
        </w:tc>
      </w:tr>
      <w:tr w:rsidR="006F6F41" w:rsidTr="004B59B0">
        <w:tc>
          <w:tcPr>
            <w:tcW w:w="294" w:type="dxa"/>
          </w:tcPr>
          <w:p w:rsidR="006F6F41" w:rsidRDefault="009206D9" w:rsidP="0031022F">
            <w:r>
              <w:t>6</w:t>
            </w:r>
          </w:p>
        </w:tc>
        <w:tc>
          <w:tcPr>
            <w:tcW w:w="665" w:type="dxa"/>
          </w:tcPr>
          <w:p w:rsidR="006F6F41" w:rsidRDefault="009206D9" w:rsidP="0031022F">
            <w:r>
              <w:t>6</w:t>
            </w:r>
          </w:p>
        </w:tc>
        <w:tc>
          <w:tcPr>
            <w:tcW w:w="3969" w:type="dxa"/>
          </w:tcPr>
          <w:p w:rsidR="009206D9" w:rsidRDefault="009206D9" w:rsidP="009206D9">
            <w:pPr>
              <w:pStyle w:val="CommentText"/>
            </w:pPr>
            <w:r>
              <w:t xml:space="preserve">New OACs may have less major bleeding than </w:t>
            </w:r>
            <w:proofErr w:type="spellStart"/>
            <w:r>
              <w:t>warfatin</w:t>
            </w:r>
            <w:proofErr w:type="spellEnd"/>
          </w:p>
          <w:p w:rsidR="009206D9" w:rsidRDefault="009206D9" w:rsidP="009206D9">
            <w:pPr>
              <w:pStyle w:val="CommentText"/>
            </w:pPr>
          </w:p>
          <w:p w:rsidR="006F6F41" w:rsidRDefault="009206D9" w:rsidP="009206D9">
            <w:r>
              <w:t>Also, may be superior to warfarin for stroke reduction</w:t>
            </w:r>
          </w:p>
        </w:tc>
        <w:tc>
          <w:tcPr>
            <w:tcW w:w="4314" w:type="dxa"/>
          </w:tcPr>
          <w:p w:rsidR="006F6F41" w:rsidRDefault="009206D9" w:rsidP="009206D9">
            <w:r>
              <w:t xml:space="preserve">Data sources used for this are in table at end. RRs are discussed in HTA report. </w:t>
            </w:r>
          </w:p>
          <w:p w:rsidR="009206D9" w:rsidRPr="009206D9" w:rsidRDefault="009206D9" w:rsidP="009206D9">
            <w:pPr>
              <w:rPr>
                <w:b/>
                <w:i/>
              </w:rPr>
            </w:pPr>
            <w:r w:rsidRPr="009206D9">
              <w:rPr>
                <w:b/>
                <w:i/>
              </w:rPr>
              <w:t>Action: None required. [DONE]</w:t>
            </w:r>
          </w:p>
        </w:tc>
      </w:tr>
      <w:tr w:rsidR="006F6F41" w:rsidTr="004B59B0">
        <w:tc>
          <w:tcPr>
            <w:tcW w:w="294" w:type="dxa"/>
          </w:tcPr>
          <w:p w:rsidR="006F6F41" w:rsidRDefault="003D7710" w:rsidP="0031022F">
            <w:r>
              <w:t>7</w:t>
            </w:r>
          </w:p>
        </w:tc>
        <w:tc>
          <w:tcPr>
            <w:tcW w:w="665" w:type="dxa"/>
          </w:tcPr>
          <w:p w:rsidR="006F6F41" w:rsidRDefault="003D7710" w:rsidP="0031022F">
            <w:r>
              <w:t>11</w:t>
            </w:r>
          </w:p>
        </w:tc>
        <w:tc>
          <w:tcPr>
            <w:tcW w:w="3969" w:type="dxa"/>
          </w:tcPr>
          <w:p w:rsidR="006F6F41" w:rsidRDefault="003D7710" w:rsidP="0031022F">
            <w:r>
              <w:t>Where did £66 figure for TTE come from?</w:t>
            </w:r>
          </w:p>
        </w:tc>
        <w:tc>
          <w:tcPr>
            <w:tcW w:w="4314" w:type="dxa"/>
          </w:tcPr>
          <w:p w:rsidR="003D7710" w:rsidRDefault="003D7710" w:rsidP="003D7710">
            <w:pPr>
              <w:pStyle w:val="Header"/>
              <w:spacing w:line="360" w:lineRule="auto"/>
              <w:jc w:val="both"/>
              <w:rPr>
                <w:sz w:val="22"/>
                <w:szCs w:val="22"/>
              </w:rPr>
            </w:pPr>
            <w:r>
              <w:rPr>
                <w:sz w:val="22"/>
                <w:szCs w:val="22"/>
              </w:rPr>
              <w:t xml:space="preserve">Standard </w:t>
            </w:r>
            <w:r w:rsidR="004B59B0">
              <w:rPr>
                <w:sz w:val="22"/>
                <w:szCs w:val="22"/>
              </w:rPr>
              <w:t>NHS Reference costs</w:t>
            </w:r>
            <w:r>
              <w:rPr>
                <w:sz w:val="22"/>
                <w:szCs w:val="22"/>
              </w:rPr>
              <w:t xml:space="preserve"> available at:</w:t>
            </w:r>
          </w:p>
          <w:p w:rsidR="003D7710" w:rsidRDefault="004B59B0" w:rsidP="003D7710">
            <w:pPr>
              <w:pStyle w:val="Header"/>
              <w:spacing w:line="360" w:lineRule="auto"/>
              <w:jc w:val="both"/>
              <w:rPr>
                <w:sz w:val="22"/>
                <w:szCs w:val="22"/>
              </w:rPr>
            </w:pPr>
            <w:hyperlink r:id="rId7" w:history="1">
              <w:r w:rsidRPr="00FB2715">
                <w:rPr>
                  <w:rStyle w:val="Hyperlink"/>
                  <w:sz w:val="22"/>
                  <w:szCs w:val="22"/>
                </w:rPr>
                <w:t>http://www.dh.gov.uk/en/Publicationsandstatistics/Publications/PublicationsPolicyAndGuidance/DH_123459</w:t>
              </w:r>
            </w:hyperlink>
          </w:p>
          <w:p w:rsidR="004B59B0" w:rsidRDefault="004B59B0" w:rsidP="003D7710">
            <w:pPr>
              <w:pStyle w:val="Header"/>
              <w:spacing w:line="360" w:lineRule="auto"/>
              <w:jc w:val="both"/>
              <w:rPr>
                <w:sz w:val="22"/>
                <w:szCs w:val="22"/>
              </w:rPr>
            </w:pPr>
          </w:p>
          <w:p w:rsidR="003D7710" w:rsidRDefault="003D7710" w:rsidP="003D7710">
            <w:pPr>
              <w:pStyle w:val="Header"/>
              <w:spacing w:line="360" w:lineRule="auto"/>
              <w:jc w:val="both"/>
              <w:rPr>
                <w:sz w:val="22"/>
                <w:szCs w:val="22"/>
              </w:rPr>
            </w:pPr>
            <w:r>
              <w:rPr>
                <w:sz w:val="22"/>
                <w:szCs w:val="22"/>
              </w:rPr>
              <w:t>The full HTA report discusses the choice of the £66 as follows:</w:t>
            </w:r>
          </w:p>
          <w:p w:rsidR="003D7710" w:rsidRDefault="003D7710" w:rsidP="003D7710">
            <w:pPr>
              <w:pStyle w:val="Header"/>
              <w:spacing w:line="360" w:lineRule="auto"/>
              <w:jc w:val="both"/>
              <w:rPr>
                <w:sz w:val="22"/>
                <w:szCs w:val="22"/>
              </w:rPr>
            </w:pPr>
          </w:p>
          <w:p w:rsidR="003D7710" w:rsidRPr="00EF4EB9" w:rsidRDefault="003D7710" w:rsidP="003D7710">
            <w:pPr>
              <w:pStyle w:val="Header"/>
              <w:spacing w:after="240" w:line="360" w:lineRule="auto"/>
              <w:jc w:val="both"/>
              <w:rPr>
                <w:sz w:val="22"/>
                <w:szCs w:val="22"/>
              </w:rPr>
            </w:pPr>
            <w:r w:rsidRPr="00EF4EB9">
              <w:rPr>
                <w:sz w:val="22"/>
                <w:szCs w:val="22"/>
              </w:rPr>
              <w:t xml:space="preserve">The HRG cost code RA60Z (‘Simple Echocardiogram’) was used as the cost of TTE. The mean cost of this technology was estimated as £66. A second more expensive estimate of £425 was listed for HRG code EA45Z Complex Echocardiogram (include Congenital, </w:t>
            </w:r>
            <w:proofErr w:type="spellStart"/>
            <w:r w:rsidRPr="00EF4EB9">
              <w:rPr>
                <w:sz w:val="22"/>
                <w:szCs w:val="22"/>
              </w:rPr>
              <w:t>Transoesophageal</w:t>
            </w:r>
            <w:proofErr w:type="spellEnd"/>
            <w:r w:rsidRPr="00EF4EB9">
              <w:rPr>
                <w:sz w:val="22"/>
                <w:szCs w:val="22"/>
              </w:rPr>
              <w:t xml:space="preserve"> and Foetal Echocardiography), which was deemed not </w:t>
            </w:r>
            <w:r w:rsidRPr="00EF4EB9">
              <w:rPr>
                <w:sz w:val="22"/>
                <w:szCs w:val="22"/>
              </w:rPr>
              <w:lastRenderedPageBreak/>
              <w:t>appropriate for TTE.</w:t>
            </w:r>
          </w:p>
          <w:p w:rsidR="003D7710" w:rsidRDefault="003D7710" w:rsidP="003D7710">
            <w:pPr>
              <w:pStyle w:val="Header"/>
              <w:spacing w:after="240" w:line="360" w:lineRule="auto"/>
              <w:jc w:val="both"/>
              <w:rPr>
                <w:sz w:val="22"/>
                <w:szCs w:val="22"/>
              </w:rPr>
            </w:pPr>
            <w:r w:rsidRPr="00EF4EB9">
              <w:rPr>
                <w:sz w:val="22"/>
                <w:szCs w:val="22"/>
              </w:rPr>
              <w:t>It is important to note that the costs associated with the intervention (indirect costs of TTE) are likely to greatly exceed the current service cost (direct costs of TTE). This is because the associated costs include those of acting on the clinical information provided by the diagnostic test, which may include the costs of surgical intervention, as well as additional costs of long-term medication for some patients who would not otherwise have received such treatments. For example, TTE may indicate that some additional patients should receive OACs. For illustration, t</w:t>
            </w:r>
            <w:r>
              <w:rPr>
                <w:sz w:val="22"/>
                <w:szCs w:val="22"/>
              </w:rPr>
              <w:t xml:space="preserve">he annual costs of both </w:t>
            </w:r>
            <w:proofErr w:type="spellStart"/>
            <w:r>
              <w:rPr>
                <w:sz w:val="22"/>
                <w:szCs w:val="22"/>
              </w:rPr>
              <w:t>rivaroxa</w:t>
            </w:r>
            <w:r w:rsidRPr="00EF4EB9">
              <w:rPr>
                <w:sz w:val="22"/>
                <w:szCs w:val="22"/>
              </w:rPr>
              <w:t>ban</w:t>
            </w:r>
            <w:proofErr w:type="spellEnd"/>
            <w:r w:rsidRPr="00EF4EB9">
              <w:rPr>
                <w:sz w:val="22"/>
                <w:szCs w:val="22"/>
              </w:rPr>
              <w:t xml:space="preserve"> and </w:t>
            </w:r>
            <w:proofErr w:type="spellStart"/>
            <w:r w:rsidRPr="00EF4EB9">
              <w:rPr>
                <w:sz w:val="22"/>
                <w:szCs w:val="22"/>
              </w:rPr>
              <w:t>dabigatran</w:t>
            </w:r>
            <w:proofErr w:type="spellEnd"/>
            <w:r w:rsidRPr="00EF4EB9">
              <w:rPr>
                <w:sz w:val="22"/>
                <w:szCs w:val="22"/>
              </w:rPr>
              <w:t xml:space="preserve"> are both estimated to be in the region of £800, so a single year’s additional treatment cost as a result of a clinical indication provided by TTE can be much greater than the cost of TTE itself.  </w:t>
            </w:r>
          </w:p>
          <w:p w:rsidR="006F6F41" w:rsidRPr="004B59B0" w:rsidRDefault="004B59B0" w:rsidP="004B59B0">
            <w:pPr>
              <w:rPr>
                <w:b/>
                <w:i/>
              </w:rPr>
            </w:pPr>
            <w:r w:rsidRPr="004B59B0">
              <w:rPr>
                <w:b/>
                <w:i/>
              </w:rPr>
              <w:t>Action: None required</w:t>
            </w:r>
            <w:r>
              <w:rPr>
                <w:b/>
                <w:i/>
              </w:rPr>
              <w:t>? [Done]</w:t>
            </w:r>
          </w:p>
        </w:tc>
      </w:tr>
      <w:tr w:rsidR="006F6F41" w:rsidTr="004B59B0">
        <w:tc>
          <w:tcPr>
            <w:tcW w:w="294" w:type="dxa"/>
          </w:tcPr>
          <w:p w:rsidR="006F6F41" w:rsidRDefault="004B59B0" w:rsidP="0031022F">
            <w:r>
              <w:lastRenderedPageBreak/>
              <w:t>8</w:t>
            </w:r>
          </w:p>
        </w:tc>
        <w:tc>
          <w:tcPr>
            <w:tcW w:w="665" w:type="dxa"/>
          </w:tcPr>
          <w:p w:rsidR="006F6F41" w:rsidRDefault="004B59B0" w:rsidP="0031022F">
            <w:r>
              <w:t>21</w:t>
            </w:r>
          </w:p>
        </w:tc>
        <w:tc>
          <w:tcPr>
            <w:tcW w:w="3969" w:type="dxa"/>
          </w:tcPr>
          <w:p w:rsidR="006F6F41" w:rsidRDefault="004B59B0" w:rsidP="0031022F">
            <w:r>
              <w:t>Don’t put figures in tables.</w:t>
            </w:r>
          </w:p>
        </w:tc>
        <w:tc>
          <w:tcPr>
            <w:tcW w:w="4314" w:type="dxa"/>
          </w:tcPr>
          <w:p w:rsidR="006F6F41" w:rsidRDefault="004B59B0" w:rsidP="0031022F">
            <w:r>
              <w:t>These will now be referred to as ‘figures’ instead of tables.</w:t>
            </w:r>
          </w:p>
          <w:p w:rsidR="004B59B0" w:rsidRPr="004B59B0" w:rsidRDefault="004B59B0" w:rsidP="004B59B0">
            <w:pPr>
              <w:rPr>
                <w:b/>
                <w:i/>
              </w:rPr>
            </w:pPr>
            <w:r w:rsidRPr="004B59B0">
              <w:rPr>
                <w:b/>
                <w:i/>
              </w:rPr>
              <w:t>Action: JM to amend.</w:t>
            </w:r>
          </w:p>
        </w:tc>
      </w:tr>
    </w:tbl>
    <w:p w:rsidR="006F6F41" w:rsidRDefault="006F6F41" w:rsidP="004F35EE">
      <w:pPr>
        <w:pStyle w:val="Heading1"/>
      </w:pPr>
    </w:p>
    <w:p w:rsidR="006F6F41" w:rsidRDefault="006F6F41" w:rsidP="006F6F41">
      <w:pPr>
        <w:rPr>
          <w:rFonts w:asciiTheme="majorHAnsi" w:eastAsiaTheme="majorEastAsia" w:hAnsiTheme="majorHAnsi" w:cstheme="majorBidi"/>
          <w:color w:val="365F91" w:themeColor="accent1" w:themeShade="BF"/>
          <w:sz w:val="28"/>
          <w:szCs w:val="28"/>
        </w:rPr>
      </w:pPr>
      <w:r>
        <w:br w:type="page"/>
      </w:r>
      <w:bookmarkStart w:id="0" w:name="_GoBack"/>
      <w:bookmarkEnd w:id="0"/>
    </w:p>
    <w:p w:rsidR="009B762A" w:rsidRDefault="00BD38CD" w:rsidP="004F35EE">
      <w:pPr>
        <w:pStyle w:val="Heading1"/>
      </w:pPr>
      <w:r>
        <w:lastRenderedPageBreak/>
        <w:t>Comments from Matt</w:t>
      </w:r>
      <w:r w:rsidR="004F35EE">
        <w:t xml:space="preserve"> – Early December</w:t>
      </w:r>
    </w:p>
    <w:p w:rsidR="00BD38CD" w:rsidRDefault="00BD38CD"/>
    <w:tbl>
      <w:tblPr>
        <w:tblStyle w:val="TableGrid"/>
        <w:tblW w:w="0" w:type="auto"/>
        <w:tblLook w:val="04A0" w:firstRow="1" w:lastRow="0" w:firstColumn="1" w:lastColumn="0" w:noHBand="0" w:noVBand="1"/>
      </w:tblPr>
      <w:tblGrid>
        <w:gridCol w:w="534"/>
        <w:gridCol w:w="567"/>
        <w:gridCol w:w="3685"/>
        <w:gridCol w:w="4456"/>
      </w:tblGrid>
      <w:tr w:rsidR="00BD38CD" w:rsidTr="00BD38CD">
        <w:tc>
          <w:tcPr>
            <w:tcW w:w="534" w:type="dxa"/>
          </w:tcPr>
          <w:p w:rsidR="00BD38CD" w:rsidRPr="00BD38CD" w:rsidRDefault="00BD38CD">
            <w:pPr>
              <w:rPr>
                <w:b/>
              </w:rPr>
            </w:pPr>
            <w:r w:rsidRPr="00BD38CD">
              <w:rPr>
                <w:b/>
              </w:rPr>
              <w:t>#</w:t>
            </w:r>
          </w:p>
        </w:tc>
        <w:tc>
          <w:tcPr>
            <w:tcW w:w="567" w:type="dxa"/>
          </w:tcPr>
          <w:p w:rsidR="00BD38CD" w:rsidRPr="00BD38CD" w:rsidRDefault="00BD38CD">
            <w:pPr>
              <w:rPr>
                <w:b/>
              </w:rPr>
            </w:pPr>
            <w:r w:rsidRPr="00BD38CD">
              <w:rPr>
                <w:b/>
              </w:rPr>
              <w:t>p</w:t>
            </w:r>
          </w:p>
        </w:tc>
        <w:tc>
          <w:tcPr>
            <w:tcW w:w="3685" w:type="dxa"/>
          </w:tcPr>
          <w:p w:rsidR="00BD38CD" w:rsidRPr="00BD38CD" w:rsidRDefault="00BD38CD">
            <w:pPr>
              <w:rPr>
                <w:b/>
              </w:rPr>
            </w:pPr>
            <w:r w:rsidRPr="00BD38CD">
              <w:rPr>
                <w:b/>
              </w:rPr>
              <w:t>Comment</w:t>
            </w:r>
          </w:p>
        </w:tc>
        <w:tc>
          <w:tcPr>
            <w:tcW w:w="4456" w:type="dxa"/>
          </w:tcPr>
          <w:p w:rsidR="00BD38CD" w:rsidRPr="00BD38CD" w:rsidRDefault="00BD38CD">
            <w:pPr>
              <w:rPr>
                <w:b/>
              </w:rPr>
            </w:pPr>
            <w:r w:rsidRPr="00BD38CD">
              <w:rPr>
                <w:b/>
              </w:rPr>
              <w:t>Response</w:t>
            </w:r>
          </w:p>
        </w:tc>
      </w:tr>
      <w:tr w:rsidR="00BD38CD" w:rsidTr="00BD38CD">
        <w:tc>
          <w:tcPr>
            <w:tcW w:w="534" w:type="dxa"/>
          </w:tcPr>
          <w:p w:rsidR="00BD38CD" w:rsidRDefault="00BD38CD">
            <w:r>
              <w:t>1</w:t>
            </w:r>
          </w:p>
        </w:tc>
        <w:tc>
          <w:tcPr>
            <w:tcW w:w="567" w:type="dxa"/>
          </w:tcPr>
          <w:p w:rsidR="00BD38CD" w:rsidRDefault="00BD38CD">
            <w:r>
              <w:t>1</w:t>
            </w:r>
          </w:p>
        </w:tc>
        <w:tc>
          <w:tcPr>
            <w:tcW w:w="3685" w:type="dxa"/>
          </w:tcPr>
          <w:p w:rsidR="00BD38CD" w:rsidRDefault="00BD38CD">
            <w:r>
              <w:t xml:space="preserve">What does a TTE tell you? </w:t>
            </w:r>
          </w:p>
          <w:p w:rsidR="00BD38CD" w:rsidRDefault="00BD38CD" w:rsidP="00BD38CD">
            <w:pPr>
              <w:pStyle w:val="ListParagraph"/>
              <w:numPr>
                <w:ilvl w:val="0"/>
                <w:numId w:val="1"/>
              </w:numPr>
            </w:pPr>
            <w:r>
              <w:t>I’d ignore here [sic?]</w:t>
            </w:r>
          </w:p>
        </w:tc>
        <w:tc>
          <w:tcPr>
            <w:tcW w:w="4456" w:type="dxa"/>
          </w:tcPr>
          <w:p w:rsidR="00BD38CD" w:rsidRPr="00BD38CD" w:rsidRDefault="00BD38CD">
            <w:pPr>
              <w:rPr>
                <w:b/>
                <w:i/>
              </w:rPr>
            </w:pPr>
            <w:r>
              <w:rPr>
                <w:b/>
                <w:u w:val="single"/>
              </w:rPr>
              <w:t>Action</w:t>
            </w:r>
            <w:r>
              <w:rPr>
                <w:b/>
              </w:rPr>
              <w:t xml:space="preserve">: </w:t>
            </w:r>
            <w:r>
              <w:rPr>
                <w:b/>
                <w:i/>
              </w:rPr>
              <w:t>No action taken.</w:t>
            </w:r>
          </w:p>
        </w:tc>
      </w:tr>
      <w:tr w:rsidR="00BD38CD" w:rsidTr="00BD38CD">
        <w:tc>
          <w:tcPr>
            <w:tcW w:w="534" w:type="dxa"/>
          </w:tcPr>
          <w:p w:rsidR="00BD38CD" w:rsidRDefault="00BD38CD">
            <w:r>
              <w:t>2</w:t>
            </w:r>
          </w:p>
        </w:tc>
        <w:tc>
          <w:tcPr>
            <w:tcW w:w="567" w:type="dxa"/>
          </w:tcPr>
          <w:p w:rsidR="00BD38CD" w:rsidRDefault="00BD38CD">
            <w:r>
              <w:t>1</w:t>
            </w:r>
          </w:p>
        </w:tc>
        <w:tc>
          <w:tcPr>
            <w:tcW w:w="3685" w:type="dxa"/>
          </w:tcPr>
          <w:p w:rsidR="00BD38CD" w:rsidRDefault="00BD38CD">
            <w:r>
              <w:t>Why different OACs in different populations?</w:t>
            </w:r>
          </w:p>
        </w:tc>
        <w:tc>
          <w:tcPr>
            <w:tcW w:w="4456" w:type="dxa"/>
          </w:tcPr>
          <w:p w:rsidR="00BD38CD" w:rsidRDefault="00BD38CD">
            <w:r>
              <w:t xml:space="preserve">This is answered later in the manuscript. </w:t>
            </w:r>
          </w:p>
          <w:p w:rsidR="00BD38CD" w:rsidRPr="00BD38CD" w:rsidRDefault="00BD38CD">
            <w:pPr>
              <w:rPr>
                <w:b/>
                <w:i/>
              </w:rPr>
            </w:pPr>
            <w:r>
              <w:rPr>
                <w:b/>
                <w:u w:val="single"/>
              </w:rPr>
              <w:t>Action</w:t>
            </w:r>
            <w:r>
              <w:rPr>
                <w:b/>
                <w:i/>
              </w:rPr>
              <w:t>: No action taken.</w:t>
            </w:r>
          </w:p>
        </w:tc>
      </w:tr>
      <w:tr w:rsidR="00BD38CD" w:rsidTr="00BD38CD">
        <w:tc>
          <w:tcPr>
            <w:tcW w:w="534" w:type="dxa"/>
          </w:tcPr>
          <w:p w:rsidR="00BD38CD" w:rsidRDefault="00BD38CD">
            <w:r>
              <w:t>3</w:t>
            </w:r>
          </w:p>
        </w:tc>
        <w:tc>
          <w:tcPr>
            <w:tcW w:w="567" w:type="dxa"/>
          </w:tcPr>
          <w:p w:rsidR="00BD38CD" w:rsidRDefault="00BD38CD">
            <w:r>
              <w:t>1</w:t>
            </w:r>
          </w:p>
        </w:tc>
        <w:tc>
          <w:tcPr>
            <w:tcW w:w="3685" w:type="dxa"/>
          </w:tcPr>
          <w:p w:rsidR="00BD38CD" w:rsidRDefault="00BD38CD">
            <w:r>
              <w:t xml:space="preserve">Not clear whether this is for CHADS2 0 or 1, or just 1. </w:t>
            </w:r>
          </w:p>
        </w:tc>
        <w:tc>
          <w:tcPr>
            <w:tcW w:w="4456" w:type="dxa"/>
          </w:tcPr>
          <w:p w:rsidR="00BD38CD" w:rsidRDefault="00BD38CD" w:rsidP="00BD38CD">
            <w:r>
              <w:t>The point is it’s either, and is just affected by the choice of OAC.</w:t>
            </w:r>
          </w:p>
          <w:p w:rsidR="00BD38CD" w:rsidRDefault="00BD38CD" w:rsidP="00BD38CD">
            <w:r>
              <w:rPr>
                <w:b/>
                <w:u w:val="single"/>
              </w:rPr>
              <w:t>Action</w:t>
            </w:r>
            <w:r>
              <w:rPr>
                <w:b/>
                <w:i/>
              </w:rPr>
              <w:t>: No action taken.</w:t>
            </w:r>
          </w:p>
        </w:tc>
      </w:tr>
      <w:tr w:rsidR="00BD38CD" w:rsidTr="00BD38CD">
        <w:tc>
          <w:tcPr>
            <w:tcW w:w="534" w:type="dxa"/>
          </w:tcPr>
          <w:p w:rsidR="00BD38CD" w:rsidRDefault="00BD38CD">
            <w:r>
              <w:t>4</w:t>
            </w:r>
          </w:p>
        </w:tc>
        <w:tc>
          <w:tcPr>
            <w:tcW w:w="567" w:type="dxa"/>
          </w:tcPr>
          <w:p w:rsidR="00BD38CD" w:rsidRDefault="00BD38CD">
            <w:r>
              <w:t>2</w:t>
            </w:r>
          </w:p>
        </w:tc>
        <w:tc>
          <w:tcPr>
            <w:tcW w:w="3685" w:type="dxa"/>
          </w:tcPr>
          <w:p w:rsidR="00BD38CD" w:rsidRDefault="00BD38CD">
            <w:r>
              <w:t>This seems confusing as the example you provide is not [?] clinically effective. If we push not CE then we need to say the gains come at a high cost.</w:t>
            </w:r>
          </w:p>
        </w:tc>
        <w:tc>
          <w:tcPr>
            <w:tcW w:w="4456" w:type="dxa"/>
          </w:tcPr>
          <w:p w:rsidR="00BD38CD" w:rsidRDefault="00BD38CD">
            <w:r>
              <w:t>Unsure how to respond to this.</w:t>
            </w:r>
          </w:p>
          <w:p w:rsidR="00BD38CD" w:rsidRPr="00BD38CD" w:rsidRDefault="00BD38CD">
            <w:pPr>
              <w:rPr>
                <w:b/>
                <w:i/>
              </w:rPr>
            </w:pPr>
            <w:r>
              <w:rPr>
                <w:b/>
                <w:u w:val="single"/>
              </w:rPr>
              <w:t>Action:</w:t>
            </w:r>
            <w:r>
              <w:rPr>
                <w:b/>
                <w:i/>
              </w:rPr>
              <w:t xml:space="preserve"> Matt to suggest alternative sentence or discuss.</w:t>
            </w:r>
          </w:p>
        </w:tc>
      </w:tr>
      <w:tr w:rsidR="00BD38CD" w:rsidTr="00BD38CD">
        <w:tc>
          <w:tcPr>
            <w:tcW w:w="534" w:type="dxa"/>
          </w:tcPr>
          <w:p w:rsidR="00BD38CD" w:rsidRDefault="00BD38CD">
            <w:r>
              <w:t>5</w:t>
            </w:r>
          </w:p>
        </w:tc>
        <w:tc>
          <w:tcPr>
            <w:tcW w:w="567" w:type="dxa"/>
          </w:tcPr>
          <w:p w:rsidR="00BD38CD" w:rsidRDefault="00171BE5">
            <w:r>
              <w:t>6</w:t>
            </w:r>
          </w:p>
        </w:tc>
        <w:tc>
          <w:tcPr>
            <w:tcW w:w="3685" w:type="dxa"/>
          </w:tcPr>
          <w:p w:rsidR="00BD38CD" w:rsidRDefault="00171BE5">
            <w:r>
              <w:t>Need to make sure we tie in the others.</w:t>
            </w:r>
          </w:p>
        </w:tc>
        <w:tc>
          <w:tcPr>
            <w:tcW w:w="4456" w:type="dxa"/>
          </w:tcPr>
          <w:p w:rsidR="00171BE5" w:rsidRDefault="00171BE5">
            <w:r>
              <w:t>I’ve changed the first sentence of this paragraph to read:</w:t>
            </w:r>
          </w:p>
          <w:p w:rsidR="00BD38CD" w:rsidRDefault="00171BE5">
            <w:r w:rsidRPr="00532F44">
              <w:t xml:space="preserve">Due to the large number of scenarios run, only the results for two scenarios are </w:t>
            </w:r>
            <w:r>
              <w:t xml:space="preserve">discussed </w:t>
            </w:r>
            <w:r w:rsidRPr="00532F44">
              <w:t>in detail here for illustration</w:t>
            </w:r>
            <w:r>
              <w:t>, although the results for the other scenarios are also provided.</w:t>
            </w:r>
          </w:p>
          <w:p w:rsidR="00171BE5" w:rsidRDefault="00171BE5">
            <w:r>
              <w:rPr>
                <w:b/>
                <w:u w:val="single"/>
              </w:rPr>
              <w:t>Action:</w:t>
            </w:r>
            <w:r>
              <w:rPr>
                <w:b/>
                <w:i/>
              </w:rPr>
              <w:t xml:space="preserve"> Matt to see whether this amendment does the job, and if not suggest an alternative.</w:t>
            </w:r>
          </w:p>
        </w:tc>
      </w:tr>
      <w:tr w:rsidR="00BD38CD" w:rsidTr="00BD38CD">
        <w:tc>
          <w:tcPr>
            <w:tcW w:w="534" w:type="dxa"/>
          </w:tcPr>
          <w:p w:rsidR="00BD38CD" w:rsidRDefault="009C4E97">
            <w:r>
              <w:t>6</w:t>
            </w:r>
          </w:p>
        </w:tc>
        <w:tc>
          <w:tcPr>
            <w:tcW w:w="567" w:type="dxa"/>
          </w:tcPr>
          <w:p w:rsidR="00BD38CD" w:rsidRDefault="009C4E97">
            <w:r>
              <w:t>7</w:t>
            </w:r>
          </w:p>
        </w:tc>
        <w:tc>
          <w:tcPr>
            <w:tcW w:w="3685" w:type="dxa"/>
          </w:tcPr>
          <w:p w:rsidR="00BD38CD" w:rsidRDefault="009C4E97">
            <w:r>
              <w:t>Suggest delete second more in :</w:t>
            </w:r>
          </w:p>
          <w:p w:rsidR="009C4E97" w:rsidRDefault="009C4E97">
            <w:r w:rsidRPr="00532F44">
              <w:t>The mean costs and QALYs associated with each arm indicate that the TTE strategy confers an average of 0.5 additional QALYs, but costs on average more than £3,000 more per patient.</w:t>
            </w:r>
          </w:p>
        </w:tc>
        <w:tc>
          <w:tcPr>
            <w:tcW w:w="4456" w:type="dxa"/>
          </w:tcPr>
          <w:p w:rsidR="00BD38CD" w:rsidRDefault="009C4E97">
            <w:r>
              <w:t>This isn’t a typo or word repetition. Removing the second more changes the meaning.</w:t>
            </w:r>
          </w:p>
          <w:p w:rsidR="009C4E97" w:rsidRDefault="009C4E97" w:rsidP="009C4E97">
            <w:r>
              <w:rPr>
                <w:b/>
                <w:u w:val="single"/>
              </w:rPr>
              <w:t>Action:</w:t>
            </w:r>
            <w:r>
              <w:rPr>
                <w:b/>
                <w:i/>
              </w:rPr>
              <w:t xml:space="preserve"> To discuss.</w:t>
            </w:r>
          </w:p>
        </w:tc>
      </w:tr>
      <w:tr w:rsidR="00BD38CD" w:rsidTr="00BD38CD">
        <w:tc>
          <w:tcPr>
            <w:tcW w:w="534" w:type="dxa"/>
          </w:tcPr>
          <w:p w:rsidR="00BD38CD" w:rsidRDefault="009C4E97">
            <w:r>
              <w:t>7</w:t>
            </w:r>
          </w:p>
        </w:tc>
        <w:tc>
          <w:tcPr>
            <w:tcW w:w="567" w:type="dxa"/>
          </w:tcPr>
          <w:p w:rsidR="00BD38CD" w:rsidRDefault="009C4E97">
            <w:r>
              <w:t>19</w:t>
            </w:r>
          </w:p>
        </w:tc>
        <w:tc>
          <w:tcPr>
            <w:tcW w:w="3685" w:type="dxa"/>
          </w:tcPr>
          <w:p w:rsidR="00BD38CD" w:rsidRDefault="009C4E97">
            <w:r>
              <w:t>Alter – ditto for others (To W_50_0_M in table 4)</w:t>
            </w:r>
          </w:p>
        </w:tc>
        <w:tc>
          <w:tcPr>
            <w:tcW w:w="4456" w:type="dxa"/>
          </w:tcPr>
          <w:p w:rsidR="00BD38CD" w:rsidRDefault="009C4E97">
            <w:r>
              <w:t>Not sure what to alter these to. As the table captions describe the populatio</w:t>
            </w:r>
            <w:r w:rsidR="00317B0E">
              <w:t>ns, and the shorthand is a bit unseemly. I’ve just removed this.</w:t>
            </w:r>
          </w:p>
          <w:p w:rsidR="00317B0E" w:rsidRDefault="00317B0E">
            <w:r>
              <w:rPr>
                <w:b/>
                <w:u w:val="single"/>
              </w:rPr>
              <w:t>Action:</w:t>
            </w:r>
            <w:r>
              <w:rPr>
                <w:b/>
                <w:i/>
              </w:rPr>
              <w:t xml:space="preserve"> To discuss and agree if this is the right course of action.</w:t>
            </w:r>
          </w:p>
        </w:tc>
      </w:tr>
      <w:tr w:rsidR="00317B0E" w:rsidTr="00BD38CD">
        <w:tc>
          <w:tcPr>
            <w:tcW w:w="534" w:type="dxa"/>
          </w:tcPr>
          <w:p w:rsidR="00317B0E" w:rsidRDefault="00317B0E">
            <w:r>
              <w:t>8</w:t>
            </w:r>
          </w:p>
        </w:tc>
        <w:tc>
          <w:tcPr>
            <w:tcW w:w="567" w:type="dxa"/>
          </w:tcPr>
          <w:p w:rsidR="00317B0E" w:rsidRDefault="00317B0E">
            <w:r>
              <w:t>20</w:t>
            </w:r>
          </w:p>
        </w:tc>
        <w:tc>
          <w:tcPr>
            <w:tcW w:w="3685" w:type="dxa"/>
          </w:tcPr>
          <w:p w:rsidR="00317B0E" w:rsidRDefault="00317B0E">
            <w:r>
              <w:t>Shouldn’t this be males</w:t>
            </w:r>
          </w:p>
        </w:tc>
        <w:tc>
          <w:tcPr>
            <w:tcW w:w="4456" w:type="dxa"/>
          </w:tcPr>
          <w:p w:rsidR="00317B0E" w:rsidRDefault="00317B0E">
            <w:r>
              <w:t>The table and graphs were of the wrong populations. This has now been corrected (to W_50_1_M)</w:t>
            </w:r>
          </w:p>
          <w:p w:rsidR="00317B0E" w:rsidRDefault="00317B0E" w:rsidP="00317B0E">
            <w:r>
              <w:rPr>
                <w:b/>
                <w:u w:val="single"/>
              </w:rPr>
              <w:t>Action:</w:t>
            </w:r>
            <w:r>
              <w:rPr>
                <w:b/>
                <w:i/>
              </w:rPr>
              <w:t xml:space="preserve"> JM  to double check this and other graphs.</w:t>
            </w:r>
            <w:r w:rsidR="006F6F41">
              <w:rPr>
                <w:b/>
                <w:i/>
              </w:rPr>
              <w:t>[DONE]</w:t>
            </w:r>
          </w:p>
        </w:tc>
      </w:tr>
    </w:tbl>
    <w:p w:rsidR="00BD38CD" w:rsidRDefault="00BD38CD"/>
    <w:p w:rsidR="004F35EE" w:rsidRDefault="004F35EE">
      <w:pPr>
        <w:rPr>
          <w:rFonts w:asciiTheme="majorHAnsi" w:eastAsiaTheme="majorEastAsia" w:hAnsiTheme="majorHAnsi" w:cstheme="majorBidi"/>
          <w:b/>
          <w:bCs/>
          <w:color w:val="365F91" w:themeColor="accent1" w:themeShade="BF"/>
          <w:sz w:val="28"/>
          <w:szCs w:val="28"/>
        </w:rPr>
      </w:pPr>
      <w:r>
        <w:br w:type="page"/>
      </w:r>
    </w:p>
    <w:p w:rsidR="004F35EE" w:rsidRDefault="004F35EE" w:rsidP="004F35EE">
      <w:pPr>
        <w:pStyle w:val="Heading1"/>
      </w:pPr>
      <w:r>
        <w:lastRenderedPageBreak/>
        <w:t>Comments from Matt – 7 December</w:t>
      </w:r>
    </w:p>
    <w:p w:rsidR="004F35EE" w:rsidRDefault="004F35EE"/>
    <w:tbl>
      <w:tblPr>
        <w:tblStyle w:val="TableGrid"/>
        <w:tblW w:w="0" w:type="auto"/>
        <w:tblLook w:val="04A0" w:firstRow="1" w:lastRow="0" w:firstColumn="1" w:lastColumn="0" w:noHBand="0" w:noVBand="1"/>
      </w:tblPr>
      <w:tblGrid>
        <w:gridCol w:w="534"/>
        <w:gridCol w:w="567"/>
        <w:gridCol w:w="3685"/>
        <w:gridCol w:w="4456"/>
      </w:tblGrid>
      <w:tr w:rsidR="004F35EE" w:rsidTr="006B7504">
        <w:tc>
          <w:tcPr>
            <w:tcW w:w="534" w:type="dxa"/>
          </w:tcPr>
          <w:p w:rsidR="004F35EE" w:rsidRPr="00BD38CD" w:rsidRDefault="004F35EE" w:rsidP="006B7504">
            <w:pPr>
              <w:rPr>
                <w:b/>
              </w:rPr>
            </w:pPr>
            <w:r w:rsidRPr="00BD38CD">
              <w:rPr>
                <w:b/>
              </w:rPr>
              <w:t>#</w:t>
            </w:r>
          </w:p>
        </w:tc>
        <w:tc>
          <w:tcPr>
            <w:tcW w:w="567" w:type="dxa"/>
          </w:tcPr>
          <w:p w:rsidR="004F35EE" w:rsidRPr="00BD38CD" w:rsidRDefault="004F35EE" w:rsidP="006B7504">
            <w:pPr>
              <w:rPr>
                <w:b/>
              </w:rPr>
            </w:pPr>
            <w:r w:rsidRPr="00BD38CD">
              <w:rPr>
                <w:b/>
              </w:rPr>
              <w:t>p</w:t>
            </w:r>
          </w:p>
        </w:tc>
        <w:tc>
          <w:tcPr>
            <w:tcW w:w="3685" w:type="dxa"/>
          </w:tcPr>
          <w:p w:rsidR="004F35EE" w:rsidRPr="00BD38CD" w:rsidRDefault="004F35EE" w:rsidP="006B7504">
            <w:pPr>
              <w:rPr>
                <w:b/>
              </w:rPr>
            </w:pPr>
            <w:r w:rsidRPr="00BD38CD">
              <w:rPr>
                <w:b/>
              </w:rPr>
              <w:t>Comment</w:t>
            </w:r>
          </w:p>
        </w:tc>
        <w:tc>
          <w:tcPr>
            <w:tcW w:w="4456" w:type="dxa"/>
          </w:tcPr>
          <w:p w:rsidR="004F35EE" w:rsidRPr="00BD38CD" w:rsidRDefault="004F35EE" w:rsidP="006B7504">
            <w:pPr>
              <w:rPr>
                <w:b/>
              </w:rPr>
            </w:pPr>
            <w:r w:rsidRPr="00BD38CD">
              <w:rPr>
                <w:b/>
              </w:rPr>
              <w:t>Response</w:t>
            </w:r>
          </w:p>
        </w:tc>
      </w:tr>
      <w:tr w:rsidR="004F35EE" w:rsidTr="006B7504">
        <w:tc>
          <w:tcPr>
            <w:tcW w:w="534" w:type="dxa"/>
          </w:tcPr>
          <w:p w:rsidR="004F35EE" w:rsidRDefault="004F35EE" w:rsidP="006B7504">
            <w:r>
              <w:t>1</w:t>
            </w:r>
          </w:p>
        </w:tc>
        <w:tc>
          <w:tcPr>
            <w:tcW w:w="567" w:type="dxa"/>
          </w:tcPr>
          <w:p w:rsidR="004F35EE" w:rsidRDefault="004F35EE" w:rsidP="006B7504">
            <w:r>
              <w:t>5</w:t>
            </w:r>
          </w:p>
        </w:tc>
        <w:tc>
          <w:tcPr>
            <w:tcW w:w="3685" w:type="dxa"/>
          </w:tcPr>
          <w:p w:rsidR="004F35EE" w:rsidRDefault="004F35EE" w:rsidP="004F35EE">
            <w:pPr>
              <w:rPr>
                <w:sz w:val="20"/>
                <w:szCs w:val="20"/>
              </w:rPr>
            </w:pPr>
            <w:r>
              <w:rPr>
                <w:sz w:val="20"/>
                <w:szCs w:val="20"/>
              </w:rPr>
              <w:t xml:space="preserve">Move this one to last and also add that this was due to the risk estimated through the CHADS score increasing. </w:t>
            </w:r>
          </w:p>
          <w:p w:rsidR="004F35EE" w:rsidRDefault="004F35EE" w:rsidP="004F35EE">
            <w:r>
              <w:rPr>
                <w:sz w:val="20"/>
                <w:szCs w:val="20"/>
              </w:rPr>
              <w:t>Did we build the model so than an OAC was given if being aged 75+ took you to the threshold?</w:t>
            </w:r>
          </w:p>
        </w:tc>
        <w:tc>
          <w:tcPr>
            <w:tcW w:w="4456" w:type="dxa"/>
          </w:tcPr>
          <w:p w:rsidR="004F35EE" w:rsidRDefault="004F35EE" w:rsidP="006B7504">
            <w:r>
              <w:t>Yes (to 2</w:t>
            </w:r>
            <w:r w:rsidRPr="004F35EE">
              <w:rPr>
                <w:vertAlign w:val="superscript"/>
              </w:rPr>
              <w:t>nd</w:t>
            </w:r>
            <w:r>
              <w:t xml:space="preserve"> point). </w:t>
            </w:r>
          </w:p>
          <w:p w:rsidR="004F35EE" w:rsidRDefault="004F35EE" w:rsidP="006B7504">
            <w:r>
              <w:t>Have added sentence</w:t>
            </w:r>
          </w:p>
          <w:p w:rsidR="004F35EE" w:rsidRPr="004F35EE" w:rsidRDefault="004F35EE" w:rsidP="006B7504">
            <w:pPr>
              <w:rPr>
                <w:b/>
                <w:i/>
              </w:rPr>
            </w:pPr>
            <w:r>
              <w:rPr>
                <w:b/>
                <w:u w:val="single"/>
              </w:rPr>
              <w:t>Action</w:t>
            </w:r>
            <w:r>
              <w:rPr>
                <w:b/>
                <w:i/>
              </w:rPr>
              <w:t>: No further action required</w:t>
            </w:r>
          </w:p>
        </w:tc>
      </w:tr>
      <w:tr w:rsidR="004F35EE" w:rsidTr="006B7504">
        <w:tc>
          <w:tcPr>
            <w:tcW w:w="534" w:type="dxa"/>
          </w:tcPr>
          <w:p w:rsidR="004F35EE" w:rsidRDefault="004F35EE" w:rsidP="006B7504">
            <w:r>
              <w:t>2</w:t>
            </w:r>
          </w:p>
        </w:tc>
        <w:tc>
          <w:tcPr>
            <w:tcW w:w="567" w:type="dxa"/>
          </w:tcPr>
          <w:p w:rsidR="004F35EE" w:rsidRDefault="004F35EE" w:rsidP="006B7504">
            <w:r>
              <w:t>5</w:t>
            </w:r>
          </w:p>
        </w:tc>
        <w:tc>
          <w:tcPr>
            <w:tcW w:w="3685" w:type="dxa"/>
          </w:tcPr>
          <w:p w:rsidR="004F35EE" w:rsidRDefault="004F35EE" w:rsidP="006B7504">
            <w:r>
              <w:rPr>
                <w:sz w:val="20"/>
                <w:szCs w:val="20"/>
              </w:rPr>
              <w:t>Need to add that following bleed OACs are discontinued.</w:t>
            </w:r>
          </w:p>
        </w:tc>
        <w:tc>
          <w:tcPr>
            <w:tcW w:w="4456" w:type="dxa"/>
          </w:tcPr>
          <w:p w:rsidR="004F35EE" w:rsidRDefault="004F35EE" w:rsidP="006B7504">
            <w:r>
              <w:t>The paragraph already includes:</w:t>
            </w:r>
          </w:p>
          <w:p w:rsidR="004F35EE" w:rsidRDefault="004F35EE" w:rsidP="006B7504">
            <w:pPr>
              <w:rPr>
                <w:sz w:val="18"/>
                <w:szCs w:val="18"/>
              </w:rPr>
            </w:pPr>
            <w:r>
              <w:t>“</w:t>
            </w:r>
            <w:r>
              <w:rPr>
                <w:sz w:val="18"/>
                <w:szCs w:val="18"/>
              </w:rPr>
              <w:t>withdrawal of an OAC following a major bleed”</w:t>
            </w:r>
          </w:p>
          <w:p w:rsidR="004F35EE" w:rsidRPr="004F35EE" w:rsidRDefault="004F35EE" w:rsidP="004F35EE">
            <w:r>
              <w:rPr>
                <w:b/>
                <w:u w:val="single"/>
              </w:rPr>
              <w:t>Action</w:t>
            </w:r>
            <w:r>
              <w:rPr>
                <w:b/>
                <w:i/>
              </w:rPr>
              <w:t>: Matt to decide if something else needs to be written.</w:t>
            </w:r>
          </w:p>
        </w:tc>
      </w:tr>
      <w:tr w:rsidR="004F35EE" w:rsidTr="006B7504">
        <w:tc>
          <w:tcPr>
            <w:tcW w:w="534" w:type="dxa"/>
          </w:tcPr>
          <w:p w:rsidR="004F35EE" w:rsidRDefault="004F35EE" w:rsidP="006B7504">
            <w:r>
              <w:t>3</w:t>
            </w:r>
          </w:p>
        </w:tc>
        <w:tc>
          <w:tcPr>
            <w:tcW w:w="567" w:type="dxa"/>
          </w:tcPr>
          <w:p w:rsidR="004F35EE" w:rsidRDefault="008C7405" w:rsidP="006B7504">
            <w:r>
              <w:t>6</w:t>
            </w:r>
          </w:p>
        </w:tc>
        <w:tc>
          <w:tcPr>
            <w:tcW w:w="3685" w:type="dxa"/>
          </w:tcPr>
          <w:p w:rsidR="004F35EE" w:rsidRDefault="008C7405" w:rsidP="006B7504">
            <w:r>
              <w:rPr>
                <w:sz w:val="20"/>
                <w:szCs w:val="20"/>
              </w:rPr>
              <w:t>Switching between WTP and MAICER could confuse people. Stick with one</w:t>
            </w:r>
          </w:p>
        </w:tc>
        <w:tc>
          <w:tcPr>
            <w:tcW w:w="4456" w:type="dxa"/>
          </w:tcPr>
          <w:p w:rsidR="004F35EE" w:rsidRDefault="008C7405" w:rsidP="006B7504">
            <w:r>
              <w:t>I don’t use the phrase willingness to pay or acronym WTP in the manuscript.</w:t>
            </w:r>
          </w:p>
          <w:p w:rsidR="008C7405" w:rsidRDefault="008C7405" w:rsidP="008C7405">
            <w:r>
              <w:rPr>
                <w:b/>
                <w:u w:val="single"/>
              </w:rPr>
              <w:t>Action</w:t>
            </w:r>
            <w:r>
              <w:rPr>
                <w:b/>
                <w:i/>
              </w:rPr>
              <w:t>: None required</w:t>
            </w:r>
          </w:p>
        </w:tc>
      </w:tr>
      <w:tr w:rsidR="004F35EE" w:rsidTr="006B7504">
        <w:tc>
          <w:tcPr>
            <w:tcW w:w="534" w:type="dxa"/>
          </w:tcPr>
          <w:p w:rsidR="004F35EE" w:rsidRDefault="004F35EE" w:rsidP="006B7504">
            <w:r>
              <w:t>4</w:t>
            </w:r>
          </w:p>
        </w:tc>
        <w:tc>
          <w:tcPr>
            <w:tcW w:w="567" w:type="dxa"/>
          </w:tcPr>
          <w:p w:rsidR="004F35EE" w:rsidRDefault="00A543DC" w:rsidP="006B7504">
            <w:r>
              <w:t>7</w:t>
            </w:r>
          </w:p>
        </w:tc>
        <w:tc>
          <w:tcPr>
            <w:tcW w:w="3685" w:type="dxa"/>
          </w:tcPr>
          <w:p w:rsidR="00A543DC" w:rsidRDefault="00A543DC" w:rsidP="00A543DC">
            <w:pPr>
              <w:pStyle w:val="Default"/>
              <w:rPr>
                <w:sz w:val="16"/>
                <w:szCs w:val="16"/>
              </w:rPr>
            </w:pPr>
            <w:r>
              <w:rPr>
                <w:sz w:val="20"/>
                <w:szCs w:val="20"/>
              </w:rPr>
              <w:t xml:space="preserve">7-1 </w:t>
            </w:r>
            <w:r>
              <w:rPr>
                <w:sz w:val="16"/>
                <w:szCs w:val="16"/>
              </w:rPr>
              <w:t xml:space="preserve">6 Dec 2012 20:27, Matt Stevenson </w:t>
            </w:r>
          </w:p>
          <w:p w:rsidR="00A543DC" w:rsidRDefault="00A543DC" w:rsidP="00A543DC">
            <w:pPr>
              <w:pStyle w:val="Default"/>
              <w:rPr>
                <w:rFonts w:cstheme="minorBidi"/>
                <w:color w:val="auto"/>
                <w:sz w:val="20"/>
                <w:szCs w:val="20"/>
              </w:rPr>
            </w:pPr>
            <w:r>
              <w:rPr>
                <w:rFonts w:cstheme="minorBidi"/>
                <w:color w:val="auto"/>
                <w:sz w:val="20"/>
                <w:szCs w:val="20"/>
              </w:rPr>
              <w:t xml:space="preserve">Plural? </w:t>
            </w:r>
          </w:p>
          <w:p w:rsidR="00A543DC" w:rsidRDefault="00A543DC" w:rsidP="00A543DC">
            <w:pPr>
              <w:pStyle w:val="Default"/>
              <w:rPr>
                <w:rFonts w:cstheme="minorBidi"/>
                <w:color w:val="auto"/>
                <w:sz w:val="16"/>
                <w:szCs w:val="16"/>
              </w:rPr>
            </w:pPr>
            <w:r>
              <w:rPr>
                <w:rFonts w:cstheme="minorBidi"/>
                <w:color w:val="auto"/>
                <w:sz w:val="20"/>
                <w:szCs w:val="20"/>
              </w:rPr>
              <w:t xml:space="preserve">7-2 </w:t>
            </w:r>
            <w:r>
              <w:rPr>
                <w:rFonts w:cstheme="minorBidi"/>
                <w:color w:val="auto"/>
                <w:sz w:val="16"/>
                <w:szCs w:val="16"/>
              </w:rPr>
              <w:t xml:space="preserve">6 Dec 2012 20:27, Matt Stevenson </w:t>
            </w:r>
          </w:p>
          <w:p w:rsidR="004F35EE" w:rsidRDefault="00A543DC" w:rsidP="00A543DC">
            <w:r>
              <w:rPr>
                <w:sz w:val="20"/>
                <w:szCs w:val="20"/>
              </w:rPr>
              <w:t>Check it is mean and not median</w:t>
            </w:r>
          </w:p>
        </w:tc>
        <w:tc>
          <w:tcPr>
            <w:tcW w:w="4456" w:type="dxa"/>
          </w:tcPr>
          <w:p w:rsidR="004F35EE" w:rsidRDefault="00A543DC" w:rsidP="006B7504">
            <w:r>
              <w:t xml:space="preserve">Changed ‘depend’ to ‘depends’: there’s definitely one ICER, but calculated for multiple scenarios. </w:t>
            </w:r>
          </w:p>
          <w:p w:rsidR="00A543DC" w:rsidRDefault="00A543DC" w:rsidP="006B7504">
            <w:r>
              <w:t>It is mean.</w:t>
            </w:r>
          </w:p>
          <w:p w:rsidR="00A543DC" w:rsidRPr="00A543DC" w:rsidRDefault="00A543DC" w:rsidP="006B7504">
            <w:r>
              <w:rPr>
                <w:b/>
                <w:u w:val="single"/>
              </w:rPr>
              <w:t>Action</w:t>
            </w:r>
            <w:r>
              <w:rPr>
                <w:b/>
                <w:i/>
              </w:rPr>
              <w:t>: None further required</w:t>
            </w:r>
          </w:p>
        </w:tc>
      </w:tr>
      <w:tr w:rsidR="004F35EE" w:rsidTr="006B7504">
        <w:tc>
          <w:tcPr>
            <w:tcW w:w="534" w:type="dxa"/>
          </w:tcPr>
          <w:p w:rsidR="004F35EE" w:rsidRDefault="004F35EE" w:rsidP="006B7504">
            <w:r>
              <w:t>5</w:t>
            </w:r>
          </w:p>
        </w:tc>
        <w:tc>
          <w:tcPr>
            <w:tcW w:w="567" w:type="dxa"/>
          </w:tcPr>
          <w:p w:rsidR="004F35EE" w:rsidRDefault="00A543DC" w:rsidP="006B7504">
            <w:r>
              <w:t>7</w:t>
            </w:r>
          </w:p>
        </w:tc>
        <w:tc>
          <w:tcPr>
            <w:tcW w:w="3685" w:type="dxa"/>
          </w:tcPr>
          <w:p w:rsidR="004F35EE" w:rsidRDefault="00A543DC" w:rsidP="006B7504">
            <w:r>
              <w:rPr>
                <w:sz w:val="20"/>
                <w:szCs w:val="20"/>
              </w:rPr>
              <w:t>We defined ICER, will we use it?</w:t>
            </w:r>
          </w:p>
        </w:tc>
        <w:tc>
          <w:tcPr>
            <w:tcW w:w="4456" w:type="dxa"/>
          </w:tcPr>
          <w:p w:rsidR="004F35EE" w:rsidRDefault="00A543DC" w:rsidP="006B7504">
            <w:r>
              <w:t xml:space="preserve">Used the term ICER instead cost-effectiveness ratio. </w:t>
            </w:r>
          </w:p>
          <w:p w:rsidR="00A543DC" w:rsidRDefault="00A543DC" w:rsidP="006B7504">
            <w:r>
              <w:rPr>
                <w:b/>
                <w:u w:val="single"/>
              </w:rPr>
              <w:t>Action</w:t>
            </w:r>
            <w:r>
              <w:rPr>
                <w:b/>
                <w:i/>
              </w:rPr>
              <w:t>: None further required</w:t>
            </w:r>
          </w:p>
        </w:tc>
      </w:tr>
      <w:tr w:rsidR="004F35EE" w:rsidTr="006B7504">
        <w:tc>
          <w:tcPr>
            <w:tcW w:w="534" w:type="dxa"/>
          </w:tcPr>
          <w:p w:rsidR="004F35EE" w:rsidRDefault="004F35EE" w:rsidP="006B7504">
            <w:r>
              <w:t>6</w:t>
            </w:r>
          </w:p>
        </w:tc>
        <w:tc>
          <w:tcPr>
            <w:tcW w:w="567" w:type="dxa"/>
          </w:tcPr>
          <w:p w:rsidR="004F35EE" w:rsidRDefault="00A543DC" w:rsidP="006B7504">
            <w:r>
              <w:t>7</w:t>
            </w:r>
          </w:p>
        </w:tc>
        <w:tc>
          <w:tcPr>
            <w:tcW w:w="3685" w:type="dxa"/>
          </w:tcPr>
          <w:p w:rsidR="004F35EE" w:rsidRDefault="00A543DC" w:rsidP="006B7504">
            <w:r>
              <w:rPr>
                <w:sz w:val="20"/>
                <w:szCs w:val="20"/>
              </w:rPr>
              <w:t>For consistency we Need to either add b) here or take out the a) later</w:t>
            </w:r>
          </w:p>
        </w:tc>
        <w:tc>
          <w:tcPr>
            <w:tcW w:w="4456" w:type="dxa"/>
          </w:tcPr>
          <w:p w:rsidR="004F35EE" w:rsidRDefault="00A543DC" w:rsidP="006B7504">
            <w:r>
              <w:t xml:space="preserve">I don’t understand this comment. </w:t>
            </w:r>
          </w:p>
          <w:p w:rsidR="00A543DC" w:rsidRPr="00A543DC" w:rsidRDefault="00A543DC" w:rsidP="006B7504">
            <w:pPr>
              <w:rPr>
                <w:b/>
                <w:i/>
              </w:rPr>
            </w:pPr>
            <w:r>
              <w:rPr>
                <w:b/>
                <w:u w:val="single"/>
              </w:rPr>
              <w:t>Action</w:t>
            </w:r>
            <w:r>
              <w:rPr>
                <w:b/>
                <w:i/>
              </w:rPr>
              <w:t>: Discuss</w:t>
            </w:r>
          </w:p>
        </w:tc>
      </w:tr>
      <w:tr w:rsidR="004F35EE" w:rsidTr="006B7504">
        <w:tc>
          <w:tcPr>
            <w:tcW w:w="534" w:type="dxa"/>
          </w:tcPr>
          <w:p w:rsidR="004F35EE" w:rsidRDefault="004F35EE" w:rsidP="006B7504">
            <w:r>
              <w:t>7</w:t>
            </w:r>
          </w:p>
        </w:tc>
        <w:tc>
          <w:tcPr>
            <w:tcW w:w="567" w:type="dxa"/>
          </w:tcPr>
          <w:p w:rsidR="004F35EE" w:rsidRDefault="004F35EE" w:rsidP="006B7504"/>
        </w:tc>
        <w:tc>
          <w:tcPr>
            <w:tcW w:w="3685" w:type="dxa"/>
          </w:tcPr>
          <w:p w:rsidR="004F35EE" w:rsidRDefault="004F35EE" w:rsidP="006B7504"/>
        </w:tc>
        <w:tc>
          <w:tcPr>
            <w:tcW w:w="4456" w:type="dxa"/>
          </w:tcPr>
          <w:p w:rsidR="004F35EE" w:rsidRDefault="004F35EE" w:rsidP="006B7504"/>
        </w:tc>
      </w:tr>
      <w:tr w:rsidR="004F35EE" w:rsidTr="006B7504">
        <w:tc>
          <w:tcPr>
            <w:tcW w:w="534" w:type="dxa"/>
          </w:tcPr>
          <w:p w:rsidR="004F35EE" w:rsidRDefault="004F35EE" w:rsidP="006B7504">
            <w:r>
              <w:t>8</w:t>
            </w:r>
          </w:p>
        </w:tc>
        <w:tc>
          <w:tcPr>
            <w:tcW w:w="567" w:type="dxa"/>
          </w:tcPr>
          <w:p w:rsidR="004F35EE" w:rsidRDefault="004F35EE" w:rsidP="006B7504"/>
        </w:tc>
        <w:tc>
          <w:tcPr>
            <w:tcW w:w="3685" w:type="dxa"/>
          </w:tcPr>
          <w:p w:rsidR="004F35EE" w:rsidRDefault="004F35EE" w:rsidP="006B7504"/>
        </w:tc>
        <w:tc>
          <w:tcPr>
            <w:tcW w:w="4456" w:type="dxa"/>
          </w:tcPr>
          <w:p w:rsidR="004F35EE" w:rsidRDefault="004F35EE" w:rsidP="006B7504"/>
        </w:tc>
      </w:tr>
    </w:tbl>
    <w:p w:rsidR="004F35EE" w:rsidRDefault="004F35EE"/>
    <w:sectPr w:rsidR="004F35EE"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SNIEE+Helvetica">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0137"/>
    <w:multiLevelType w:val="hybridMultilevel"/>
    <w:tmpl w:val="73202B6E"/>
    <w:lvl w:ilvl="0" w:tplc="157EC36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D38CD"/>
    <w:rsid w:val="000D731E"/>
    <w:rsid w:val="00171BE5"/>
    <w:rsid w:val="00317B0E"/>
    <w:rsid w:val="003D7710"/>
    <w:rsid w:val="003F4340"/>
    <w:rsid w:val="004B59B0"/>
    <w:rsid w:val="004F35EE"/>
    <w:rsid w:val="004F6786"/>
    <w:rsid w:val="006F6F41"/>
    <w:rsid w:val="008C7405"/>
    <w:rsid w:val="009206D9"/>
    <w:rsid w:val="009B762A"/>
    <w:rsid w:val="009C4E97"/>
    <w:rsid w:val="00A543DC"/>
    <w:rsid w:val="00BD38CD"/>
    <w:rsid w:val="00C1201C"/>
    <w:rsid w:val="00C26442"/>
    <w:rsid w:val="00D828F2"/>
    <w:rsid w:val="00E13288"/>
    <w:rsid w:val="00F90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F35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38CD"/>
    <w:pPr>
      <w:ind w:left="720"/>
      <w:contextualSpacing/>
    </w:pPr>
  </w:style>
  <w:style w:type="character" w:customStyle="1" w:styleId="Heading1Char">
    <w:name w:val="Heading 1 Char"/>
    <w:basedOn w:val="DefaultParagraphFont"/>
    <w:link w:val="Heading1"/>
    <w:uiPriority w:val="9"/>
    <w:rsid w:val="004F35EE"/>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543DC"/>
    <w:pPr>
      <w:autoSpaceDE w:val="0"/>
      <w:autoSpaceDN w:val="0"/>
      <w:adjustRightInd w:val="0"/>
      <w:spacing w:after="0" w:line="240" w:lineRule="auto"/>
    </w:pPr>
    <w:rPr>
      <w:rFonts w:ascii="FSNIEE+Helvetica" w:hAnsi="FSNIEE+Helvetica" w:cs="FSNIEE+Helvetica"/>
      <w:color w:val="000000"/>
      <w:sz w:val="24"/>
      <w:szCs w:val="24"/>
    </w:rPr>
  </w:style>
  <w:style w:type="character" w:styleId="CommentReference">
    <w:name w:val="annotation reference"/>
    <w:basedOn w:val="DefaultParagraphFont"/>
    <w:uiPriority w:val="99"/>
    <w:semiHidden/>
    <w:unhideWhenUsed/>
    <w:rsid w:val="006F6F41"/>
    <w:rPr>
      <w:sz w:val="16"/>
      <w:szCs w:val="16"/>
    </w:rPr>
  </w:style>
  <w:style w:type="paragraph" w:styleId="CommentText">
    <w:name w:val="annotation text"/>
    <w:basedOn w:val="Normal"/>
    <w:link w:val="CommentTextChar"/>
    <w:uiPriority w:val="99"/>
    <w:unhideWhenUsed/>
    <w:rsid w:val="006F6F41"/>
    <w:pPr>
      <w:spacing w:after="0" w:line="240" w:lineRule="auto"/>
      <w:jc w:val="both"/>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6F6F41"/>
    <w:rPr>
      <w:rFonts w:ascii="Times New Roman" w:eastAsia="Times New Roman" w:hAnsi="Times New Roman" w:cs="Times New Roman"/>
      <w:sz w:val="20"/>
      <w:szCs w:val="20"/>
      <w:lang w:eastAsia="en-GB"/>
    </w:rPr>
  </w:style>
  <w:style w:type="paragraph" w:styleId="Header">
    <w:name w:val="header"/>
    <w:basedOn w:val="Normal"/>
    <w:link w:val="HeaderChar"/>
    <w:uiPriority w:val="99"/>
    <w:rsid w:val="003D7710"/>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rsid w:val="003D7710"/>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B5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h.gov.uk/en/Publicationsandstatistics/Publications/PublicationsPolicyAndGuidance/DH_1234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0B5A0-52E7-414E-8FD5-5FF79FB6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8</cp:revision>
  <dcterms:created xsi:type="dcterms:W3CDTF">2012-12-05T15:20:00Z</dcterms:created>
  <dcterms:modified xsi:type="dcterms:W3CDTF">2012-12-30T21:30:00Z</dcterms:modified>
</cp:coreProperties>
</file>