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53316">
        <w:rPr>
          <w:bCs/>
          <w:shd w:val="clear" w:color="auto" w:fill="FFFFFF"/>
        </w:rPr>
        <w:t>[Revise after Warf=0 results]</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53316">
        <w:t xml:space="preserve">[Revise after </w:t>
      </w:r>
      <w:proofErr w:type="spellStart"/>
      <w:r w:rsidR="00253316">
        <w:t>warf</w:t>
      </w:r>
      <w:proofErr w:type="spellEnd"/>
      <w:r w:rsidR="00253316">
        <w:t>=0 results]</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253316">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253316">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xml:space="preserve">, </w:t>
      </w:r>
      <w:r w:rsidR="003A64BB">
        <w:lastRenderedPageBreak/>
        <w:t>since those with CHADS</w:t>
      </w:r>
      <w:r w:rsidR="003A64BB" w:rsidRPr="00B36EBC">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253316">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253316">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253316">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253316">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253316">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253316">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w:t>
      </w:r>
      <w:r w:rsidR="001138A7" w:rsidRPr="00532F44">
        <w:lastRenderedPageBreak/>
        <w:t xml:space="preserve">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6E14F1" w:rsidRDefault="00DF4463" w:rsidP="003378D6">
      <w:pPr>
        <w:pStyle w:val="Heading1"/>
        <w:numPr>
          <w:ilvl w:val="0"/>
          <w:numId w:val="0"/>
        </w:numPr>
        <w:rPr>
          <w:color w:val="002060"/>
        </w:rPr>
      </w:pPr>
      <w:bookmarkStart w:id="1" w:name="OLE_LINK1"/>
      <w:bookmarkStart w:id="2" w:name="OLE_LINK2"/>
      <w:bookmarkEnd w:id="0"/>
      <w:r w:rsidRPr="006E14F1">
        <w:rPr>
          <w:color w:val="002060"/>
        </w:rPr>
        <w:t>Results</w:t>
      </w:r>
    </w:p>
    <w:p w:rsidR="006E14F1" w:rsidRPr="006E14F1" w:rsidRDefault="0083066E" w:rsidP="008D3B31">
      <w:pPr>
        <w:spacing w:line="480" w:lineRule="auto"/>
        <w:rPr>
          <w:color w:val="002060"/>
        </w:rPr>
      </w:pPr>
      <w:r w:rsidRPr="006E14F1">
        <w:rPr>
          <w:color w:val="002060"/>
        </w:rPr>
        <w:t xml:space="preserve">In these results, the patient population is of 65 year old females with an initial CHADS2 score of 0, and the OAC is </w:t>
      </w:r>
      <w:proofErr w:type="gramStart"/>
      <w:r w:rsidRPr="006E14F1">
        <w:rPr>
          <w:color w:val="002060"/>
        </w:rPr>
        <w:t>either warfarin</w:t>
      </w:r>
      <w:proofErr w:type="gramEnd"/>
      <w:r w:rsidRPr="006E14F1">
        <w:rPr>
          <w:color w:val="002060"/>
        </w:rPr>
        <w:t xml:space="preserve">, </w:t>
      </w:r>
      <w:proofErr w:type="spellStart"/>
      <w:r w:rsidRPr="006E14F1">
        <w:rPr>
          <w:color w:val="002060"/>
        </w:rPr>
        <w:t>rivaroxaban</w:t>
      </w:r>
      <w:proofErr w:type="spellEnd"/>
      <w:r w:rsidRPr="006E14F1">
        <w:rPr>
          <w:color w:val="002060"/>
        </w:rPr>
        <w:t xml:space="preserve">, or </w:t>
      </w:r>
      <w:proofErr w:type="spellStart"/>
      <w:r w:rsidRPr="006E14F1">
        <w:rPr>
          <w:color w:val="002060"/>
        </w:rPr>
        <w:t>dabigatran</w:t>
      </w:r>
      <w:proofErr w:type="spellEnd"/>
      <w:r w:rsidRPr="006E14F1">
        <w:rPr>
          <w:color w:val="002060"/>
        </w:rPr>
        <w:t xml:space="preserve">. </w:t>
      </w:r>
      <w:r w:rsidR="006E14F1" w:rsidRPr="00D561D8">
        <w:rPr>
          <w:color w:val="FF0000"/>
        </w:rPr>
        <w:t xml:space="preserve">Table </w:t>
      </w:r>
      <w:r w:rsidR="006E14F1" w:rsidRPr="00D561D8">
        <w:rPr>
          <w:color w:val="FF0000"/>
        </w:rPr>
        <w:fldChar w:fldCharType="begin"/>
      </w:r>
      <w:r w:rsidR="006E14F1" w:rsidRPr="00D561D8">
        <w:rPr>
          <w:color w:val="FF0000"/>
        </w:rPr>
        <w:instrText xml:space="preserve"> SEQ Table \* ARABIC </w:instrText>
      </w:r>
      <w:r w:rsidR="006E14F1" w:rsidRPr="00D561D8">
        <w:rPr>
          <w:color w:val="FF0000"/>
        </w:rPr>
        <w:fldChar w:fldCharType="separate"/>
      </w:r>
      <w:r w:rsidR="006E14F1">
        <w:rPr>
          <w:noProof/>
          <w:color w:val="FF0000"/>
        </w:rPr>
        <w:t>3</w:t>
      </w:r>
      <w:r w:rsidR="006E14F1" w:rsidRPr="00D561D8">
        <w:rPr>
          <w:noProof/>
          <w:color w:val="FF0000"/>
        </w:rPr>
        <w:fldChar w:fldCharType="end"/>
      </w:r>
      <w:r w:rsidR="006E14F1" w:rsidRPr="0046051B">
        <w:t xml:space="preserve"> </w:t>
      </w:r>
      <w:r w:rsidRPr="006E14F1">
        <w:rPr>
          <w:color w:val="002060"/>
        </w:rPr>
        <w:t xml:space="preserve">presents some summary statistics of simulated patient outcomes for </w:t>
      </w:r>
      <w:proofErr w:type="gramStart"/>
      <w:r w:rsidRPr="006E14F1">
        <w:rPr>
          <w:color w:val="002060"/>
        </w:rPr>
        <w:t>the with</w:t>
      </w:r>
      <w:proofErr w:type="gramEnd"/>
      <w:r w:rsidRPr="006E14F1">
        <w:rPr>
          <w:color w:val="002060"/>
        </w:rPr>
        <w:t xml:space="preserve"> and without TTE </w:t>
      </w:r>
      <w:proofErr w:type="spellStart"/>
      <w:r w:rsidRPr="006E14F1">
        <w:rPr>
          <w:color w:val="002060"/>
        </w:rPr>
        <w:t>strategires</w:t>
      </w:r>
      <w:proofErr w:type="spellEnd"/>
      <w:r w:rsidRPr="006E14F1">
        <w:rPr>
          <w:color w:val="002060"/>
        </w:rPr>
        <w:t xml:space="preserve">. </w:t>
      </w:r>
      <w:r w:rsidR="006E14F1">
        <w:rPr>
          <w:color w:val="002060"/>
        </w:rPr>
        <w:fldChar w:fldCharType="begin"/>
      </w:r>
      <w:r w:rsidR="006E14F1">
        <w:rPr>
          <w:color w:val="002060"/>
        </w:rPr>
        <w:instrText xml:space="preserve"> REF _Ref345417087 \h </w:instrText>
      </w:r>
      <w:r w:rsidR="006E14F1">
        <w:rPr>
          <w:color w:val="002060"/>
        </w:rPr>
      </w:r>
      <w:r w:rsidR="006E14F1">
        <w:rPr>
          <w:color w:val="002060"/>
        </w:rPr>
        <w:fldChar w:fldCharType="separate"/>
      </w:r>
      <w:r w:rsidR="006E14F1">
        <w:t xml:space="preserve">Figure </w:t>
      </w:r>
      <w:r w:rsidR="006E14F1">
        <w:rPr>
          <w:noProof/>
        </w:rPr>
        <w:t>2</w:t>
      </w:r>
      <w:r w:rsidR="006E14F1">
        <w:rPr>
          <w:color w:val="002060"/>
        </w:rPr>
        <w:fldChar w:fldCharType="end"/>
      </w:r>
      <w:r w:rsidR="006E14F1" w:rsidRPr="006E14F1">
        <w:rPr>
          <w:color w:val="FF0000"/>
        </w:rPr>
        <w:t xml:space="preserve"> </w:t>
      </w:r>
      <w:r w:rsidRPr="006E14F1">
        <w:rPr>
          <w:color w:val="002060"/>
        </w:rPr>
        <w:t xml:space="preserve">show the PSA scatterplots and CEAFs where the </w:t>
      </w:r>
      <w:r w:rsidR="006E14F1">
        <w:rPr>
          <w:color w:val="002060"/>
        </w:rPr>
        <w:t xml:space="preserve">OAC is </w:t>
      </w:r>
      <w:r w:rsidRPr="006E14F1">
        <w:rPr>
          <w:color w:val="002060"/>
        </w:rPr>
        <w:t xml:space="preserve">either warfarin (a, b), </w:t>
      </w:r>
      <w:proofErr w:type="spellStart"/>
      <w:r w:rsidRPr="006E14F1">
        <w:rPr>
          <w:color w:val="002060"/>
        </w:rPr>
        <w:t>rivaroxaban</w:t>
      </w:r>
      <w:proofErr w:type="spellEnd"/>
      <w:r w:rsidRPr="006E14F1">
        <w:rPr>
          <w:color w:val="002060"/>
        </w:rPr>
        <w:t xml:space="preserve"> (</w:t>
      </w:r>
      <w:proofErr w:type="spellStart"/>
      <w:r w:rsidRPr="006E14F1">
        <w:rPr>
          <w:color w:val="002060"/>
        </w:rPr>
        <w:t>c</w:t>
      </w:r>
      <w:proofErr w:type="gramStart"/>
      <w:r w:rsidRPr="006E14F1">
        <w:rPr>
          <w:color w:val="002060"/>
        </w:rPr>
        <w:t>,d</w:t>
      </w:r>
      <w:proofErr w:type="spellEnd"/>
      <w:proofErr w:type="gramEnd"/>
      <w:r w:rsidRPr="006E14F1">
        <w:rPr>
          <w:color w:val="002060"/>
        </w:rPr>
        <w:t xml:space="preserve">), or </w:t>
      </w:r>
      <w:proofErr w:type="spellStart"/>
      <w:r w:rsidRPr="006E14F1">
        <w:rPr>
          <w:color w:val="002060"/>
        </w:rPr>
        <w:t>dabigatran</w:t>
      </w:r>
      <w:proofErr w:type="spellEnd"/>
      <w:r w:rsidRPr="006E14F1">
        <w:rPr>
          <w:color w:val="002060"/>
        </w:rPr>
        <w:t xml:space="preserve"> (</w:t>
      </w:r>
      <w:proofErr w:type="spellStart"/>
      <w:r w:rsidRPr="006E14F1">
        <w:rPr>
          <w:color w:val="002060"/>
        </w:rPr>
        <w:t>e,f</w:t>
      </w:r>
      <w:proofErr w:type="spellEnd"/>
      <w:r w:rsidRPr="006E14F1">
        <w:rPr>
          <w:color w:val="002060"/>
        </w:rPr>
        <w:t xml:space="preserve">). </w:t>
      </w:r>
      <w:r w:rsidR="006E14F1">
        <w:rPr>
          <w:color w:val="002060"/>
        </w:rPr>
        <w:fldChar w:fldCharType="begin"/>
      </w:r>
      <w:r w:rsidR="006E14F1">
        <w:rPr>
          <w:color w:val="002060"/>
        </w:rPr>
        <w:instrText xml:space="preserve"> REF _Ref345417121 \h </w:instrText>
      </w:r>
      <w:r w:rsidR="006E14F1">
        <w:rPr>
          <w:color w:val="002060"/>
        </w:rPr>
      </w:r>
      <w:r w:rsidR="006E14F1">
        <w:rPr>
          <w:color w:val="002060"/>
        </w:rPr>
        <w:fldChar w:fldCharType="separate"/>
      </w:r>
      <w:r w:rsidR="006E14F1">
        <w:t xml:space="preserve">Table </w:t>
      </w:r>
      <w:r w:rsidR="006E14F1">
        <w:rPr>
          <w:noProof/>
        </w:rPr>
        <w:t>4</w:t>
      </w:r>
      <w:r w:rsidR="006E14F1">
        <w:rPr>
          <w:color w:val="002060"/>
        </w:rPr>
        <w:fldChar w:fldCharType="end"/>
      </w:r>
      <w:r w:rsidR="006E14F1">
        <w:rPr>
          <w:color w:val="002060"/>
        </w:rPr>
        <w:t xml:space="preserve"> </w:t>
      </w:r>
      <w:r w:rsidRPr="006E14F1">
        <w:rPr>
          <w:color w:val="002060"/>
        </w:rPr>
        <w:t xml:space="preserve">shows the </w:t>
      </w:r>
      <w:r w:rsidR="006E14F1" w:rsidRPr="006E14F1">
        <w:rPr>
          <w:color w:val="002060"/>
        </w:rPr>
        <w:t xml:space="preserve">mean cost and mean QALY of the baseline (without TTE) and comparator (with TTE) strategy. </w:t>
      </w:r>
      <w:r w:rsidR="006E14F1">
        <w:rPr>
          <w:color w:val="002060"/>
        </w:rPr>
        <w:t>Results for other patient groups are included in the appendix.</w:t>
      </w:r>
    </w:p>
    <w:p w:rsidR="00273A34" w:rsidRDefault="00B13ECE" w:rsidP="008D3B31">
      <w:pPr>
        <w:spacing w:line="480" w:lineRule="auto"/>
        <w:rPr>
          <w:color w:val="002060"/>
        </w:rPr>
      </w:pPr>
      <w:r w:rsidRPr="006E14F1">
        <w:rPr>
          <w:color w:val="002060"/>
        </w:rPr>
        <w:fldChar w:fldCharType="begin"/>
      </w:r>
      <w:r w:rsidRPr="006E14F1">
        <w:rPr>
          <w:color w:val="002060"/>
        </w:rPr>
        <w:instrText xml:space="preserve"> REF _Ref321238070 \h  \* MERGEFORMAT </w:instrText>
      </w:r>
      <w:r w:rsidRPr="006E14F1">
        <w:rPr>
          <w:color w:val="002060"/>
        </w:rPr>
      </w:r>
      <w:r w:rsidRPr="006E14F1">
        <w:rPr>
          <w:color w:val="002060"/>
        </w:rPr>
        <w:fldChar w:fldCharType="separate"/>
      </w:r>
      <w:r w:rsidR="00FF7CB5" w:rsidRPr="006E14F1">
        <w:rPr>
          <w:color w:val="002060"/>
        </w:rPr>
        <w:t>Table 3</w:t>
      </w:r>
      <w:r w:rsidRPr="006E14F1">
        <w:rPr>
          <w:color w:val="002060"/>
        </w:rPr>
        <w:fldChar w:fldCharType="end"/>
      </w:r>
      <w:r w:rsidR="00605BB7" w:rsidRPr="006E14F1">
        <w:rPr>
          <w:color w:val="002060"/>
        </w:rPr>
        <w:t xml:space="preserve"> </w:t>
      </w:r>
      <w:r w:rsidR="006E14F1" w:rsidRPr="006E14F1">
        <w:rPr>
          <w:color w:val="002060"/>
        </w:rPr>
        <w:t xml:space="preserve">indicates that, irrespective of the OAC, using TTE in this way reduces the proportion of deaths caused by stroke, but increases the proportion of deaths caused by bleed. For all OAC scenarios, the number of </w:t>
      </w:r>
      <w:proofErr w:type="spellStart"/>
      <w:r w:rsidR="006E14F1" w:rsidRPr="006E14F1">
        <w:rPr>
          <w:color w:val="002060"/>
        </w:rPr>
        <w:t>lifeyears</w:t>
      </w:r>
      <w:proofErr w:type="spellEnd"/>
      <w:r w:rsidR="006E14F1" w:rsidRPr="006E14F1">
        <w:rPr>
          <w:color w:val="002060"/>
        </w:rPr>
        <w:t xml:space="preserve"> is estimated to be slightly greater when strategy incorporating TTE is used compared to the strategy without TTE, but these differences are relatively small. On average, the scenarios not using TTE are estimated to result in a lower rate of dependent and independent strokes, and a higher rate of major bleeding events, including intracranial </w:t>
      </w:r>
      <w:proofErr w:type="spellStart"/>
      <w:r w:rsidR="006E14F1" w:rsidRPr="006E14F1">
        <w:rPr>
          <w:color w:val="002060"/>
        </w:rPr>
        <w:t>haemorrhages</w:t>
      </w:r>
      <w:proofErr w:type="spellEnd"/>
      <w:r w:rsidR="006E14F1" w:rsidRPr="006E14F1">
        <w:rPr>
          <w:color w:val="002060"/>
        </w:rPr>
        <w:t xml:space="preserve"> (ICHs). </w:t>
      </w:r>
    </w:p>
    <w:p w:rsidR="00920A0B" w:rsidRPr="00253316" w:rsidRDefault="005653D1" w:rsidP="00900CA4">
      <w:pPr>
        <w:spacing w:line="480" w:lineRule="auto"/>
        <w:rPr>
          <w:color w:val="FF0000"/>
        </w:rPr>
      </w:pP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and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 both suggest that the cost-effectiveness of the TTE strategy compared with the no TTE strategy depends on the OAC which would be prescribed should the patient be identified as high risk or suffer a stroke.  Where the OAC is warfarin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a), the ICER comparing the two strategies is almost £40 000 / QALY; where the OAC </w:t>
      </w:r>
      <w:proofErr w:type="spellStart"/>
      <w:r>
        <w:rPr>
          <w:color w:val="002060"/>
        </w:rPr>
        <w:t>rivaroxaban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b), the ICER reduces to around £23 000 /QALY, and where the OAC is </w:t>
      </w:r>
      <w:proofErr w:type="spellStart"/>
      <w:r>
        <w:rPr>
          <w:color w:val="002060"/>
        </w:rPr>
        <w:t>dabigatran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c</w:t>
      </w:r>
      <w:r>
        <w:rPr>
          <w:color w:val="002060"/>
        </w:rPr>
        <w:t>)</w:t>
      </w:r>
      <w:r>
        <w:rPr>
          <w:color w:val="002060"/>
        </w:rPr>
        <w:t>, the ICER reduces further to around £12 000 / QALY. This relationship is also reflected in the CEAFs of the three scenarios (</w:t>
      </w: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b, d, and f), as the mean ICER corresponds to the point at which the TTE strategy, indicated by the solid line, becomes the optimal (adoption) decision, and so is first drawn on the figures</w:t>
      </w:r>
      <w:r w:rsidR="00DC2385">
        <w:rPr>
          <w:color w:val="002060"/>
        </w:rPr>
        <w:t xml:space="preserve">. Hence, the black line begins furthest to the left of the graph for </w:t>
      </w:r>
      <w:proofErr w:type="spellStart"/>
      <w:r w:rsidR="00DC2385">
        <w:rPr>
          <w:color w:val="002060"/>
        </w:rPr>
        <w:t>dabigatran</w:t>
      </w:r>
      <w:proofErr w:type="spellEnd"/>
      <w:r w:rsidR="00DC2385">
        <w:rPr>
          <w:color w:val="002060"/>
        </w:rPr>
        <w:t xml:space="preserve"> (f) than for </w:t>
      </w:r>
      <w:proofErr w:type="spellStart"/>
      <w:r w:rsidR="00DC2385">
        <w:rPr>
          <w:color w:val="002060"/>
        </w:rPr>
        <w:t>rivaroxaban</w:t>
      </w:r>
      <w:proofErr w:type="spellEnd"/>
      <w:r w:rsidR="00DC2385">
        <w:rPr>
          <w:color w:val="002060"/>
        </w:rPr>
        <w:t xml:space="preserve"> (d), and </w:t>
      </w:r>
      <w:r w:rsidR="00DC2385">
        <w:rPr>
          <w:color w:val="002060"/>
        </w:rPr>
        <w:lastRenderedPageBreak/>
        <w:t xml:space="preserve">further to the left for </w:t>
      </w:r>
      <w:proofErr w:type="spellStart"/>
      <w:r w:rsidR="00DC2385">
        <w:rPr>
          <w:color w:val="002060"/>
        </w:rPr>
        <w:t>rivaroxaban</w:t>
      </w:r>
      <w:proofErr w:type="spellEnd"/>
      <w:r w:rsidR="00DC2385">
        <w:rPr>
          <w:color w:val="002060"/>
        </w:rPr>
        <w:t xml:space="preserve"> (d) than for warfarin (b). The PSA scatterplots (a, c, d) all include a proportion of estimates in the </w:t>
      </w:r>
      <w:proofErr w:type="gramStart"/>
      <w:r w:rsidR="00DC2385">
        <w:rPr>
          <w:color w:val="002060"/>
        </w:rPr>
        <w:t>north west</w:t>
      </w:r>
      <w:proofErr w:type="gramEnd"/>
      <w:r w:rsidR="00DC2385">
        <w:rPr>
          <w:color w:val="002060"/>
        </w:rPr>
        <w:t xml:space="preserve"> quadrant, meaning in some of the simulations the without TTE strategy appeared both more costly and less effective than the with TTE strategy; the proportion of estimates in this quadrant is greatest for warfarin (a) than for </w:t>
      </w:r>
      <w:proofErr w:type="spellStart"/>
      <w:r w:rsidR="00DC2385">
        <w:rPr>
          <w:color w:val="002060"/>
        </w:rPr>
        <w:t>rivaroxaban</w:t>
      </w:r>
      <w:proofErr w:type="spellEnd"/>
      <w:r w:rsidR="00DC2385">
        <w:rPr>
          <w:color w:val="002060"/>
        </w:rPr>
        <w:t xml:space="preserve"> (c), and lowest for </w:t>
      </w:r>
      <w:proofErr w:type="spellStart"/>
      <w:r w:rsidR="00DC2385">
        <w:rPr>
          <w:color w:val="002060"/>
        </w:rPr>
        <w:t>dabigatran</w:t>
      </w:r>
      <w:proofErr w:type="spellEnd"/>
      <w:r w:rsidR="00DC2385">
        <w:rPr>
          <w:color w:val="002060"/>
        </w:rPr>
        <w:t xml:space="preserve"> (e). These differences between OAC scenarios are reflected in the height of the solid black lines in the corresponding CEAFs (b, d, f), which indicate the probability that the optimal (adoption) decision is cost-effective at the thresholds indicated by the horizontal axis. </w:t>
      </w:r>
    </w:p>
    <w:p w:rsidR="00E2513B" w:rsidRPr="00253316" w:rsidRDefault="008D30D8" w:rsidP="003378D6">
      <w:pPr>
        <w:pStyle w:val="Heading2"/>
        <w:numPr>
          <w:ilvl w:val="0"/>
          <w:numId w:val="0"/>
        </w:numPr>
        <w:rPr>
          <w:rFonts w:eastAsia="Times New Roman"/>
          <w:color w:val="FF0000"/>
          <w:lang w:eastAsia="en-GB"/>
        </w:rPr>
      </w:pPr>
      <w:r w:rsidRPr="00253316">
        <w:rPr>
          <w:rFonts w:eastAsia="Times New Roman"/>
          <w:color w:val="FF0000"/>
          <w:lang w:eastAsia="en-GB"/>
        </w:rPr>
        <w:t>Deterministic</w:t>
      </w:r>
      <w:r w:rsidR="000406AE" w:rsidRPr="00253316">
        <w:rPr>
          <w:rFonts w:eastAsia="Times New Roman"/>
          <w:color w:val="FF0000"/>
          <w:lang w:eastAsia="en-GB"/>
        </w:rPr>
        <w:t xml:space="preserve"> s</w:t>
      </w:r>
      <w:r w:rsidR="001138A7" w:rsidRPr="00253316">
        <w:rPr>
          <w:rFonts w:eastAsia="Times New Roman"/>
          <w:color w:val="FF0000"/>
          <w:lang w:eastAsia="en-GB"/>
        </w:rPr>
        <w:t>ensitivity analyses</w:t>
      </w:r>
    </w:p>
    <w:p w:rsidR="003A6116" w:rsidRPr="00253316" w:rsidRDefault="00B13ECE" w:rsidP="008D3B31">
      <w:pPr>
        <w:spacing w:line="480" w:lineRule="auto"/>
        <w:rPr>
          <w:color w:val="FF0000"/>
        </w:rPr>
      </w:pPr>
      <w:r w:rsidRPr="00253316">
        <w:rPr>
          <w:color w:val="FF0000"/>
        </w:rPr>
        <w:fldChar w:fldCharType="begin"/>
      </w:r>
      <w:r w:rsidRPr="00253316">
        <w:rPr>
          <w:color w:val="FF0000"/>
        </w:rPr>
        <w:instrText xml:space="preserve"> REF _Ref335141468 \h  \* MERGEFORMAT </w:instrText>
      </w:r>
      <w:r w:rsidRPr="00253316">
        <w:rPr>
          <w:color w:val="FF0000"/>
        </w:rPr>
      </w:r>
      <w:r w:rsidRPr="00253316">
        <w:rPr>
          <w:color w:val="FF0000"/>
        </w:rPr>
        <w:fldChar w:fldCharType="separate"/>
      </w:r>
      <w:r w:rsidR="008D3B31" w:rsidRPr="00253316">
        <w:rPr>
          <w:color w:val="FF0000"/>
        </w:rPr>
        <w:t>Table 6</w:t>
      </w:r>
      <w:r w:rsidRPr="00253316">
        <w:rPr>
          <w:color w:val="FF0000"/>
        </w:rPr>
        <w:fldChar w:fldCharType="end"/>
      </w:r>
      <w:r w:rsidR="003A6116" w:rsidRPr="00253316">
        <w:rPr>
          <w:color w:val="FF0000"/>
        </w:rPr>
        <w:t xml:space="preserve"> shows how the mean ICER estimated depend</w:t>
      </w:r>
      <w:r w:rsidR="00405A96" w:rsidRPr="00253316">
        <w:rPr>
          <w:color w:val="FF0000"/>
        </w:rPr>
        <w:t>s</w:t>
      </w:r>
      <w:r w:rsidR="003A6116" w:rsidRPr="00253316">
        <w:rPr>
          <w:color w:val="FF0000"/>
        </w:rPr>
        <w:t xml:space="preserve"> on sensitivity and specificity of the technology, assuming all </w:t>
      </w:r>
      <w:r w:rsidR="00CA434B" w:rsidRPr="00253316">
        <w:rPr>
          <w:color w:val="FF0000"/>
        </w:rPr>
        <w:t>other</w:t>
      </w:r>
      <w:r w:rsidR="003A6116" w:rsidRPr="00253316">
        <w:rPr>
          <w:color w:val="FF0000"/>
        </w:rPr>
        <w:t xml:space="preserve"> values are held at their mean levels. These results indicate that the </w:t>
      </w:r>
      <w:r w:rsidR="00BB340B" w:rsidRPr="00253316">
        <w:rPr>
          <w:color w:val="FF0000"/>
        </w:rPr>
        <w:t xml:space="preserve">most </w:t>
      </w:r>
      <w:proofErr w:type="spellStart"/>
      <w:r w:rsidR="00BB340B" w:rsidRPr="00253316">
        <w:rPr>
          <w:color w:val="FF0000"/>
        </w:rPr>
        <w:t>favourable</w:t>
      </w:r>
      <w:proofErr w:type="spellEnd"/>
      <w:r w:rsidR="00BB340B" w:rsidRPr="00253316">
        <w:rPr>
          <w:color w:val="FF0000"/>
        </w:rPr>
        <w:t xml:space="preserve"> </w:t>
      </w:r>
      <w:r w:rsidR="002148A0" w:rsidRPr="00253316">
        <w:rPr>
          <w:color w:val="FF0000"/>
        </w:rPr>
        <w:t xml:space="preserve">ICER </w:t>
      </w:r>
      <w:r w:rsidR="003A6116" w:rsidRPr="00253316">
        <w:rPr>
          <w:color w:val="FF0000"/>
        </w:rPr>
        <w:t>of TTE in this context could be around £3,600/QALY in the cohort with a CHADS</w:t>
      </w:r>
      <w:r w:rsidR="003A6116" w:rsidRPr="00253316">
        <w:rPr>
          <w:color w:val="FF0000"/>
          <w:vertAlign w:val="subscript"/>
        </w:rPr>
        <w:t>2</w:t>
      </w:r>
      <w:r w:rsidR="003A6116" w:rsidRPr="00253316">
        <w:rPr>
          <w:color w:val="FF0000"/>
        </w:rPr>
        <w:t xml:space="preserve"> score of zero (a), and £3,300/QALY in the cohort with an initial CHADS2 score of one (b). This is seen by considering the bottom right cells, where both sensitivity and specifici</w:t>
      </w:r>
      <w:r w:rsidR="00B36EBC" w:rsidRPr="00253316">
        <w:rPr>
          <w:color w:val="FF0000"/>
        </w:rPr>
        <w:t xml:space="preserve">ty are 1, i.e. a perfect test. </w:t>
      </w:r>
      <w:r w:rsidR="003A6116" w:rsidRPr="00253316">
        <w:rPr>
          <w:color w:val="FF0000"/>
        </w:rPr>
        <w:t>In the CHADS</w:t>
      </w:r>
      <w:r w:rsidR="003A6116" w:rsidRPr="00253316">
        <w:rPr>
          <w:color w:val="FF0000"/>
          <w:vertAlign w:val="subscript"/>
        </w:rPr>
        <w:t>2</w:t>
      </w:r>
      <w:r w:rsidR="0009234A" w:rsidRPr="00253316">
        <w:rPr>
          <w:color w:val="FF0000"/>
        </w:rPr>
        <w:t xml:space="preserve"> of one point cohort, </w:t>
      </w:r>
      <w:r w:rsidR="003A6116" w:rsidRPr="00253316">
        <w:rPr>
          <w:color w:val="FF0000"/>
        </w:rPr>
        <w:t xml:space="preserve">TTE remains a cost-effective strategy compared with No TTE, almost irrespective of the sensitivity and specificity of the test. </w:t>
      </w:r>
      <w:r w:rsidR="006D0808" w:rsidRPr="00253316">
        <w:rPr>
          <w:color w:val="FF0000"/>
        </w:rPr>
        <w:t xml:space="preserve">For </w:t>
      </w:r>
      <w:r w:rsidR="003A6116" w:rsidRPr="00253316">
        <w:rPr>
          <w:color w:val="FF0000"/>
        </w:rPr>
        <w:t xml:space="preserve">the </w:t>
      </w:r>
      <w:r w:rsidR="00E5368F" w:rsidRPr="00253316">
        <w:rPr>
          <w:color w:val="FF0000"/>
        </w:rPr>
        <w:t>cohort</w:t>
      </w:r>
      <w:r w:rsidR="003A6116" w:rsidRPr="00253316">
        <w:rPr>
          <w:color w:val="FF0000"/>
        </w:rPr>
        <w:t xml:space="preserve"> with a CHADS</w:t>
      </w:r>
      <w:r w:rsidR="003A6116" w:rsidRPr="00253316">
        <w:rPr>
          <w:color w:val="FF0000"/>
          <w:vertAlign w:val="subscript"/>
        </w:rPr>
        <w:t>2</w:t>
      </w:r>
      <w:r w:rsidR="003A6116" w:rsidRPr="00253316">
        <w:rPr>
          <w:color w:val="FF0000"/>
        </w:rPr>
        <w:t xml:space="preserve"> score of zero, TTE only appears cost effective</w:t>
      </w:r>
      <w:r w:rsidR="00BB340B" w:rsidRPr="00253316">
        <w:rPr>
          <w:color w:val="FF0000"/>
        </w:rPr>
        <w:t>,</w:t>
      </w:r>
      <w:r w:rsidR="00620AA2" w:rsidRPr="00253316">
        <w:rPr>
          <w:color w:val="FF0000"/>
        </w:rPr>
        <w:t xml:space="preserve"> </w:t>
      </w:r>
      <w:r w:rsidR="00BB340B" w:rsidRPr="00253316">
        <w:rPr>
          <w:color w:val="FF0000"/>
        </w:rPr>
        <w:t>assuming</w:t>
      </w:r>
      <w:r w:rsidR="00620AA2" w:rsidRPr="00253316">
        <w:rPr>
          <w:color w:val="FF0000"/>
        </w:rPr>
        <w:t xml:space="preserve"> a</w:t>
      </w:r>
      <w:r w:rsidR="00BB340B" w:rsidRPr="00253316">
        <w:rPr>
          <w:color w:val="FF0000"/>
        </w:rPr>
        <w:t xml:space="preserve"> </w:t>
      </w:r>
      <w:r w:rsidR="00620AA2" w:rsidRPr="00253316">
        <w:rPr>
          <w:color w:val="FF0000"/>
        </w:rPr>
        <w:t>MAICER of £20,000/</w:t>
      </w:r>
      <w:r w:rsidR="00BB340B" w:rsidRPr="00253316">
        <w:rPr>
          <w:color w:val="FF0000"/>
        </w:rPr>
        <w:t>QALY</w:t>
      </w:r>
      <w:r w:rsidR="00620AA2" w:rsidRPr="00253316">
        <w:rPr>
          <w:color w:val="FF0000"/>
        </w:rPr>
        <w:t>,</w:t>
      </w:r>
      <w:r w:rsidR="003A6116" w:rsidRPr="00253316">
        <w:rPr>
          <w:color w:val="FF0000"/>
        </w:rPr>
        <w:t xml:space="preserve"> where both sensitivity and specificity are very high</w:t>
      </w:r>
      <w:r w:rsidR="00C32E52" w:rsidRPr="00253316">
        <w:rPr>
          <w:color w:val="FF0000"/>
        </w:rPr>
        <w:t>, near the bottom right hand corner of the table.</w:t>
      </w:r>
    </w:p>
    <w:p w:rsidR="003A6116" w:rsidRPr="00253316" w:rsidRDefault="003A6116" w:rsidP="003378D6">
      <w:pPr>
        <w:pStyle w:val="Heading2"/>
        <w:numPr>
          <w:ilvl w:val="0"/>
          <w:numId w:val="0"/>
        </w:numPr>
        <w:rPr>
          <w:rFonts w:eastAsia="Times New Roman"/>
          <w:color w:val="FF0000"/>
          <w:lang w:eastAsia="en-GB"/>
        </w:rPr>
      </w:pPr>
      <w:r w:rsidRPr="00253316">
        <w:rPr>
          <w:rFonts w:eastAsia="Times New Roman"/>
          <w:color w:val="FF0000"/>
          <w:lang w:eastAsia="en-GB"/>
        </w:rPr>
        <w:t>Overview of results for other scenarios</w:t>
      </w:r>
    </w:p>
    <w:p w:rsidR="00536C35" w:rsidRPr="00253316" w:rsidRDefault="003A6116" w:rsidP="008D3B31">
      <w:pPr>
        <w:spacing w:line="480" w:lineRule="auto"/>
        <w:rPr>
          <w:color w:val="FF0000"/>
        </w:rPr>
      </w:pPr>
      <w:r w:rsidRPr="00253316">
        <w:rPr>
          <w:color w:val="FF0000"/>
        </w:rPr>
        <w:t xml:space="preserve">The results for all 14 scenarios considered are presented in the </w:t>
      </w:r>
      <w:r w:rsidR="008D30D8" w:rsidRPr="00253316">
        <w:rPr>
          <w:color w:val="FF0000"/>
        </w:rPr>
        <w:t>online</w:t>
      </w:r>
      <w:r w:rsidRPr="00253316">
        <w:rPr>
          <w:color w:val="FF0000"/>
        </w:rPr>
        <w:t xml:space="preserve"> appendix. </w:t>
      </w:r>
      <w:r w:rsidR="00536C35" w:rsidRPr="00253316">
        <w:rPr>
          <w:color w:val="FF0000"/>
        </w:rPr>
        <w:t xml:space="preserve">A brief summary, indicating whether the results suggest TTE appears the optimal strategy at MAICERs of £20,000 /QALY or £30,000/QALY, is shown in </w:t>
      </w:r>
      <w:r w:rsidR="00B13ECE" w:rsidRPr="00253316">
        <w:rPr>
          <w:color w:val="FF0000"/>
        </w:rPr>
        <w:fldChar w:fldCharType="begin"/>
      </w:r>
      <w:r w:rsidR="00B13ECE" w:rsidRPr="00253316">
        <w:rPr>
          <w:color w:val="FF0000"/>
        </w:rPr>
        <w:instrText xml:space="preserve"> REF _Ref335142114 \h  \* MERGEFORMAT </w:instrText>
      </w:r>
      <w:r w:rsidR="00B13ECE" w:rsidRPr="00253316">
        <w:rPr>
          <w:color w:val="FF0000"/>
        </w:rPr>
      </w:r>
      <w:r w:rsidR="00B13ECE" w:rsidRPr="00253316">
        <w:rPr>
          <w:color w:val="FF0000"/>
        </w:rPr>
        <w:fldChar w:fldCharType="separate"/>
      </w:r>
      <w:r w:rsidR="008D3B31" w:rsidRPr="00253316">
        <w:rPr>
          <w:color w:val="FF0000"/>
        </w:rPr>
        <w:t>Table 7</w:t>
      </w:r>
      <w:r w:rsidR="00B13ECE" w:rsidRPr="00253316">
        <w:rPr>
          <w:color w:val="FF0000"/>
        </w:rPr>
        <w:fldChar w:fldCharType="end"/>
      </w:r>
      <w:r w:rsidR="00536C35" w:rsidRPr="00253316">
        <w:rPr>
          <w:color w:val="FF0000"/>
        </w:rPr>
        <w:t>. These results suggest that using TTE to make the decision whether to prescribe warfarin may be cost-effective in all patients with a CHADS</w:t>
      </w:r>
      <w:r w:rsidR="00536C35" w:rsidRPr="00253316">
        <w:rPr>
          <w:color w:val="FF0000"/>
          <w:vertAlign w:val="subscript"/>
        </w:rPr>
        <w:t>2</w:t>
      </w:r>
      <w:r w:rsidR="00536C35" w:rsidRPr="00253316">
        <w:rPr>
          <w:color w:val="FF0000"/>
        </w:rPr>
        <w:t xml:space="preserve"> score of one point. It also suggests that it may be cost effective to use TTE to help make the decision whether to prescribe </w:t>
      </w:r>
      <w:proofErr w:type="spellStart"/>
      <w:r w:rsidR="00536C35" w:rsidRPr="00253316">
        <w:rPr>
          <w:color w:val="FF0000"/>
        </w:rPr>
        <w:t>dabigatran</w:t>
      </w:r>
      <w:proofErr w:type="spellEnd"/>
      <w:r w:rsidR="00536C35" w:rsidRPr="00253316">
        <w:rPr>
          <w:color w:val="FF0000"/>
        </w:rPr>
        <w:t xml:space="preserve"> in older patients (aged 65 years)</w:t>
      </w:r>
      <w:r w:rsidR="00D62831" w:rsidRPr="00253316">
        <w:rPr>
          <w:color w:val="FF0000"/>
        </w:rPr>
        <w:t xml:space="preserve">, and it may be borderline cost effective, if assuming a MAICER of £30,000/QALY, </w:t>
      </w:r>
      <w:r w:rsidR="00536C35" w:rsidRPr="00253316">
        <w:rPr>
          <w:color w:val="FF0000"/>
        </w:rPr>
        <w:t xml:space="preserve">to use TTE to make the decision whether to prescribe </w:t>
      </w:r>
      <w:proofErr w:type="spellStart"/>
      <w:r w:rsidR="00536C35" w:rsidRPr="00253316">
        <w:rPr>
          <w:color w:val="FF0000"/>
        </w:rPr>
        <w:lastRenderedPageBreak/>
        <w:t>rivaroxaban</w:t>
      </w:r>
      <w:proofErr w:type="spellEnd"/>
      <w:r w:rsidR="00536C35" w:rsidRPr="00253316">
        <w:rPr>
          <w:color w:val="FF0000"/>
        </w:rPr>
        <w:t xml:space="preserve"> in older patients (age 65 years). Gender has a slight effect on these results, but the choice of OAC, initial CHADS</w:t>
      </w:r>
      <w:r w:rsidR="00536C35" w:rsidRPr="00253316">
        <w:rPr>
          <w:color w:val="FF0000"/>
          <w:vertAlign w:val="subscript"/>
        </w:rPr>
        <w:t>2</w:t>
      </w:r>
      <w:r w:rsidR="00536C35" w:rsidRPr="00253316">
        <w:rPr>
          <w:color w:val="FF0000"/>
        </w:rPr>
        <w:t xml:space="preserve"> risk score, and patient age appear to have much greater </w:t>
      </w:r>
      <w:r w:rsidR="00933C10" w:rsidRPr="00253316">
        <w:rPr>
          <w:color w:val="FF0000"/>
        </w:rPr>
        <w:t>influence.</w:t>
      </w:r>
    </w:p>
    <w:bookmarkEnd w:id="1"/>
    <w:bookmarkEnd w:id="2"/>
    <w:p w:rsidR="0005390C" w:rsidRPr="00532F44" w:rsidRDefault="00F15320" w:rsidP="003378D6">
      <w:pPr>
        <w:pStyle w:val="Heading1"/>
        <w:numPr>
          <w:ilvl w:val="0"/>
          <w:numId w:val="0"/>
        </w:numPr>
      </w:pPr>
      <w:r w:rsidRPr="00532F44">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253316">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"ITEM-2",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"ITEM-3",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"ITEM-3",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"[4,15,16]" }, "properties" : { "noteIndex" : 0 }, "schema" : "https://github.com/citation-style-language/schema/raw/master/csl-citation.json" }</w:instrText>
      </w:r>
      <w:r w:rsidR="00253316">
        <w:fldChar w:fldCharType="separate"/>
      </w:r>
      <w:r w:rsidR="00253316" w:rsidRPr="00253316">
        <w:rPr>
          <w:noProof/>
        </w:rPr>
        <w:t>[4,15,16]</w:t>
      </w:r>
      <w:r w:rsidR="00253316">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253316">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w:t>
      </w:r>
      <w:r w:rsidR="00620AA2">
        <w:lastRenderedPageBreak/>
        <w:t>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lastRenderedPageBreak/>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D561D8" w:rsidRDefault="004850ED" w:rsidP="003378D6">
      <w:pPr>
        <w:pStyle w:val="Heading2"/>
        <w:numPr>
          <w:ilvl w:val="0"/>
          <w:numId w:val="0"/>
        </w:numPr>
        <w:rPr>
          <w:color w:val="FF0000"/>
        </w:rPr>
      </w:pPr>
      <w:r w:rsidRPr="00D561D8">
        <w:rPr>
          <w:color w:val="FF0000"/>
        </w:rPr>
        <w:t>Conclusion</w:t>
      </w:r>
    </w:p>
    <w:p w:rsidR="00911187" w:rsidRPr="00D561D8" w:rsidRDefault="00911187" w:rsidP="008D3B31">
      <w:pPr>
        <w:spacing w:line="480" w:lineRule="auto"/>
        <w:rPr>
          <w:color w:val="FF0000"/>
        </w:rPr>
      </w:pPr>
      <w:r w:rsidRPr="00D561D8">
        <w:rPr>
          <w:color w:val="FF0000"/>
        </w:rPr>
        <w:t xml:space="preserve">This paper presented the results of mathematical models which simulated the effects of using TTE to help make the decision whether to prescribe an OAC in a range of </w:t>
      </w:r>
      <w:r w:rsidR="002B0A3A" w:rsidRPr="00D561D8">
        <w:rPr>
          <w:color w:val="FF0000"/>
        </w:rPr>
        <w:t>patients with AF</w:t>
      </w:r>
      <w:r w:rsidRPr="00D561D8">
        <w:rPr>
          <w:color w:val="FF0000"/>
        </w:rPr>
        <w:t xml:space="preserve">. </w:t>
      </w:r>
      <w:r w:rsidR="00B36EBC" w:rsidRPr="00D561D8">
        <w:rPr>
          <w:color w:val="FF0000"/>
        </w:rPr>
        <w:t xml:space="preserve">If found </w:t>
      </w:r>
      <w:r w:rsidR="00C314AC" w:rsidRPr="00D561D8">
        <w:rPr>
          <w:color w:val="FF0000"/>
        </w:rPr>
        <w:t xml:space="preserve">that when </w:t>
      </w:r>
      <w:proofErr w:type="spellStart"/>
      <w:r w:rsidR="00C314AC" w:rsidRPr="00D561D8">
        <w:rPr>
          <w:color w:val="FF0000"/>
        </w:rPr>
        <w:t>rivaroxaban</w:t>
      </w:r>
      <w:proofErr w:type="spellEnd"/>
      <w:r w:rsidR="00C314AC" w:rsidRPr="00D561D8">
        <w:rPr>
          <w:color w:val="FF0000"/>
        </w:rPr>
        <w:t xml:space="preserve"> or </w:t>
      </w:r>
      <w:proofErr w:type="spellStart"/>
      <w:r w:rsidR="00C314AC" w:rsidRPr="00D561D8">
        <w:rPr>
          <w:color w:val="FF0000"/>
        </w:rPr>
        <w:t>dabigatran</w:t>
      </w:r>
      <w:proofErr w:type="spellEnd"/>
      <w:r w:rsidRPr="00D561D8">
        <w:rPr>
          <w:color w:val="FF0000"/>
        </w:rPr>
        <w:t xml:space="preserve"> </w:t>
      </w:r>
      <w:r w:rsidR="00C314AC" w:rsidRPr="00D561D8">
        <w:rPr>
          <w:color w:val="FF0000"/>
        </w:rPr>
        <w:t xml:space="preserve">is </w:t>
      </w:r>
      <w:r w:rsidR="00B36EBC" w:rsidRPr="00D561D8">
        <w:rPr>
          <w:color w:val="FF0000"/>
        </w:rPr>
        <w:t>the OAC</w:t>
      </w:r>
      <w:r w:rsidRPr="00D561D8">
        <w:rPr>
          <w:color w:val="FF0000"/>
        </w:rPr>
        <w:t xml:space="preserve"> of choice then it appears cost-effective to us</w:t>
      </w:r>
      <w:r w:rsidR="00B36EBC" w:rsidRPr="00D561D8">
        <w:rPr>
          <w:color w:val="FF0000"/>
        </w:rPr>
        <w:t>e TTE in patients aged 65 years; when warfarin is the OAC of choice, then the addition of TTE does not appear cost-effective at standard willingness to pay thresholds of either £20,000/QALY or £30,000/QALY.</w:t>
      </w:r>
      <w:r w:rsidRPr="00D561D8">
        <w:rPr>
          <w:color w:val="FF0000"/>
        </w:rPr>
        <w:t xml:space="preserve"> </w:t>
      </w:r>
      <w:r w:rsidR="002B0A3A" w:rsidRPr="00D561D8">
        <w:rPr>
          <w:color w:val="FF0000"/>
        </w:rPr>
        <w:t>T</w:t>
      </w:r>
      <w:r w:rsidRPr="00D561D8">
        <w:rPr>
          <w:color w:val="FF0000"/>
        </w:rPr>
        <w:t>hese results suggest that</w:t>
      </w:r>
      <w:r w:rsidR="00B36EBC" w:rsidRPr="00D561D8">
        <w:rPr>
          <w:color w:val="FF0000"/>
        </w:rPr>
        <w:t xml:space="preserve"> if considering prescribing a newer OAC</w:t>
      </w:r>
      <w:r w:rsidRPr="00D561D8">
        <w:rPr>
          <w:color w:val="FF0000"/>
        </w:rPr>
        <w:t xml:space="preserve">, it may be both clinically effective and cost effective to use TTE to help inform the decision in all but the patients with the lowest </w:t>
      </w:r>
      <w:r w:rsidR="00620AA2" w:rsidRPr="00D561D8">
        <w:rPr>
          <w:color w:val="FF0000"/>
        </w:rPr>
        <w:t xml:space="preserve">estimated </w:t>
      </w:r>
      <w:r w:rsidRPr="00D561D8">
        <w:rPr>
          <w:color w:val="FF0000"/>
        </w:rPr>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3"/>
    <w:p w:rsidR="00253316" w:rsidRPr="00253316" w:rsidRDefault="002F05E5">
      <w:pPr>
        <w:pStyle w:val="NormalWeb"/>
        <w:ind w:left="640" w:hanging="640"/>
        <w:divId w:val="258760943"/>
        <w:rPr>
          <w:rFonts w:ascii="Calibri" w:hAnsi="Calibri"/>
          <w:noProof/>
          <w:sz w:val="22"/>
        </w:rPr>
      </w:pPr>
      <w:r>
        <w:fldChar w:fldCharType="begin" w:fldLock="1"/>
      </w:r>
      <w:r w:rsidR="008E6143">
        <w:instrText xml:space="preserve">ADDIN Mendeley Bibliography CSL_BIBLIOGRAPHY </w:instrText>
      </w:r>
      <w:r>
        <w:fldChar w:fldCharType="separate"/>
      </w:r>
      <w:r w:rsidR="00253316" w:rsidRPr="00253316">
        <w:rPr>
          <w:rFonts w:ascii="Calibri" w:hAnsi="Calibri"/>
          <w:noProof/>
          <w:sz w:val="22"/>
        </w:rPr>
        <w:t xml:space="preserve">1 </w:t>
      </w:r>
      <w:r w:rsidR="00253316" w:rsidRPr="00253316">
        <w:rPr>
          <w:rFonts w:ascii="Calibri" w:hAnsi="Calibri"/>
          <w:noProof/>
          <w:sz w:val="22"/>
        </w:rPr>
        <w:tab/>
        <w:t xml:space="preserve">Go AS, Hylek EM, Phillips KA, </w:t>
      </w:r>
      <w:r w:rsidR="00253316" w:rsidRPr="00253316">
        <w:rPr>
          <w:rFonts w:ascii="Calibri" w:hAnsi="Calibri"/>
          <w:i/>
          <w:iCs/>
          <w:noProof/>
          <w:sz w:val="22"/>
        </w:rPr>
        <w:t>et al.</w:t>
      </w:r>
      <w:r w:rsidR="00253316" w:rsidRPr="00253316">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253316" w:rsidRPr="00253316">
        <w:rPr>
          <w:rFonts w:ascii="Calibri" w:hAnsi="Calibri"/>
          <w:i/>
          <w:iCs/>
          <w:noProof/>
          <w:sz w:val="22"/>
        </w:rPr>
        <w:t>JAMA : the journal of the American Medical Association</w:t>
      </w:r>
      <w:r w:rsidR="00253316" w:rsidRPr="00253316">
        <w:rPr>
          <w:rFonts w:ascii="Calibri" w:hAnsi="Calibri"/>
          <w:noProof/>
          <w:sz w:val="22"/>
        </w:rPr>
        <w:t xml:space="preserve"> 2001;</w:t>
      </w:r>
      <w:r w:rsidR="00253316" w:rsidRPr="00253316">
        <w:rPr>
          <w:rFonts w:ascii="Calibri" w:hAnsi="Calibri"/>
          <w:b/>
          <w:bCs/>
          <w:noProof/>
          <w:sz w:val="22"/>
        </w:rPr>
        <w:t>285</w:t>
      </w:r>
      <w:r w:rsidR="00253316" w:rsidRPr="00253316">
        <w:rPr>
          <w:rFonts w:ascii="Calibri" w:hAnsi="Calibri"/>
          <w:noProof/>
          <w:sz w:val="22"/>
        </w:rPr>
        <w:t>:2370–5.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 </w:t>
      </w:r>
      <w:r w:rsidRPr="00253316">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253316">
        <w:rPr>
          <w:rFonts w:ascii="Calibri" w:hAnsi="Calibri"/>
          <w:i/>
          <w:iCs/>
          <w:noProof/>
          <w:sz w:val="22"/>
        </w:rPr>
        <w:t>American heart journal</w:t>
      </w:r>
      <w:r w:rsidRPr="00253316">
        <w:rPr>
          <w:rFonts w:ascii="Calibri" w:hAnsi="Calibri"/>
          <w:noProof/>
          <w:sz w:val="22"/>
        </w:rPr>
        <w:t xml:space="preserve"> 2010;</w:t>
      </w:r>
      <w:r w:rsidRPr="00253316">
        <w:rPr>
          <w:rFonts w:ascii="Calibri" w:hAnsi="Calibri"/>
          <w:b/>
          <w:bCs/>
          <w:noProof/>
          <w:sz w:val="22"/>
        </w:rPr>
        <w:t>159</w:t>
      </w:r>
      <w:r w:rsidRPr="00253316">
        <w:rPr>
          <w:rFonts w:ascii="Calibri" w:hAnsi="Calibri"/>
          <w:noProof/>
          <w:sz w:val="22"/>
        </w:rPr>
        <w:t>:340–347.e1.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 </w:t>
      </w:r>
      <w:r w:rsidRPr="00253316">
        <w:rPr>
          <w:rFonts w:ascii="Calibri" w:hAnsi="Calibri"/>
          <w:noProof/>
          <w:sz w:val="22"/>
        </w:rPr>
        <w:tab/>
        <w:t xml:space="preserve">Camm AJ, Kirchhof P, Lip GY, </w:t>
      </w:r>
      <w:r w:rsidRPr="00253316">
        <w:rPr>
          <w:rFonts w:ascii="Calibri" w:hAnsi="Calibri"/>
          <w:i/>
          <w:iCs/>
          <w:noProof/>
          <w:sz w:val="22"/>
        </w:rPr>
        <w:t>et al.</w:t>
      </w:r>
      <w:r w:rsidRPr="00253316">
        <w:rPr>
          <w:rFonts w:ascii="Calibri" w:hAnsi="Calibri"/>
          <w:noProof/>
          <w:sz w:val="22"/>
        </w:rPr>
        <w:t xml:space="preserve"> Guidelines for the management of atrial fibrillation: the Task Force for the Management of Atrial Fibrillation of the European Society of Cardiology (ESC). </w:t>
      </w:r>
      <w:r w:rsidRPr="00253316">
        <w:rPr>
          <w:rFonts w:ascii="Calibri" w:hAnsi="Calibri"/>
          <w:i/>
          <w:iCs/>
          <w:noProof/>
          <w:sz w:val="22"/>
        </w:rPr>
        <w:t>Eur Heart J</w:t>
      </w:r>
      <w:r w:rsidRPr="00253316">
        <w:rPr>
          <w:rFonts w:ascii="Calibri" w:hAnsi="Calibri"/>
          <w:noProof/>
          <w:sz w:val="22"/>
        </w:rPr>
        <w:t xml:space="preserve"> 2010;</w:t>
      </w:r>
      <w:r w:rsidRPr="00253316">
        <w:rPr>
          <w:rFonts w:ascii="Calibri" w:hAnsi="Calibri"/>
          <w:b/>
          <w:bCs/>
          <w:noProof/>
          <w:sz w:val="22"/>
        </w:rPr>
        <w:t>31</w:t>
      </w:r>
      <w:r w:rsidRPr="00253316">
        <w:rPr>
          <w:rFonts w:ascii="Calibri" w:hAnsi="Calibri"/>
          <w:noProof/>
          <w:sz w:val="22"/>
        </w:rPr>
        <w:t>:2369–429.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4 </w:t>
      </w:r>
      <w:r w:rsidRPr="00253316">
        <w:rPr>
          <w:rFonts w:ascii="Calibri" w:hAnsi="Calibri"/>
          <w:noProof/>
          <w:sz w:val="22"/>
        </w:rPr>
        <w:tab/>
        <w:t xml:space="preserve">Camm AJ, Lip GYH, De Caterina R, </w:t>
      </w:r>
      <w:r w:rsidRPr="00253316">
        <w:rPr>
          <w:rFonts w:ascii="Calibri" w:hAnsi="Calibri"/>
          <w:i/>
          <w:iCs/>
          <w:noProof/>
          <w:sz w:val="22"/>
        </w:rPr>
        <w:t>et al.</w:t>
      </w:r>
      <w:r w:rsidRPr="00253316">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253316">
        <w:rPr>
          <w:rFonts w:ascii="Calibri" w:hAnsi="Calibri"/>
          <w:i/>
          <w:iCs/>
          <w:noProof/>
          <w:sz w:val="22"/>
        </w:rPr>
        <w:t>European heart journal</w:t>
      </w:r>
      <w:r w:rsidRPr="00253316">
        <w:rPr>
          <w:rFonts w:ascii="Calibri" w:hAnsi="Calibri"/>
          <w:noProof/>
          <w:sz w:val="22"/>
        </w:rPr>
        <w:t xml:space="preserve"> Published Online First: 24 August 2012. doi:10.1093/eurheartj/ehs253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5 </w:t>
      </w:r>
      <w:r w:rsidRPr="00253316">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253316">
        <w:rPr>
          <w:rFonts w:ascii="Calibri" w:hAnsi="Calibri"/>
          <w:i/>
          <w:iCs/>
          <w:noProof/>
          <w:sz w:val="22"/>
        </w:rPr>
        <w:t>Ann Intern Med</w:t>
      </w:r>
      <w:r w:rsidRPr="00253316">
        <w:rPr>
          <w:rFonts w:ascii="Calibri" w:hAnsi="Calibri"/>
          <w:noProof/>
          <w:sz w:val="22"/>
        </w:rPr>
        <w:t xml:space="preserve"> 1998;</w:t>
      </w:r>
      <w:r w:rsidRPr="00253316">
        <w:rPr>
          <w:rFonts w:ascii="Calibri" w:hAnsi="Calibri"/>
          <w:b/>
          <w:bCs/>
          <w:noProof/>
          <w:sz w:val="22"/>
        </w:rPr>
        <w:t>128</w:t>
      </w:r>
      <w:r w:rsidRPr="00253316">
        <w:rPr>
          <w:rFonts w:ascii="Calibri" w:hAnsi="Calibri"/>
          <w:noProof/>
          <w:sz w:val="22"/>
        </w:rPr>
        <w:t>:639–47.</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6 </w:t>
      </w:r>
      <w:r w:rsidRPr="00253316">
        <w:rPr>
          <w:rFonts w:ascii="Calibri" w:hAnsi="Calibri"/>
          <w:noProof/>
          <w:sz w:val="22"/>
        </w:rPr>
        <w:tab/>
        <w:t xml:space="preserve">Providencia R, Botelho A, Trigo J, </w:t>
      </w:r>
      <w:r w:rsidRPr="00253316">
        <w:rPr>
          <w:rFonts w:ascii="Calibri" w:hAnsi="Calibri"/>
          <w:i/>
          <w:iCs/>
          <w:noProof/>
          <w:sz w:val="22"/>
        </w:rPr>
        <w:t>et al.</w:t>
      </w:r>
      <w:r w:rsidRPr="00253316">
        <w:rPr>
          <w:rFonts w:ascii="Calibri" w:hAnsi="Calibri"/>
          <w:noProof/>
          <w:sz w:val="22"/>
        </w:rPr>
        <w:t xml:space="preserve"> Possible refinement of clinical thromboembolism assessment in patients with atrial fibrillation using echocardiographic parameters. </w:t>
      </w:r>
      <w:r w:rsidRPr="00253316">
        <w:rPr>
          <w:rFonts w:ascii="Calibri" w:hAnsi="Calibri"/>
          <w:i/>
          <w:iCs/>
          <w:noProof/>
          <w:sz w:val="22"/>
        </w:rPr>
        <w:t>Europace</w:t>
      </w:r>
      <w:r w:rsidRPr="00253316">
        <w:rPr>
          <w:rFonts w:ascii="Calibri" w:hAnsi="Calibri"/>
          <w:noProof/>
          <w:sz w:val="22"/>
        </w:rPr>
        <w:t xml:space="preserve"> 2012;</w:t>
      </w:r>
      <w:r w:rsidRPr="00253316">
        <w:rPr>
          <w:rFonts w:ascii="Calibri" w:hAnsi="Calibri"/>
          <w:b/>
          <w:bCs/>
          <w:noProof/>
          <w:sz w:val="22"/>
        </w:rPr>
        <w:t>14</w:t>
      </w:r>
      <w:r w:rsidRPr="00253316">
        <w:rPr>
          <w:rFonts w:ascii="Calibri" w:hAnsi="Calibri"/>
          <w:noProof/>
          <w:sz w:val="22"/>
        </w:rPr>
        <w:t>:36–45.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7 </w:t>
      </w:r>
      <w:r w:rsidRPr="00253316">
        <w:rPr>
          <w:rFonts w:ascii="Calibri" w:hAnsi="Calibri"/>
          <w:noProof/>
          <w:sz w:val="22"/>
        </w:rPr>
        <w:tab/>
        <w:t>NICE. Guide to the methods of technology appraisal. NICE methods guide. 2008;:80.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8 </w:t>
      </w:r>
      <w:r w:rsidRPr="00253316">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9 </w:t>
      </w:r>
      <w:r w:rsidRPr="00253316">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10 </w:t>
      </w:r>
      <w:r w:rsidRPr="00253316">
        <w:rPr>
          <w:rFonts w:ascii="Calibri" w:hAnsi="Calibri"/>
          <w:noProof/>
          <w:sz w:val="22"/>
        </w:rPr>
        <w:tab/>
        <w:t xml:space="preserve">Simpson EL, Stevenson MD, Scope A, </w:t>
      </w:r>
      <w:r w:rsidRPr="00253316">
        <w:rPr>
          <w:rFonts w:ascii="Calibri" w:hAnsi="Calibri"/>
          <w:i/>
          <w:iCs/>
          <w:noProof/>
          <w:sz w:val="22"/>
        </w:rPr>
        <w:t>et al.</w:t>
      </w:r>
      <w:r w:rsidRPr="00253316">
        <w:rPr>
          <w:rFonts w:ascii="Calibri" w:hAnsi="Calibri"/>
          <w:noProof/>
          <w:sz w:val="22"/>
        </w:rPr>
        <w:t xml:space="preserve"> Echocardiography in newly diagnosed atrial fibrillation patients: a systematic review and economic evaluation. 2012. </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11 </w:t>
      </w:r>
      <w:r w:rsidRPr="00253316">
        <w:rPr>
          <w:rFonts w:ascii="Calibri" w:hAnsi="Calibri"/>
          <w:noProof/>
          <w:sz w:val="22"/>
        </w:rPr>
        <w:tab/>
        <w:t xml:space="preserve">PVS TM-STF on. Medical aspects of the persistent vegetative state: second of two parts. </w:t>
      </w:r>
      <w:r w:rsidRPr="00253316">
        <w:rPr>
          <w:rFonts w:ascii="Calibri" w:hAnsi="Calibri"/>
          <w:i/>
          <w:iCs/>
          <w:noProof/>
          <w:sz w:val="22"/>
        </w:rPr>
        <w:t>The New England Journal of Medicine</w:t>
      </w:r>
      <w:r w:rsidRPr="00253316">
        <w:rPr>
          <w:rFonts w:ascii="Calibri" w:hAnsi="Calibri"/>
          <w:noProof/>
          <w:sz w:val="22"/>
        </w:rPr>
        <w:t xml:space="preserve"> 1994;</w:t>
      </w:r>
      <w:r w:rsidRPr="00253316">
        <w:rPr>
          <w:rFonts w:ascii="Calibri" w:hAnsi="Calibri"/>
          <w:b/>
          <w:bCs/>
          <w:noProof/>
          <w:sz w:val="22"/>
        </w:rPr>
        <w:t>330</w:t>
      </w:r>
      <w:r w:rsidRPr="00253316">
        <w:rPr>
          <w:rFonts w:ascii="Calibri" w:hAnsi="Calibri"/>
          <w:noProof/>
          <w:sz w:val="22"/>
        </w:rPr>
        <w:t>.http://www.nejm.org/doi/full/10.1056/NEJM199406023302206</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12 </w:t>
      </w:r>
      <w:r w:rsidRPr="00253316">
        <w:rPr>
          <w:rFonts w:ascii="Calibri" w:hAnsi="Calibri"/>
          <w:noProof/>
          <w:sz w:val="22"/>
        </w:rPr>
        <w:tab/>
        <w:t xml:space="preserve">Eikelboom JW, Wallentin L, Connolly SJ, </w:t>
      </w:r>
      <w:r w:rsidRPr="00253316">
        <w:rPr>
          <w:rFonts w:ascii="Calibri" w:hAnsi="Calibri"/>
          <w:i/>
          <w:iCs/>
          <w:noProof/>
          <w:sz w:val="22"/>
        </w:rPr>
        <w:t>et al.</w:t>
      </w:r>
      <w:r w:rsidRPr="00253316">
        <w:rPr>
          <w:rFonts w:ascii="Calibri" w:hAnsi="Calibri"/>
          <w:noProof/>
          <w:sz w:val="22"/>
        </w:rPr>
        <w:t xml:space="preserve"> Risk of bleeding with 2 doses of dabigatran compared with warfarin in older and younger patients with atrial fibrillation: an analysis of </w:t>
      </w:r>
      <w:r w:rsidRPr="00253316">
        <w:rPr>
          <w:rFonts w:ascii="Calibri" w:hAnsi="Calibri"/>
          <w:noProof/>
          <w:sz w:val="22"/>
        </w:rPr>
        <w:lastRenderedPageBreak/>
        <w:t xml:space="preserve">the randomized evaluation of long-term anticoagulant therapy (RE-LY) trial. </w:t>
      </w:r>
      <w:r w:rsidRPr="00253316">
        <w:rPr>
          <w:rFonts w:ascii="Calibri" w:hAnsi="Calibri"/>
          <w:i/>
          <w:iCs/>
          <w:noProof/>
          <w:sz w:val="22"/>
        </w:rPr>
        <w:t>Circulation</w:t>
      </w:r>
      <w:r w:rsidRPr="00253316">
        <w:rPr>
          <w:rFonts w:ascii="Calibri" w:hAnsi="Calibri"/>
          <w:noProof/>
          <w:sz w:val="22"/>
        </w:rPr>
        <w:t xml:space="preserve"> 2011;</w:t>
      </w:r>
      <w:r w:rsidRPr="00253316">
        <w:rPr>
          <w:rFonts w:ascii="Calibri" w:hAnsi="Calibri"/>
          <w:b/>
          <w:bCs/>
          <w:noProof/>
          <w:sz w:val="22"/>
        </w:rPr>
        <w:t>123</w:t>
      </w:r>
      <w:r w:rsidRPr="00253316">
        <w:rPr>
          <w:rFonts w:ascii="Calibri" w:hAnsi="Calibri"/>
          <w:noProof/>
          <w:sz w:val="22"/>
        </w:rPr>
        <w:t>:2363–72.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13 </w:t>
      </w:r>
      <w:r w:rsidRPr="00253316">
        <w:rPr>
          <w:rFonts w:ascii="Calibri" w:hAnsi="Calibri"/>
          <w:noProof/>
          <w:sz w:val="22"/>
        </w:rPr>
        <w:tab/>
        <w:t>NICE. Guide to the methods of technology appraisal. 2008.http://www.nice.org.uk/media/B52/A7/TAMethodsGuideUpdatedJune2008.pdf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14 </w:t>
      </w:r>
      <w:r w:rsidRPr="00253316">
        <w:rPr>
          <w:rFonts w:ascii="Calibri" w:hAnsi="Calibri"/>
          <w:noProof/>
          <w:sz w:val="22"/>
        </w:rPr>
        <w:tab/>
        <w:t xml:space="preserve">Inglehart D. Simulating stable stochastic systems, V: Comparison of ratio estimators. </w:t>
      </w:r>
      <w:r w:rsidRPr="00253316">
        <w:rPr>
          <w:rFonts w:ascii="Calibri" w:hAnsi="Calibri"/>
          <w:i/>
          <w:iCs/>
          <w:noProof/>
          <w:sz w:val="22"/>
        </w:rPr>
        <w:t>Naval Research Logistics</w:t>
      </w:r>
      <w:r w:rsidRPr="00253316">
        <w:rPr>
          <w:rFonts w:ascii="Calibri" w:hAnsi="Calibri"/>
          <w:noProof/>
          <w:sz w:val="22"/>
        </w:rPr>
        <w:t xml:space="preserve"> 1975;</w:t>
      </w:r>
      <w:r w:rsidRPr="00253316">
        <w:rPr>
          <w:rFonts w:ascii="Calibri" w:hAnsi="Calibri"/>
          <w:b/>
          <w:bCs/>
          <w:noProof/>
          <w:sz w:val="22"/>
        </w:rPr>
        <w:t>22</w:t>
      </w:r>
      <w:r w:rsidRPr="00253316">
        <w:rPr>
          <w:rFonts w:ascii="Calibri" w:hAnsi="Calibri"/>
          <w:noProof/>
          <w:sz w:val="22"/>
        </w:rPr>
        <w:t>:553–65.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15 </w:t>
      </w:r>
      <w:r w:rsidRPr="00253316">
        <w:rPr>
          <w:rFonts w:ascii="Calibri" w:hAnsi="Calibri"/>
          <w:noProof/>
          <w:sz w:val="22"/>
        </w:rPr>
        <w:tab/>
        <w:t xml:space="preserve">Lip GY, Nieuwlaat R, Pisters R, </w:t>
      </w:r>
      <w:r w:rsidRPr="00253316">
        <w:rPr>
          <w:rFonts w:ascii="Calibri" w:hAnsi="Calibri"/>
          <w:i/>
          <w:iCs/>
          <w:noProof/>
          <w:sz w:val="22"/>
        </w:rPr>
        <w:t>et al.</w:t>
      </w:r>
      <w:r w:rsidRPr="00253316">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253316">
        <w:rPr>
          <w:rFonts w:ascii="Calibri" w:hAnsi="Calibri"/>
          <w:i/>
          <w:iCs/>
          <w:noProof/>
          <w:sz w:val="22"/>
        </w:rPr>
        <w:t>Chest</w:t>
      </w:r>
      <w:r w:rsidRPr="00253316">
        <w:rPr>
          <w:rFonts w:ascii="Calibri" w:hAnsi="Calibri"/>
          <w:noProof/>
          <w:sz w:val="22"/>
        </w:rPr>
        <w:t xml:space="preserve"> 2010;</w:t>
      </w:r>
      <w:r w:rsidRPr="00253316">
        <w:rPr>
          <w:rFonts w:ascii="Calibri" w:hAnsi="Calibri"/>
          <w:b/>
          <w:bCs/>
          <w:noProof/>
          <w:sz w:val="22"/>
        </w:rPr>
        <w:t>137</w:t>
      </w:r>
      <w:r w:rsidRPr="00253316">
        <w:rPr>
          <w:rFonts w:ascii="Calibri" w:hAnsi="Calibri"/>
          <w:noProof/>
          <w:sz w:val="22"/>
        </w:rPr>
        <w:t>:263–72.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16 </w:t>
      </w:r>
      <w:r w:rsidRPr="00253316">
        <w:rPr>
          <w:rFonts w:ascii="Calibri" w:hAnsi="Calibri"/>
          <w:noProof/>
          <w:sz w:val="22"/>
        </w:rPr>
        <w:tab/>
        <w:t xml:space="preserve">Olesen JB, Lip GYH, Hansen ML, </w:t>
      </w:r>
      <w:r w:rsidRPr="00253316">
        <w:rPr>
          <w:rFonts w:ascii="Calibri" w:hAnsi="Calibri"/>
          <w:i/>
          <w:iCs/>
          <w:noProof/>
          <w:sz w:val="22"/>
        </w:rPr>
        <w:t>et al.</w:t>
      </w:r>
      <w:r w:rsidRPr="00253316">
        <w:rPr>
          <w:rFonts w:ascii="Calibri" w:hAnsi="Calibri"/>
          <w:noProof/>
          <w:sz w:val="22"/>
        </w:rPr>
        <w:t xml:space="preserve"> Validation of risk stratification schemes for predicting stroke and thromboembolism in patients with atrial fibrillation: nationwide cohort study. </w:t>
      </w:r>
      <w:r w:rsidRPr="00253316">
        <w:rPr>
          <w:rFonts w:ascii="Calibri" w:hAnsi="Calibri"/>
          <w:i/>
          <w:iCs/>
          <w:noProof/>
          <w:sz w:val="22"/>
        </w:rPr>
        <w:t>BMJ</w:t>
      </w:r>
      <w:r w:rsidRPr="00253316">
        <w:rPr>
          <w:rFonts w:ascii="Calibri" w:hAnsi="Calibri"/>
          <w:noProof/>
          <w:sz w:val="22"/>
        </w:rPr>
        <w:t xml:space="preserve"> 2011;</w:t>
      </w:r>
      <w:r w:rsidRPr="00253316">
        <w:rPr>
          <w:rFonts w:ascii="Calibri" w:hAnsi="Calibri"/>
          <w:b/>
          <w:bCs/>
          <w:noProof/>
          <w:sz w:val="22"/>
        </w:rPr>
        <w:t>342</w:t>
      </w:r>
      <w:r w:rsidRPr="00253316">
        <w:rPr>
          <w:rFonts w:ascii="Calibri" w:hAnsi="Calibri"/>
          <w:noProof/>
          <w:sz w:val="22"/>
        </w:rPr>
        <w:t>:d124–d124.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17 </w:t>
      </w:r>
      <w:r w:rsidRPr="00253316">
        <w:rPr>
          <w:rFonts w:ascii="Calibri" w:hAnsi="Calibri"/>
          <w:noProof/>
          <w:sz w:val="22"/>
        </w:rPr>
        <w:tab/>
        <w:t>ONS. Interim Life Tables. 2011;</w:t>
      </w:r>
      <w:r w:rsidRPr="00253316">
        <w:rPr>
          <w:rFonts w:ascii="Calibri" w:hAnsi="Calibri"/>
          <w:b/>
          <w:bCs/>
          <w:noProof/>
          <w:sz w:val="22"/>
        </w:rPr>
        <w:t>2012</w:t>
      </w:r>
      <w:r w:rsidRPr="00253316">
        <w:rPr>
          <w:rFonts w:ascii="Calibri" w:hAnsi="Calibri"/>
          <w:noProof/>
          <w:sz w:val="22"/>
        </w:rPr>
        <w:t>.http://www.ons.gov.uk/ons/taxonomy/index.html?nscl=Interim+Life+Tables</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18 </w:t>
      </w:r>
      <w:r w:rsidRPr="00253316">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253316">
        <w:rPr>
          <w:rFonts w:ascii="Calibri" w:hAnsi="Calibri"/>
          <w:i/>
          <w:iCs/>
          <w:noProof/>
          <w:sz w:val="22"/>
        </w:rPr>
        <w:t>European heart journal</w:t>
      </w:r>
      <w:r w:rsidRPr="00253316">
        <w:rPr>
          <w:rFonts w:ascii="Calibri" w:hAnsi="Calibri"/>
          <w:noProof/>
          <w:sz w:val="22"/>
        </w:rPr>
        <w:t xml:space="preserve"> Published Online First: 13 January 2012. doi:10.1093/eurheartj/ehr488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19 </w:t>
      </w:r>
      <w:r w:rsidRPr="00253316">
        <w:rPr>
          <w:rFonts w:ascii="Calibri" w:hAnsi="Calibri"/>
          <w:noProof/>
          <w:sz w:val="22"/>
        </w:rPr>
        <w:tab/>
        <w:t xml:space="preserve">Connolly SJ, Ezekowitz MD, Yusuf S, </w:t>
      </w:r>
      <w:r w:rsidRPr="00253316">
        <w:rPr>
          <w:rFonts w:ascii="Calibri" w:hAnsi="Calibri"/>
          <w:i/>
          <w:iCs/>
          <w:noProof/>
          <w:sz w:val="22"/>
        </w:rPr>
        <w:t>et al.</w:t>
      </w:r>
      <w:r w:rsidRPr="00253316">
        <w:rPr>
          <w:rFonts w:ascii="Calibri" w:hAnsi="Calibri"/>
          <w:noProof/>
          <w:sz w:val="22"/>
        </w:rPr>
        <w:t xml:space="preserve"> Dabigatran versus warfarin in patients with atrial fibrillation. </w:t>
      </w:r>
      <w:r w:rsidRPr="00253316">
        <w:rPr>
          <w:rFonts w:ascii="Calibri" w:hAnsi="Calibri"/>
          <w:i/>
          <w:iCs/>
          <w:noProof/>
          <w:sz w:val="22"/>
        </w:rPr>
        <w:t>N Engl J Med</w:t>
      </w:r>
      <w:r w:rsidRPr="00253316">
        <w:rPr>
          <w:rFonts w:ascii="Calibri" w:hAnsi="Calibri"/>
          <w:noProof/>
          <w:sz w:val="22"/>
        </w:rPr>
        <w:t xml:space="preserve"> 2009;</w:t>
      </w:r>
      <w:r w:rsidRPr="00253316">
        <w:rPr>
          <w:rFonts w:ascii="Calibri" w:hAnsi="Calibri"/>
          <w:b/>
          <w:bCs/>
          <w:noProof/>
          <w:sz w:val="22"/>
        </w:rPr>
        <w:t>361</w:t>
      </w:r>
      <w:r w:rsidRPr="00253316">
        <w:rPr>
          <w:rFonts w:ascii="Calibri" w:hAnsi="Calibri"/>
          <w:noProof/>
          <w:sz w:val="22"/>
        </w:rPr>
        <w:t>:1139–51.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20 </w:t>
      </w:r>
      <w:r w:rsidRPr="00253316">
        <w:rPr>
          <w:rFonts w:ascii="Calibri" w:hAnsi="Calibri"/>
          <w:noProof/>
          <w:sz w:val="22"/>
        </w:rPr>
        <w:tab/>
        <w:t xml:space="preserve">Lip GYH, Edwards SJ. Stroke prevention with aspirin, warfarin and ximelagatran in patients with non-valvular atrial fibrillation: a systematic review and meta-analysis. </w:t>
      </w:r>
      <w:r w:rsidRPr="00253316">
        <w:rPr>
          <w:rFonts w:ascii="Calibri" w:hAnsi="Calibri"/>
          <w:i/>
          <w:iCs/>
          <w:noProof/>
          <w:sz w:val="22"/>
        </w:rPr>
        <w:t>Thrombosis research</w:t>
      </w:r>
      <w:r w:rsidRPr="00253316">
        <w:rPr>
          <w:rFonts w:ascii="Calibri" w:hAnsi="Calibri"/>
          <w:noProof/>
          <w:sz w:val="22"/>
        </w:rPr>
        <w:t xml:space="preserve"> 2006;</w:t>
      </w:r>
      <w:r w:rsidRPr="00253316">
        <w:rPr>
          <w:rFonts w:ascii="Calibri" w:hAnsi="Calibri"/>
          <w:b/>
          <w:bCs/>
          <w:noProof/>
          <w:sz w:val="22"/>
        </w:rPr>
        <w:t>118</w:t>
      </w:r>
      <w:r w:rsidRPr="00253316">
        <w:rPr>
          <w:rFonts w:ascii="Calibri" w:hAnsi="Calibri"/>
          <w:noProof/>
          <w:sz w:val="22"/>
        </w:rPr>
        <w:t>:321–33.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21 </w:t>
      </w:r>
      <w:r w:rsidRPr="00253316">
        <w:rPr>
          <w:rFonts w:ascii="Calibri" w:hAnsi="Calibri"/>
          <w:noProof/>
          <w:sz w:val="22"/>
        </w:rPr>
        <w:tab/>
        <w:t xml:space="preserve">Patel MR, Mahaffey KW, Garg J, </w:t>
      </w:r>
      <w:r w:rsidRPr="00253316">
        <w:rPr>
          <w:rFonts w:ascii="Calibri" w:hAnsi="Calibri"/>
          <w:i/>
          <w:iCs/>
          <w:noProof/>
          <w:sz w:val="22"/>
        </w:rPr>
        <w:t>et al.</w:t>
      </w:r>
      <w:r w:rsidRPr="00253316">
        <w:rPr>
          <w:rFonts w:ascii="Calibri" w:hAnsi="Calibri"/>
          <w:noProof/>
          <w:sz w:val="22"/>
        </w:rPr>
        <w:t xml:space="preserve"> Rivaroxaban versus Warfarin in Nonvalvular Atrial Fibrillation. </w:t>
      </w:r>
      <w:r w:rsidRPr="00253316">
        <w:rPr>
          <w:rFonts w:ascii="Calibri" w:hAnsi="Calibri"/>
          <w:i/>
          <w:iCs/>
          <w:noProof/>
          <w:sz w:val="22"/>
        </w:rPr>
        <w:t>New England Journal of Medicine</w:t>
      </w:r>
      <w:r w:rsidRPr="00253316">
        <w:rPr>
          <w:rFonts w:ascii="Calibri" w:hAnsi="Calibri"/>
          <w:noProof/>
          <w:sz w:val="22"/>
        </w:rPr>
        <w:t xml:space="preserve"> 2011;</w:t>
      </w:r>
      <w:r w:rsidRPr="00253316">
        <w:rPr>
          <w:rFonts w:ascii="Calibri" w:hAnsi="Calibri"/>
          <w:b/>
          <w:bCs/>
          <w:noProof/>
          <w:sz w:val="22"/>
        </w:rPr>
        <w:t>365</w:t>
      </w:r>
      <w:r w:rsidRPr="00253316">
        <w:rPr>
          <w:rFonts w:ascii="Calibri" w:hAnsi="Calibri"/>
          <w:noProof/>
          <w:sz w:val="22"/>
        </w:rPr>
        <w:t>:883–91.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22 </w:t>
      </w:r>
      <w:r w:rsidRPr="00253316">
        <w:rPr>
          <w:rFonts w:ascii="Calibri" w:hAnsi="Calibri"/>
          <w:noProof/>
          <w:sz w:val="22"/>
        </w:rPr>
        <w:tab/>
        <w:t xml:space="preserve">Rivero-Arias O, Ouellet M, Gray A, </w:t>
      </w:r>
      <w:r w:rsidRPr="00253316">
        <w:rPr>
          <w:rFonts w:ascii="Calibri" w:hAnsi="Calibri"/>
          <w:i/>
          <w:iCs/>
          <w:noProof/>
          <w:sz w:val="22"/>
        </w:rPr>
        <w:t>et al.</w:t>
      </w:r>
      <w:r w:rsidRPr="00253316">
        <w:rPr>
          <w:rFonts w:ascii="Calibri" w:hAnsi="Calibri"/>
          <w:noProof/>
          <w:sz w:val="22"/>
        </w:rPr>
        <w:t xml:space="preserve"> Mapping the Modified Rankin Scale (mRS) Measurement into the Generic EuroQol (EQ-5D) Health Outcome. </w:t>
      </w:r>
      <w:r w:rsidRPr="00253316">
        <w:rPr>
          <w:rFonts w:ascii="Calibri" w:hAnsi="Calibri"/>
          <w:i/>
          <w:iCs/>
          <w:noProof/>
          <w:sz w:val="22"/>
        </w:rPr>
        <w:t>Medical Decision Making</w:t>
      </w:r>
      <w:r w:rsidRPr="00253316">
        <w:rPr>
          <w:rFonts w:ascii="Calibri" w:hAnsi="Calibri"/>
          <w:noProof/>
          <w:sz w:val="22"/>
        </w:rPr>
        <w:t xml:space="preserve"> 2010;</w:t>
      </w:r>
      <w:r w:rsidRPr="00253316">
        <w:rPr>
          <w:rFonts w:ascii="Calibri" w:hAnsi="Calibri"/>
          <w:b/>
          <w:bCs/>
          <w:noProof/>
          <w:sz w:val="22"/>
        </w:rPr>
        <w:t>30</w:t>
      </w:r>
      <w:r w:rsidRPr="00253316">
        <w:rPr>
          <w:rFonts w:ascii="Calibri" w:hAnsi="Calibri"/>
          <w:noProof/>
          <w:sz w:val="22"/>
        </w:rPr>
        <w:t>:341–54.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23 </w:t>
      </w:r>
      <w:r w:rsidRPr="00253316">
        <w:rPr>
          <w:rFonts w:ascii="Calibri" w:hAnsi="Calibri"/>
          <w:noProof/>
          <w:sz w:val="22"/>
        </w:rPr>
        <w:tab/>
        <w:t xml:space="preserve">Simpson EL, Stevenson MD, Rawdin A, </w:t>
      </w:r>
      <w:r w:rsidRPr="00253316">
        <w:rPr>
          <w:rFonts w:ascii="Calibri" w:hAnsi="Calibri"/>
          <w:i/>
          <w:iCs/>
          <w:noProof/>
          <w:sz w:val="22"/>
        </w:rPr>
        <w:t>et al.</w:t>
      </w:r>
      <w:r w:rsidRPr="00253316">
        <w:rPr>
          <w:rFonts w:ascii="Calibri" w:hAnsi="Calibri"/>
          <w:noProof/>
          <w:sz w:val="22"/>
        </w:rPr>
        <w:t xml:space="preserve"> Thrombophilia testing in people with venous thromboembolism: systematic review and cost-effectiveness analysis. </w:t>
      </w:r>
      <w:r w:rsidRPr="00253316">
        <w:rPr>
          <w:rFonts w:ascii="Calibri" w:hAnsi="Calibri"/>
          <w:i/>
          <w:iCs/>
          <w:noProof/>
          <w:sz w:val="22"/>
        </w:rPr>
        <w:t>Health Technology Assessment</w:t>
      </w:r>
      <w:r w:rsidRPr="00253316">
        <w:rPr>
          <w:rFonts w:ascii="Calibri" w:hAnsi="Calibri"/>
          <w:noProof/>
          <w:sz w:val="22"/>
        </w:rPr>
        <w:t xml:space="preserve"> 2009;</w:t>
      </w:r>
      <w:r w:rsidRPr="00253316">
        <w:rPr>
          <w:rFonts w:ascii="Calibri" w:hAnsi="Calibri"/>
          <w:b/>
          <w:bCs/>
          <w:noProof/>
          <w:sz w:val="22"/>
        </w:rPr>
        <w:t>13</w:t>
      </w:r>
      <w:r w:rsidRPr="00253316">
        <w:rPr>
          <w:rFonts w:ascii="Calibri" w:hAnsi="Calibri"/>
          <w:noProof/>
          <w:sz w:val="22"/>
        </w:rPr>
        <w:t>. doi:10.3310/hta13020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24 </w:t>
      </w:r>
      <w:r w:rsidRPr="00253316">
        <w:rPr>
          <w:rFonts w:ascii="Calibri" w:hAnsi="Calibri"/>
          <w:noProof/>
          <w:sz w:val="22"/>
        </w:rPr>
        <w:tab/>
        <w:t xml:space="preserve">Ara R, Brazier JE. Populating an economic model with health state utility values: moving toward better practice. </w:t>
      </w:r>
      <w:r w:rsidRPr="00253316">
        <w:rPr>
          <w:rFonts w:ascii="Calibri" w:hAnsi="Calibri"/>
          <w:i/>
          <w:iCs/>
          <w:noProof/>
          <w:sz w:val="22"/>
        </w:rPr>
        <w:t>Value in health : the journal of the International Society for Pharmacoeconomics and Outcomes Research</w:t>
      </w:r>
      <w:r w:rsidRPr="00253316">
        <w:rPr>
          <w:rFonts w:ascii="Calibri" w:hAnsi="Calibri"/>
          <w:noProof/>
          <w:sz w:val="22"/>
        </w:rPr>
        <w:t xml:space="preserve"> 2010;</w:t>
      </w:r>
      <w:r w:rsidRPr="00253316">
        <w:rPr>
          <w:rFonts w:ascii="Calibri" w:hAnsi="Calibri"/>
          <w:b/>
          <w:bCs/>
          <w:noProof/>
          <w:sz w:val="22"/>
        </w:rPr>
        <w:t>13</w:t>
      </w:r>
      <w:r w:rsidRPr="00253316">
        <w:rPr>
          <w:rFonts w:ascii="Calibri" w:hAnsi="Calibri"/>
          <w:noProof/>
          <w:sz w:val="22"/>
        </w:rPr>
        <w:t>:509–18.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25 </w:t>
      </w:r>
      <w:r w:rsidRPr="00253316">
        <w:rPr>
          <w:rFonts w:ascii="Calibri" w:hAnsi="Calibri"/>
          <w:noProof/>
          <w:sz w:val="22"/>
        </w:rPr>
        <w:tab/>
        <w:t>NICE. Dabigatran etexilate for the prevention of stroke and systemic embolism in atrial fibrillation: Final appraisal determination. 2011;</w:t>
      </w:r>
      <w:r w:rsidRPr="00253316">
        <w:rPr>
          <w:rFonts w:ascii="Calibri" w:hAnsi="Calibri"/>
          <w:b/>
          <w:bCs/>
          <w:noProof/>
          <w:sz w:val="22"/>
        </w:rPr>
        <w:t>2012</w:t>
      </w:r>
      <w:r w:rsidRPr="00253316">
        <w:rPr>
          <w:rFonts w:ascii="Calibri" w:hAnsi="Calibri"/>
          <w:noProof/>
          <w:sz w:val="22"/>
        </w:rPr>
        <w:t>.http://www.nice.org.uk/nicemedia/live/12225/56899/56899.pdf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lastRenderedPageBreak/>
        <w:t xml:space="preserve">26 </w:t>
      </w:r>
      <w:r w:rsidRPr="00253316">
        <w:rPr>
          <w:rFonts w:ascii="Calibri" w:hAnsi="Calibri"/>
          <w:noProof/>
          <w:sz w:val="22"/>
        </w:rPr>
        <w:tab/>
        <w:t>Group LND. A briefing paper on Dabigatran and Rivaroxaban: What we know so far... 2012;</w:t>
      </w:r>
      <w:r w:rsidRPr="00253316">
        <w:rPr>
          <w:rFonts w:ascii="Calibri" w:hAnsi="Calibri"/>
          <w:b/>
          <w:bCs/>
          <w:noProof/>
          <w:sz w:val="22"/>
        </w:rPr>
        <w:t>2012</w:t>
      </w:r>
      <w:r w:rsidRPr="00253316">
        <w:rPr>
          <w:rFonts w:ascii="Calibri" w:hAnsi="Calibri"/>
          <w:noProof/>
          <w:sz w:val="22"/>
        </w:rPr>
        <w:t>.http://www.nelm.nhs.uk/en/NeLM-Area/Evidence/Drug-Specific-Reviews/A-briefing-paper-on-dabigatran-and-rivaroxaban/</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27 </w:t>
      </w:r>
      <w:r w:rsidRPr="00253316">
        <w:rPr>
          <w:rFonts w:ascii="Calibri" w:hAnsi="Calibri"/>
          <w:noProof/>
          <w:sz w:val="22"/>
        </w:rPr>
        <w:tab/>
        <w:t>BNF. Warfarin. 2011;</w:t>
      </w:r>
      <w:r w:rsidRPr="00253316">
        <w:rPr>
          <w:rFonts w:ascii="Calibri" w:hAnsi="Calibri"/>
          <w:b/>
          <w:bCs/>
          <w:noProof/>
          <w:sz w:val="22"/>
        </w:rPr>
        <w:t>2012</w:t>
      </w:r>
      <w:r w:rsidRPr="00253316">
        <w:rPr>
          <w:rFonts w:ascii="Calibri" w:hAnsi="Calibri"/>
          <w:noProof/>
          <w:sz w:val="22"/>
        </w:rPr>
        <w:t>.https://mail.google.com/mail/u/1/#inbox/134f06255f3f63de</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28 </w:t>
      </w:r>
      <w:r w:rsidRPr="00253316">
        <w:rPr>
          <w:rFonts w:ascii="Calibri" w:hAnsi="Calibri"/>
          <w:noProof/>
          <w:sz w:val="22"/>
        </w:rPr>
        <w:tab/>
        <w:t>DoH. NHS Reference Costs 2009-2010. 2011;</w:t>
      </w:r>
      <w:r w:rsidRPr="00253316">
        <w:rPr>
          <w:rFonts w:ascii="Calibri" w:hAnsi="Calibri"/>
          <w:b/>
          <w:bCs/>
          <w:noProof/>
          <w:sz w:val="22"/>
        </w:rPr>
        <w:t>2012</w:t>
      </w:r>
      <w:r w:rsidRPr="00253316">
        <w:rPr>
          <w:rFonts w:ascii="Calibri" w:hAnsi="Calibri"/>
          <w:noProof/>
          <w:sz w:val="22"/>
        </w:rPr>
        <w:t>.http://www.dh.gov.uk/en/Publicationsandstatistics/Publications/PublicationsPolicyAndGuidance/DH_123459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29 </w:t>
      </w:r>
      <w:r w:rsidRPr="00253316">
        <w:rPr>
          <w:rFonts w:ascii="Calibri" w:hAnsi="Calibri"/>
          <w:noProof/>
          <w:sz w:val="22"/>
        </w:rPr>
        <w:tab/>
        <w:t xml:space="preserve">Sandercock P, Berge E, Dennis M, </w:t>
      </w:r>
      <w:r w:rsidRPr="00253316">
        <w:rPr>
          <w:rFonts w:ascii="Calibri" w:hAnsi="Calibri"/>
          <w:i/>
          <w:iCs/>
          <w:noProof/>
          <w:sz w:val="22"/>
        </w:rPr>
        <w:t>et al.</w:t>
      </w:r>
      <w:r w:rsidRPr="00253316">
        <w:rPr>
          <w:rFonts w:ascii="Calibri" w:hAnsi="Calibri"/>
          <w:noProof/>
          <w:sz w:val="22"/>
        </w:rPr>
        <w:t xml:space="preserve"> A systematic review of the effectiveness, cost-effectiveness and barriers to implementation of thrombolytic and neuroprotective therapy for acute ischaemic stroke in the NHS. </w:t>
      </w:r>
      <w:r w:rsidRPr="00253316">
        <w:rPr>
          <w:rFonts w:ascii="Calibri" w:hAnsi="Calibri"/>
          <w:i/>
          <w:iCs/>
          <w:noProof/>
          <w:sz w:val="22"/>
        </w:rPr>
        <w:t>Health Technology Assessment</w:t>
      </w:r>
      <w:r w:rsidRPr="00253316">
        <w:rPr>
          <w:rFonts w:ascii="Calibri" w:hAnsi="Calibri"/>
          <w:noProof/>
          <w:sz w:val="22"/>
        </w:rPr>
        <w:t xml:space="preserve"> 2002;</w:t>
      </w:r>
      <w:r w:rsidRPr="00253316">
        <w:rPr>
          <w:rFonts w:ascii="Calibri" w:hAnsi="Calibri"/>
          <w:b/>
          <w:bCs/>
          <w:noProof/>
          <w:sz w:val="22"/>
        </w:rPr>
        <w:t>6</w:t>
      </w:r>
      <w:r w:rsidRPr="00253316">
        <w:rPr>
          <w:rFonts w:ascii="Calibri" w:hAnsi="Calibri"/>
          <w:noProof/>
          <w:sz w:val="22"/>
        </w:rPr>
        <w:t>.</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30 </w:t>
      </w:r>
      <w:r w:rsidRPr="00253316">
        <w:rPr>
          <w:rFonts w:ascii="Calibri" w:hAnsi="Calibri"/>
          <w:noProof/>
          <w:sz w:val="22"/>
        </w:rPr>
        <w:tab/>
        <w:t>NHS. National Stroke Strategy Impact Assessment. 2007;</w:t>
      </w:r>
      <w:r w:rsidRPr="00253316">
        <w:rPr>
          <w:rFonts w:ascii="Calibri" w:hAnsi="Calibri"/>
          <w:b/>
          <w:bCs/>
          <w:noProof/>
          <w:sz w:val="22"/>
        </w:rPr>
        <w:t>2012</w:t>
      </w:r>
      <w:r w:rsidRPr="00253316">
        <w:rPr>
          <w:rFonts w:ascii="Calibri" w:hAnsi="Calibri"/>
          <w:noProof/>
          <w:sz w:val="22"/>
        </w:rPr>
        <w:t>.http://www.dh.gov.uk/prod_consum_dh/groups/dh_digitalassets/documents/digitalasset/dh_081054.pdf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31 </w:t>
      </w:r>
      <w:r w:rsidRPr="00253316">
        <w:rPr>
          <w:rFonts w:ascii="Calibri" w:hAnsi="Calibri"/>
          <w:noProof/>
          <w:sz w:val="22"/>
        </w:rPr>
        <w:tab/>
        <w:t xml:space="preserve">Curtis L. Unit Costs of Health and Social Care 2010. Kent: 2010. </w:t>
      </w:r>
    </w:p>
    <w:p w:rsidR="00834F71" w:rsidRPr="00532F44" w:rsidRDefault="002F05E5" w:rsidP="00253316">
      <w:pPr>
        <w:pStyle w:val="NormalWeb"/>
        <w:ind w:left="640" w:hanging="640"/>
        <w:divId w:val="818763781"/>
      </w:pPr>
      <w:r>
        <w:fldChar w:fldCharType="end"/>
      </w:r>
      <w:commentRangeEnd w:id="3"/>
      <w:r w:rsidR="008E6143">
        <w:rPr>
          <w:rStyle w:val="CommentReference"/>
          <w:rFonts w:eastAsia="Times New Roman"/>
        </w:rPr>
        <w:commentReference w:id="3"/>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6A9CB08B" wp14:editId="182DC6E0">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4"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4"/>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5"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5"/>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253316">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253316">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rsidR="00253316">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"[21]" }, "properties" : { "noteIndex" : 0 }, "schema" : "https://github.com/citation-style-language/schema/raw/master/csl-citation.json" }</w:instrText>
            </w:r>
            <w:r>
              <w:fldChar w:fldCharType="separate"/>
            </w:r>
            <w:r w:rsidRPr="00F82325">
              <w:rPr>
                <w:noProof/>
              </w:rPr>
              <w:t>[21]</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rsidR="00253316">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"[23]" }, "properties" : { "noteIndex" : 0 }, "schema" : "https://github.com/citation-style-language/schema/raw/master/csl-citation.json" }</w:instrText>
            </w:r>
            <w:r w:rsidRPr="00532F44">
              <w:fldChar w:fldCharType="separate"/>
            </w:r>
            <w:r w:rsidRPr="00F82325">
              <w:rPr>
                <w:noProof/>
              </w:rPr>
              <w:t>[23]</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rsidR="00253316">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"[24]" }, "properties" : { "noteIndex" : 0 }, "schema" : "https://github.com/citation-style-language/schema/raw/master/csl-citation.json" }</w:instrText>
            </w:r>
            <w:r w:rsidRPr="00532F44">
              <w:fldChar w:fldCharType="separate"/>
            </w:r>
            <w:r w:rsidRPr="00F82325">
              <w:rPr>
                <w:noProof/>
              </w:rPr>
              <w:t>[24]</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rsidR="00253316">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"[25]" }, "properties" : { "noteIndex" : 0 }, "schema" : "https://github.com/citation-style-language/schema/raw/master/csl-citation.json" }</w:instrText>
            </w:r>
            <w:r w:rsidRPr="00532F44">
              <w:fldChar w:fldCharType="separate"/>
            </w:r>
            <w:r w:rsidRPr="00F82325">
              <w:rPr>
                <w:noProof/>
              </w:rPr>
              <w:t>[25]</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rsidR="00253316">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"[26]" }, "properties" : { "noteIndex" : 0 }, "schema" : "https://github.com/citation-style-language/schema/raw/master/csl-citation.json" }</w:instrText>
            </w:r>
            <w:r>
              <w:fldChar w:fldCharType="separate"/>
            </w:r>
            <w:r w:rsidRPr="00F8232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rsidR="00253316">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"[27]" }, "properties" : { "noteIndex" : 0 }, "schema" : "https://github.com/citation-style-language/schema/raw/master/csl-citation.json" }</w:instrText>
            </w:r>
            <w:r>
              <w:fldChar w:fldCharType="separate"/>
            </w:r>
            <w:r w:rsidRPr="00F82325">
              <w:rPr>
                <w:noProof/>
              </w:rPr>
              <w:t>[27]</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fldChar w:fldCharType="separate"/>
            </w:r>
            <w:r w:rsidRPr="00F82325">
              <w:rPr>
                <w:noProof/>
              </w:rPr>
              <w:t>[28]</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rsidR="00253316">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"[29]" }, "properties" : { "noteIndex" : 0 }, "schema" : "https://github.com/citation-style-language/schema/raw/master/csl-citation.json" }</w:instrText>
            </w:r>
            <w:r w:rsidRPr="00532F44">
              <w:fldChar w:fldCharType="separate"/>
            </w:r>
            <w:r w:rsidRPr="00F82325">
              <w:rPr>
                <w:noProof/>
              </w:rPr>
              <w:t>[29]</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r w:rsidRPr="00532F44">
              <w:t xml:space="preserve">NHS Stroke Strategy Impact Assessment  </w:t>
            </w:r>
            <w:r w:rsidRPr="00532F44">
              <w:fldChar w:fldCharType="begin" w:fldLock="1"/>
            </w:r>
            <w:r w:rsidR="00253316">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"[30]" }, "properties" : { "noteIndex" : 0 }, "schema" : "https://github.com/citation-style-language/schema/raw/master/csl-citation.json" }</w:instrText>
            </w:r>
            <w:r w:rsidRPr="00532F44">
              <w:fldChar w:fldCharType="separate"/>
            </w:r>
            <w:r w:rsidRPr="00F82325">
              <w:rPr>
                <w:noProof/>
              </w:rPr>
              <w:t>[30]</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rsidR="00253316">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"[31]" }, "properties" : { "noteIndex" : 0 }, "schema" : "https://github.com/citation-style-language/schema/raw/master/csl-citation.json" }</w:instrText>
            </w:r>
            <w:r w:rsidRPr="00532F44">
              <w:fldChar w:fldCharType="separate"/>
            </w:r>
            <w:r w:rsidRPr="00F82325">
              <w:rPr>
                <w:noProof/>
              </w:rPr>
              <w:t>[31]</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6"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2</w:t>
      </w:r>
      <w:r w:rsidR="002F05E5" w:rsidRPr="00532F44">
        <w:rPr>
          <w:noProof/>
          <w:color w:val="auto"/>
        </w:rPr>
        <w:fldChar w:fldCharType="end"/>
      </w:r>
      <w:bookmarkEnd w:id="6"/>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0" w:type="auto"/>
        <w:tblLook w:val="04A0" w:firstRow="1" w:lastRow="0" w:firstColumn="1" w:lastColumn="0" w:noHBand="0" w:noVBand="1"/>
      </w:tblPr>
      <w:tblGrid>
        <w:gridCol w:w="10111"/>
      </w:tblGrid>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bookmarkStart w:id="7" w:name="_Ref321238070"/>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17.132</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0.052</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keepNext/>
                    <w:jc w:val="right"/>
                    <w:rPr>
                      <w:rFonts w:ascii="Times New Roman" w:eastAsia="Times New Roman" w:hAnsi="Times New Roman"/>
                      <w:color w:val="000000"/>
                    </w:rPr>
                  </w:pPr>
                  <w:r>
                    <w:rPr>
                      <w:color w:val="000000"/>
                    </w:rPr>
                    <w:t>0.079</w:t>
                  </w:r>
                </w:p>
              </w:tc>
            </w:tr>
          </w:tbl>
          <w:p w:rsidR="0046051B" w:rsidRDefault="0046051B" w:rsidP="0046051B">
            <w:pPr>
              <w:pStyle w:val="Caption"/>
            </w:pPr>
          </w:p>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commentRangeStart w:id="8"/>
            <w:r>
              <w:t>warfarin</w:t>
            </w:r>
            <w:commentRangeEnd w:id="8"/>
            <w:r>
              <w:rPr>
                <w:rStyle w:val="CommentReference"/>
              </w:rPr>
              <w:commentReference w:id="8"/>
            </w:r>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0.096</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rivaroxaban</w:t>
            </w:r>
            <w:proofErr w:type="spellEnd"/>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7"/>
              <w:gridCol w:w="1134"/>
              <w:gridCol w:w="993"/>
              <w:gridCol w:w="850"/>
              <w:gridCol w:w="851"/>
              <w:gridCol w:w="1274"/>
              <w:gridCol w:w="1417"/>
              <w:gridCol w:w="718"/>
              <w:gridCol w:w="841"/>
            </w:tblGrid>
            <w:tr w:rsidR="0046051B" w:rsidTr="0046051B">
              <w:tc>
                <w:tcPr>
                  <w:tcW w:w="1807"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0.097</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dabigatran</w:t>
            </w:r>
            <w:proofErr w:type="spellEnd"/>
          </w:p>
        </w:tc>
      </w:tr>
    </w:tbl>
    <w:p w:rsidR="0046051B" w:rsidRDefault="0046051B" w:rsidP="00834F71">
      <w:pPr>
        <w:pStyle w:val="Caption"/>
        <w:divId w:val="1548566716"/>
        <w:rPr>
          <w:color w:val="FF0000"/>
        </w:rPr>
      </w:pPr>
    </w:p>
    <w:p w:rsidR="0046051B" w:rsidRDefault="00834F71" w:rsidP="0046051B">
      <w:pPr>
        <w:pStyle w:val="Caption"/>
        <w:spacing w:after="0"/>
        <w:divId w:val="1548566716"/>
      </w:pPr>
      <w:r w:rsidRPr="00D561D8">
        <w:rPr>
          <w:color w:val="FF0000"/>
        </w:rPr>
        <w:t xml:space="preserve">Table </w:t>
      </w:r>
      <w:r w:rsidR="002F05E5" w:rsidRPr="00D561D8">
        <w:rPr>
          <w:color w:val="FF0000"/>
        </w:rPr>
        <w:fldChar w:fldCharType="begin"/>
      </w:r>
      <w:r w:rsidR="00AC692E" w:rsidRPr="00D561D8">
        <w:rPr>
          <w:color w:val="FF0000"/>
        </w:rPr>
        <w:instrText xml:space="preserve"> SEQ Table \* ARABIC </w:instrText>
      </w:r>
      <w:r w:rsidR="002F05E5" w:rsidRPr="00D561D8">
        <w:rPr>
          <w:color w:val="FF0000"/>
        </w:rPr>
        <w:fldChar w:fldCharType="separate"/>
      </w:r>
      <w:r w:rsidR="0046051B">
        <w:rPr>
          <w:noProof/>
          <w:color w:val="FF0000"/>
        </w:rPr>
        <w:t>3</w:t>
      </w:r>
      <w:r w:rsidR="002F05E5" w:rsidRPr="00D561D8">
        <w:rPr>
          <w:noProof/>
          <w:color w:val="FF0000"/>
        </w:rPr>
        <w:fldChar w:fldCharType="end"/>
      </w:r>
      <w:bookmarkEnd w:id="7"/>
      <w:r w:rsidR="0046051B" w:rsidRPr="0046051B">
        <w:t xml:space="preserve"> </w:t>
      </w:r>
      <w:r w:rsidR="0046051B" w:rsidRPr="00FE0875">
        <w:t>Mean simulated clinical experiences of cohorts of 65 year old females with an initial CHADS</w:t>
      </w:r>
      <w:bookmarkStart w:id="9" w:name="_GoBack"/>
      <w:r w:rsidR="0046051B" w:rsidRPr="00900CA4">
        <w:rPr>
          <w:vertAlign w:val="subscript"/>
        </w:rPr>
        <w:t>2</w:t>
      </w:r>
      <w:bookmarkEnd w:id="9"/>
      <w:r w:rsidR="0046051B" w:rsidRPr="00FE0875">
        <w:t xml:space="preserve"> score of zero, when TTE is either used or not used to inform the decision whether to prescribe </w:t>
      </w:r>
      <w:proofErr w:type="gramStart"/>
      <w:r w:rsidR="0046051B" w:rsidRPr="00FE0875">
        <w:t>either a) warfarin</w:t>
      </w:r>
      <w:proofErr w:type="gramEnd"/>
      <w:r w:rsidR="0046051B" w:rsidRPr="00FE0875">
        <w:t xml:space="preserve">, b) </w:t>
      </w:r>
      <w:proofErr w:type="spellStart"/>
      <w:r w:rsidR="0046051B" w:rsidRPr="00FE0875">
        <w:t>rivaroxaban</w:t>
      </w:r>
      <w:proofErr w:type="spellEnd"/>
      <w:r w:rsidR="0046051B" w:rsidRPr="00FE0875">
        <w:t xml:space="preserve">, or c) </w:t>
      </w:r>
      <w:proofErr w:type="spellStart"/>
      <w:r w:rsidR="0046051B" w:rsidRPr="00FE0875">
        <w:t>dabigatran</w:t>
      </w:r>
      <w:proofErr w:type="spellEnd"/>
      <w:r w:rsidR="0046051B" w:rsidRPr="00FE0875">
        <w:t xml:space="preserve">. </w:t>
      </w:r>
    </w:p>
    <w:p w:rsidR="0046051B" w:rsidRDefault="0046051B" w:rsidP="0046051B">
      <w:pPr>
        <w:pStyle w:val="Caption"/>
        <w:divId w:val="1548566716"/>
      </w:pPr>
      <w:r w:rsidRPr="00FE0875">
        <w:t>TTE: trans</w:t>
      </w:r>
      <w:r>
        <w:t>thoracic echocardiography; LA ABN- Left atrial abnormality; ICH = intracranial haemorrhage; NICH = non-intracranial haemorrhage</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Default="0046051B" w:rsidP="0046051B">
      <w:pPr>
        <w:pStyle w:val="Caption"/>
      </w:pPr>
      <w:bookmarkStart w:id="10" w:name="_Ref335131627"/>
      <w:bookmarkStart w:id="11" w:name="_Ref345417087"/>
      <w:r>
        <w:lastRenderedPageBreak/>
        <w:t xml:space="preserve">Figure </w:t>
      </w:r>
      <w:r>
        <w:fldChar w:fldCharType="begin"/>
      </w:r>
      <w:r>
        <w:instrText xml:space="preserve"> SEQ Figure \* ARABIC </w:instrText>
      </w:r>
      <w:r>
        <w:fldChar w:fldCharType="separate"/>
      </w:r>
      <w:r>
        <w:rPr>
          <w:noProof/>
        </w:rPr>
        <w:t>2</w:t>
      </w:r>
      <w:r>
        <w:fldChar w:fldCharType="end"/>
      </w:r>
      <w:bookmarkEnd w:id="11"/>
      <w:r>
        <w:t xml:space="preserve"> </w:t>
      </w:r>
      <w:bookmarkEnd w:id="10"/>
      <w:r>
        <w:t xml:space="preserve">Probabilistic sensitivity analysis (PSA) scatterplots and cost effectiveness acceptability frontiers (CEAFs) of the incremental costs and incremental quality adjusted </w:t>
      </w:r>
      <w:proofErr w:type="spellStart"/>
      <w:r>
        <w:t>lifeyears</w:t>
      </w:r>
      <w:proofErr w:type="spellEnd"/>
      <w:r>
        <w:t xml:space="preserve"> (QALYs) of using transthoracic echocardiography to inform the decision whether to prescribe either warfarin, </w:t>
      </w:r>
      <w:proofErr w:type="spellStart"/>
      <w:r>
        <w:t>rivaroxaban</w:t>
      </w:r>
      <w:proofErr w:type="spellEnd"/>
      <w:r>
        <w:t xml:space="preserve">, or </w:t>
      </w:r>
      <w:proofErr w:type="spellStart"/>
      <w:r>
        <w:t>dabigatran</w:t>
      </w:r>
      <w:proofErr w:type="spellEnd"/>
      <w:r>
        <w:t xml:space="preserve"> to 65 year old females with atrial fibrillation and an CHADS</w:t>
      </w:r>
      <w:r w:rsidRPr="006203B0">
        <w:rPr>
          <w:vertAlign w:val="subscript"/>
        </w:rPr>
        <w:t>2</w:t>
      </w:r>
      <w:r>
        <w:t xml:space="preserve"> score of zero.</w:t>
      </w:r>
    </w:p>
    <w:tbl>
      <w:tblPr>
        <w:tblStyle w:val="TableGrid"/>
        <w:tblW w:w="0" w:type="auto"/>
        <w:tblLook w:val="04A0" w:firstRow="1" w:lastRow="0" w:firstColumn="1" w:lastColumn="0" w:noHBand="0" w:noVBand="1"/>
      </w:tblPr>
      <w:tblGrid>
        <w:gridCol w:w="4705"/>
        <w:gridCol w:w="4537"/>
      </w:tblGrid>
      <w:tr w:rsidR="0046051B" w:rsidTr="0046051B">
        <w:trPr>
          <w:divId w:val="1548566716"/>
        </w:trPr>
        <w:tc>
          <w:tcPr>
            <w:tcW w:w="4705" w:type="dxa"/>
          </w:tcPr>
          <w:p w:rsidR="0046051B" w:rsidRDefault="0046051B" w:rsidP="0046051B">
            <w:r>
              <w:rPr>
                <w:noProof/>
                <w:lang w:val="en-GB" w:eastAsia="en-GB"/>
              </w:rPr>
              <w:drawing>
                <wp:inline distT="0" distB="0" distL="0" distR="0" wp14:anchorId="2F3334F3" wp14:editId="5A83233F">
                  <wp:extent cx="2592000" cy="2592000"/>
                  <wp:effectExtent l="0" t="0" r="0" b="0"/>
                  <wp:docPr id="1" name="Picture 1"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65_F.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73EC00F9" wp14:editId="3FEE4F89">
                  <wp:extent cx="2592000" cy="2592000"/>
                  <wp:effectExtent l="0" t="0" r="0" b="0"/>
                  <wp:docPr id="5" name="Picture 5"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ceaf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commentRangeStart w:id="12"/>
            <w:r>
              <w:t>warfarin, scatterplot</w:t>
            </w:r>
          </w:p>
        </w:tc>
        <w:tc>
          <w:tcPr>
            <w:tcW w:w="4537" w:type="dxa"/>
          </w:tcPr>
          <w:p w:rsidR="0046051B" w:rsidRDefault="0046051B" w:rsidP="0046051B">
            <w:pPr>
              <w:pStyle w:val="ListParagraph"/>
              <w:numPr>
                <w:ilvl w:val="0"/>
                <w:numId w:val="20"/>
              </w:numPr>
              <w:spacing w:line="240" w:lineRule="auto"/>
              <w:jc w:val="left"/>
            </w:pPr>
            <w:r>
              <w:t>warfarin, CEAF</w:t>
            </w:r>
            <w:commentRangeEnd w:id="12"/>
            <w:r>
              <w:rPr>
                <w:rStyle w:val="CommentReference"/>
              </w:rPr>
              <w:commentReference w:id="12"/>
            </w:r>
          </w:p>
        </w:tc>
      </w:tr>
      <w:tr w:rsidR="0046051B" w:rsidTr="0046051B">
        <w:trPr>
          <w:divId w:val="1548566716"/>
        </w:trPr>
        <w:tc>
          <w:tcPr>
            <w:tcW w:w="4705" w:type="dxa"/>
          </w:tcPr>
          <w:p w:rsidR="0046051B" w:rsidRDefault="0046051B" w:rsidP="0046051B">
            <w:r>
              <w:rPr>
                <w:noProof/>
                <w:lang w:val="en-GB" w:eastAsia="en-GB"/>
              </w:rPr>
              <w:drawing>
                <wp:inline distT="0" distB="0" distL="0" distR="0" wp14:anchorId="346E1702" wp14:editId="7E757234">
                  <wp:extent cx="2592000" cy="2592000"/>
                  <wp:effectExtent l="0" t="0" r="0" b="0"/>
                  <wp:docPr id="31"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7AAB23DB" wp14:editId="128B8937">
                  <wp:extent cx="2592000" cy="2592000"/>
                  <wp:effectExtent l="0" t="0" r="0" b="0"/>
                  <wp:docPr id="32"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rivaroxaban</w:t>
            </w:r>
            <w:proofErr w:type="spellEnd"/>
            <w:r>
              <w:t>, scatterplot</w:t>
            </w:r>
          </w:p>
        </w:tc>
        <w:tc>
          <w:tcPr>
            <w:tcW w:w="4537" w:type="dxa"/>
          </w:tcPr>
          <w:p w:rsidR="0046051B" w:rsidRDefault="0046051B" w:rsidP="0046051B">
            <w:pPr>
              <w:pStyle w:val="ListParagraph"/>
              <w:numPr>
                <w:ilvl w:val="0"/>
                <w:numId w:val="20"/>
              </w:numPr>
              <w:spacing w:line="240" w:lineRule="auto"/>
              <w:jc w:val="left"/>
            </w:pPr>
            <w:proofErr w:type="spellStart"/>
            <w:r>
              <w:t>rivaroxaban</w:t>
            </w:r>
            <w:proofErr w:type="spellEnd"/>
            <w:r>
              <w:t>, CEAF</w:t>
            </w:r>
          </w:p>
        </w:tc>
      </w:tr>
      <w:tr w:rsidR="0046051B" w:rsidTr="0046051B">
        <w:trPr>
          <w:divId w:val="1548566716"/>
        </w:trPr>
        <w:tc>
          <w:tcPr>
            <w:tcW w:w="4705" w:type="dxa"/>
          </w:tcPr>
          <w:p w:rsidR="0046051B" w:rsidRDefault="0046051B" w:rsidP="0046051B">
            <w:r>
              <w:rPr>
                <w:noProof/>
                <w:lang w:val="en-GB" w:eastAsia="en-GB"/>
              </w:rPr>
              <w:lastRenderedPageBreak/>
              <w:drawing>
                <wp:inline distT="0" distB="0" distL="0" distR="0" wp14:anchorId="0E1BB1D0" wp14:editId="57814031">
                  <wp:extent cx="2592000" cy="2592000"/>
                  <wp:effectExtent l="0" t="0" r="0" b="0"/>
                  <wp:docPr id="35"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14888A85" wp14:editId="5536C750">
                  <wp:extent cx="2592000" cy="2592000"/>
                  <wp:effectExtent l="0" t="0" r="0" b="0"/>
                  <wp:docPr id="36"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dabigatran</w:t>
            </w:r>
            <w:proofErr w:type="spellEnd"/>
            <w:r>
              <w:t>, scatterplot</w:t>
            </w:r>
          </w:p>
        </w:tc>
        <w:tc>
          <w:tcPr>
            <w:tcW w:w="4537" w:type="dxa"/>
          </w:tcPr>
          <w:p w:rsidR="0046051B" w:rsidRDefault="0046051B" w:rsidP="0046051B">
            <w:pPr>
              <w:pStyle w:val="ListParagraph"/>
              <w:keepNext/>
              <w:numPr>
                <w:ilvl w:val="0"/>
                <w:numId w:val="20"/>
              </w:numPr>
              <w:spacing w:line="240" w:lineRule="auto"/>
              <w:jc w:val="left"/>
            </w:pPr>
            <w:proofErr w:type="spellStart"/>
            <w:r>
              <w:t>dabigatran</w:t>
            </w:r>
            <w:proofErr w:type="spellEnd"/>
            <w:r>
              <w:t>, CEAF</w:t>
            </w:r>
          </w:p>
        </w:tc>
      </w:tr>
    </w:tbl>
    <w:p w:rsidR="0046051B" w:rsidRDefault="0046051B" w:rsidP="0046051B">
      <w:pPr>
        <w:divId w:val="1548566716"/>
        <w:rPr>
          <w:lang w:val="en-GB"/>
        </w:rPr>
      </w:pPr>
    </w:p>
    <w:p w:rsidR="006D0808" w:rsidRPr="00532F44" w:rsidRDefault="006D0808" w:rsidP="003C217E">
      <w:pPr>
        <w:divId w:val="1548566716"/>
        <w:rPr>
          <w:lang w:val="en-GB"/>
        </w:rPr>
        <w:sectPr w:rsidR="006D0808" w:rsidRPr="00532F44" w:rsidSect="0046051B">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7196"/>
      </w:tblGrid>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bookmarkStart w:id="13" w:name="_Ref335141468"/>
                </w:p>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1 974</w:t>
                  </w:r>
                </w:p>
              </w:tc>
              <w:tc>
                <w:tcPr>
                  <w:tcW w:w="2311" w:type="dxa"/>
                </w:tcPr>
                <w:p w:rsidR="0046051B" w:rsidRDefault="0046051B" w:rsidP="0046051B">
                  <w:r>
                    <w:t>9.94</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3 106</w:t>
                  </w:r>
                </w:p>
              </w:tc>
              <w:tc>
                <w:tcPr>
                  <w:tcW w:w="2311" w:type="dxa"/>
                </w:tcPr>
                <w:p w:rsidR="0046051B" w:rsidRDefault="0046051B" w:rsidP="0046051B">
                  <w:r>
                    <w:t>9.97</w:t>
                  </w:r>
                </w:p>
              </w:tc>
            </w:tr>
            <w:tr w:rsidR="0046051B" w:rsidTr="0046051B">
              <w:tc>
                <w:tcPr>
                  <w:tcW w:w="2310" w:type="dxa"/>
                </w:tcPr>
                <w:p w:rsidR="0046051B" w:rsidRDefault="0046051B" w:rsidP="0046051B">
                  <w:r>
                    <w:t xml:space="preserve">ICER (95% </w:t>
                  </w:r>
                  <w:proofErr w:type="spellStart"/>
                  <w:r>
                    <w:t>CrIs</w:t>
                  </w:r>
                  <w:proofErr w:type="spellEnd"/>
                  <w:r>
                    <w:t>)</w:t>
                  </w:r>
                </w:p>
              </w:tc>
              <w:tc>
                <w:tcPr>
                  <w:tcW w:w="4621" w:type="dxa"/>
                  <w:gridSpan w:val="2"/>
                </w:tcPr>
                <w:p w:rsidR="0046051B" w:rsidRDefault="0046051B" w:rsidP="0046051B">
                  <w:r>
                    <w:t>39 569 (39 374 to 39 839)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commentRangeStart w:id="14"/>
            <w:r>
              <w:t>warfarin</w:t>
            </w:r>
            <w:commentRangeEnd w:id="14"/>
            <w:r>
              <w:rPr>
                <w:rStyle w:val="CommentReference"/>
              </w:rPr>
              <w:commentReference w:id="14"/>
            </w:r>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1 955</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3 039</w:t>
                  </w:r>
                </w:p>
              </w:tc>
              <w:tc>
                <w:tcPr>
                  <w:tcW w:w="2311" w:type="dxa"/>
                </w:tcPr>
                <w:p w:rsidR="0046051B" w:rsidRDefault="0046051B" w:rsidP="0046051B">
                  <w:r>
                    <w:t>9.99</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22 751 (22 681 to 22 844)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proofErr w:type="spellStart"/>
            <w:r>
              <w:t>rivaroxaban</w:t>
            </w:r>
            <w:proofErr w:type="spellEnd"/>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1 942</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2 946</w:t>
                  </w:r>
                </w:p>
              </w:tc>
              <w:tc>
                <w:tcPr>
                  <w:tcW w:w="2311" w:type="dxa"/>
                </w:tcPr>
                <w:p w:rsidR="0046051B" w:rsidRDefault="0046051B" w:rsidP="0046051B">
                  <w:r>
                    <w:t>10.01</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12 314 (12 290 to 12 348)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keepNext/>
              <w:numPr>
                <w:ilvl w:val="0"/>
                <w:numId w:val="21"/>
              </w:numPr>
              <w:spacing w:line="240" w:lineRule="auto"/>
              <w:jc w:val="left"/>
            </w:pPr>
            <w:proofErr w:type="spellStart"/>
            <w:r>
              <w:t>dabigatran</w:t>
            </w:r>
            <w:proofErr w:type="spellEnd"/>
          </w:p>
        </w:tc>
      </w:tr>
    </w:tbl>
    <w:p w:rsidR="0046051B" w:rsidRDefault="0046051B" w:rsidP="0046051B">
      <w:pPr>
        <w:pStyle w:val="Caption"/>
        <w:divId w:val="1548566716"/>
      </w:pPr>
      <w:bookmarkStart w:id="15" w:name="_Ref345417116"/>
      <w:bookmarkStart w:id="16" w:name="_Ref345417121"/>
      <w:r>
        <w:t xml:space="preserve">Table </w:t>
      </w:r>
      <w:r>
        <w:fldChar w:fldCharType="begin"/>
      </w:r>
      <w:r>
        <w:instrText xml:space="preserve"> SEQ Table \* ARABIC </w:instrText>
      </w:r>
      <w:r>
        <w:fldChar w:fldCharType="separate"/>
      </w:r>
      <w:r>
        <w:rPr>
          <w:noProof/>
        </w:rPr>
        <w:t>4</w:t>
      </w:r>
      <w:r>
        <w:fldChar w:fldCharType="end"/>
      </w:r>
      <w:bookmarkEnd w:id="16"/>
      <w:r>
        <w:t xml:space="preserve"> Estimated mean costs and mean QALYs of using or not using TTE to make the decision to prescribe </w:t>
      </w:r>
      <w:proofErr w:type="gramStart"/>
      <w:r>
        <w:t>either a) warfarin</w:t>
      </w:r>
      <w:proofErr w:type="gramEnd"/>
      <w:r>
        <w:t xml:space="preserve">, b) </w:t>
      </w:r>
      <w:proofErr w:type="spellStart"/>
      <w:r>
        <w:t>rivaroxaban</w:t>
      </w:r>
      <w:proofErr w:type="spellEnd"/>
      <w:r>
        <w:t xml:space="preserve">, or c) </w:t>
      </w:r>
      <w:proofErr w:type="spellStart"/>
      <w:r>
        <w:t>dabigatran</w:t>
      </w:r>
      <w:proofErr w:type="spellEnd"/>
      <w:r>
        <w:t xml:space="preserve"> for 65 year old females with an initial CHADS</w:t>
      </w:r>
      <w:r w:rsidRPr="00A365F4">
        <w:rPr>
          <w:vertAlign w:val="subscript"/>
        </w:rPr>
        <w:t>2</w:t>
      </w:r>
      <w:r w:rsidRPr="00A365F4">
        <w:t xml:space="preserve"> </w:t>
      </w:r>
      <w:r>
        <w:t xml:space="preserve">score of zero. ICER: incremental cost effectiveness ratio. </w:t>
      </w:r>
      <w:proofErr w:type="spellStart"/>
      <w:r>
        <w:t>CrIs</w:t>
      </w:r>
      <w:proofErr w:type="spellEnd"/>
      <w:r>
        <w:t xml:space="preserve">: Credible intervals; calculated using a </w:t>
      </w:r>
      <w:proofErr w:type="spellStart"/>
      <w:r>
        <w:t>jacknifing</w:t>
      </w:r>
      <w:proofErr w:type="spellEnd"/>
      <w:r>
        <w:t xml:space="preserve"> procedure.</w:t>
      </w:r>
      <w:bookmarkEnd w:id="15"/>
    </w:p>
    <w:p w:rsidR="0046051B" w:rsidRDefault="0046051B" w:rsidP="0046051B">
      <w:pPr>
        <w:divId w:val="1548566716"/>
        <w:rPr>
          <w:lang w:val="en-GB"/>
        </w:rPr>
      </w:pPr>
    </w:p>
    <w:p w:rsidR="0046051B" w:rsidRDefault="0046051B" w:rsidP="0046051B">
      <w:pPr>
        <w:divId w:val="1548566716"/>
        <w:rPr>
          <w:lang w:val="en-GB"/>
        </w:rPr>
        <w:sectPr w:rsidR="0046051B" w:rsidSect="006D0808">
          <w:pgSz w:w="11906" w:h="16838"/>
          <w:pgMar w:top="1440" w:right="1440" w:bottom="1440" w:left="1440" w:header="709" w:footer="709" w:gutter="0"/>
          <w:cols w:space="708"/>
          <w:docGrid w:linePitch="360"/>
        </w:sectPr>
      </w:pPr>
    </w:p>
    <w:p w:rsidR="00920A0B" w:rsidRPr="00D561D8" w:rsidRDefault="0098691C" w:rsidP="0098691C">
      <w:pPr>
        <w:pStyle w:val="Caption"/>
        <w:divId w:val="1548566716"/>
        <w:rPr>
          <w:color w:val="FF0000"/>
        </w:rPr>
      </w:pPr>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46051B">
        <w:rPr>
          <w:noProof/>
          <w:color w:val="FF0000"/>
        </w:rPr>
        <w:t>5</w:t>
      </w:r>
      <w:r w:rsidR="002F05E5" w:rsidRPr="00D561D8">
        <w:rPr>
          <w:color w:val="FF0000"/>
        </w:rPr>
        <w:fldChar w:fldCharType="end"/>
      </w:r>
      <w:bookmarkEnd w:id="13"/>
      <w:r w:rsidRPr="00D561D8">
        <w:rPr>
          <w:color w:val="FF0000"/>
        </w:rPr>
        <w:t xml:space="preserve"> Illustration of the effect of different levels of sensitivity and specificity on ICER of TTE compared with no TTE in cohorts of male patients aged fifty in making the decision whether to prescribe warfarin.</w:t>
      </w:r>
      <w:r w:rsidR="00040779" w:rsidRPr="00D561D8">
        <w:rPr>
          <w:color w:val="FF0000"/>
        </w:rPr>
        <w:t xml:space="preserve"> The four cells with sensitivity and specificity values closest to the empirical values are underlined</w:t>
      </w:r>
      <w:r w:rsidR="0053772E" w:rsidRPr="00D561D8">
        <w:rPr>
          <w:color w:val="FF0000"/>
        </w:rPr>
        <w:t>.</w:t>
      </w:r>
      <w:r w:rsidRPr="00D561D8">
        <w:rPr>
          <w:color w:val="FF0000"/>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D561D8"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D561D8" w:rsidRDefault="00DB7C63" w:rsidP="00B13ECE">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 xml:space="preserve"> CHADS</w:t>
            </w:r>
            <w:r w:rsidRPr="00D561D8">
              <w:rPr>
                <w:rFonts w:ascii="Calibri" w:eastAsia="Times New Roman" w:hAnsi="Calibri" w:cs="Calibri"/>
                <w:b/>
                <w:bCs/>
                <w:i/>
                <w:iCs/>
                <w:color w:val="FF0000"/>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DB7C63" w:rsidRPr="00D561D8"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D561D8" w:rsidRDefault="00DB7C63" w:rsidP="00DB7C63">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DB7C63" w:rsidRPr="00D561D8"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4.9</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98691C" w:rsidRPr="00D561D8" w:rsidRDefault="0098691C" w:rsidP="003162AB">
      <w:pPr>
        <w:divId w:val="1548566716"/>
        <w:rPr>
          <w:color w:val="FF0000"/>
        </w:rPr>
      </w:pPr>
    </w:p>
    <w:p w:rsidR="0098691C" w:rsidRPr="00D561D8" w:rsidRDefault="0098691C" w:rsidP="003162AB">
      <w:pPr>
        <w:divId w:val="1548566716"/>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2D3329" w:rsidRPr="00D561D8" w:rsidRDefault="002D3329">
      <w:pPr>
        <w:spacing w:line="276" w:lineRule="auto"/>
        <w:jc w:val="left"/>
        <w:rPr>
          <w:color w:val="FF0000"/>
        </w:rPr>
      </w:pPr>
      <w:r w:rsidRPr="00D561D8">
        <w:rPr>
          <w:color w:val="FF0000"/>
        </w:rPr>
        <w:br w:type="page"/>
      </w:r>
    </w:p>
    <w:p w:rsidR="003162AB" w:rsidRPr="00D561D8" w:rsidRDefault="003A6116" w:rsidP="003A6116">
      <w:pPr>
        <w:pStyle w:val="Caption"/>
        <w:divId w:val="1548566716"/>
        <w:rPr>
          <w:color w:val="FF0000"/>
        </w:rPr>
      </w:pPr>
      <w:bookmarkStart w:id="17" w:name="_Ref335142114"/>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46051B">
        <w:rPr>
          <w:noProof/>
          <w:color w:val="FF0000"/>
        </w:rPr>
        <w:t>6</w:t>
      </w:r>
      <w:r w:rsidR="002F05E5" w:rsidRPr="00D561D8">
        <w:rPr>
          <w:color w:val="FF0000"/>
        </w:rPr>
        <w:fldChar w:fldCharType="end"/>
      </w:r>
      <w:bookmarkEnd w:id="17"/>
      <w:r w:rsidRPr="00D561D8">
        <w:rPr>
          <w:color w:val="FF0000"/>
        </w:rPr>
        <w:t xml:space="preserve"> Qualitat</w:t>
      </w:r>
      <w:r w:rsidR="00610C33" w:rsidRPr="00D561D8">
        <w:rPr>
          <w:color w:val="FF0000"/>
        </w:rPr>
        <w:t>ive summary of results of all 10</w:t>
      </w:r>
      <w:r w:rsidRPr="00D561D8">
        <w:rPr>
          <w:color w:val="FF0000"/>
        </w:rPr>
        <w:t xml:space="preserve"> scenarios</w:t>
      </w:r>
    </w:p>
    <w:tbl>
      <w:tblPr>
        <w:tblStyle w:val="TableGrid"/>
        <w:tblW w:w="9619" w:type="dxa"/>
        <w:tblLayout w:type="fixed"/>
        <w:tblLook w:val="04A0" w:firstRow="1" w:lastRow="0" w:firstColumn="1" w:lastColumn="0" w:noHBand="0" w:noVBand="1"/>
      </w:tblPr>
      <w:tblGrid>
        <w:gridCol w:w="675"/>
        <w:gridCol w:w="882"/>
        <w:gridCol w:w="1258"/>
        <w:gridCol w:w="3402"/>
        <w:gridCol w:w="1701"/>
        <w:gridCol w:w="1701"/>
      </w:tblGrid>
      <w:tr w:rsidR="00610C33" w:rsidRPr="00D561D8" w:rsidTr="00610C33">
        <w:trPr>
          <w:divId w:val="1548566716"/>
          <w:trHeight w:val="318"/>
        </w:trPr>
        <w:tc>
          <w:tcPr>
            <w:tcW w:w="675" w:type="dxa"/>
            <w:vMerge w:val="restart"/>
          </w:tcPr>
          <w:p w:rsidR="00610C33" w:rsidRPr="00D561D8" w:rsidRDefault="00610C33" w:rsidP="003162AB">
            <w:pPr>
              <w:rPr>
                <w:color w:val="FF0000"/>
              </w:rPr>
            </w:pPr>
            <w:r w:rsidRPr="00D561D8">
              <w:rPr>
                <w:color w:val="FF0000"/>
              </w:rPr>
              <w:t>Age</w:t>
            </w:r>
          </w:p>
        </w:tc>
        <w:tc>
          <w:tcPr>
            <w:tcW w:w="882" w:type="dxa"/>
            <w:vMerge w:val="restart"/>
          </w:tcPr>
          <w:p w:rsidR="00610C33" w:rsidRPr="00D561D8" w:rsidRDefault="00610C33" w:rsidP="003162AB">
            <w:pPr>
              <w:rPr>
                <w:color w:val="FF0000"/>
              </w:rPr>
            </w:pPr>
            <w:r w:rsidRPr="00D561D8">
              <w:rPr>
                <w:color w:val="FF0000"/>
              </w:rPr>
              <w:t>Gender</w:t>
            </w:r>
          </w:p>
        </w:tc>
        <w:tc>
          <w:tcPr>
            <w:tcW w:w="1258" w:type="dxa"/>
            <w:vMerge w:val="restart"/>
          </w:tcPr>
          <w:p w:rsidR="00610C33" w:rsidRPr="00D561D8" w:rsidRDefault="00610C33" w:rsidP="003162AB">
            <w:pPr>
              <w:rPr>
                <w:color w:val="FF0000"/>
              </w:rPr>
            </w:pPr>
            <w:r w:rsidRPr="00D561D8">
              <w:rPr>
                <w:color w:val="FF0000"/>
              </w:rPr>
              <w:t>OAC</w:t>
            </w:r>
          </w:p>
        </w:tc>
        <w:tc>
          <w:tcPr>
            <w:tcW w:w="3402" w:type="dxa"/>
            <w:vMerge w:val="restart"/>
          </w:tcPr>
          <w:p w:rsidR="00610C33" w:rsidRPr="00D561D8" w:rsidRDefault="00610C33" w:rsidP="002D3329">
            <w:pPr>
              <w:rPr>
                <w:color w:val="FF0000"/>
              </w:rPr>
            </w:pPr>
            <w:r w:rsidRPr="00D561D8">
              <w:rPr>
                <w:color w:val="FF0000"/>
              </w:rPr>
              <w:t>Incremental cost effectiveness ratio (TTE) of TTE compared with no TTE</w:t>
            </w:r>
          </w:p>
        </w:tc>
        <w:tc>
          <w:tcPr>
            <w:tcW w:w="3402" w:type="dxa"/>
            <w:gridSpan w:val="2"/>
          </w:tcPr>
          <w:p w:rsidR="00610C33" w:rsidRPr="00D561D8" w:rsidRDefault="00610C33" w:rsidP="002D3329">
            <w:pPr>
              <w:rPr>
                <w:color w:val="FF0000"/>
              </w:rPr>
            </w:pPr>
            <w:r w:rsidRPr="00D561D8">
              <w:rPr>
                <w:color w:val="FF0000"/>
              </w:rPr>
              <w:t>TTE optimal</w:t>
            </w:r>
          </w:p>
        </w:tc>
      </w:tr>
      <w:tr w:rsidR="00610C33" w:rsidRPr="00D561D8" w:rsidTr="00610C33">
        <w:trPr>
          <w:divId w:val="1548566716"/>
          <w:trHeight w:val="327"/>
        </w:trPr>
        <w:tc>
          <w:tcPr>
            <w:tcW w:w="675" w:type="dxa"/>
            <w:vMerge/>
          </w:tcPr>
          <w:p w:rsidR="00610C33" w:rsidRPr="00D561D8" w:rsidRDefault="00610C33" w:rsidP="003162AB">
            <w:pPr>
              <w:rPr>
                <w:color w:val="FF0000"/>
              </w:rPr>
            </w:pPr>
          </w:p>
        </w:tc>
        <w:tc>
          <w:tcPr>
            <w:tcW w:w="882" w:type="dxa"/>
            <w:vMerge/>
          </w:tcPr>
          <w:p w:rsidR="00610C33" w:rsidRPr="00D561D8" w:rsidRDefault="00610C33" w:rsidP="003162AB">
            <w:pPr>
              <w:rPr>
                <w:color w:val="FF0000"/>
              </w:rPr>
            </w:pPr>
          </w:p>
        </w:tc>
        <w:tc>
          <w:tcPr>
            <w:tcW w:w="1258" w:type="dxa"/>
            <w:vMerge/>
          </w:tcPr>
          <w:p w:rsidR="00610C33" w:rsidRPr="00D561D8" w:rsidRDefault="00610C33" w:rsidP="003162AB">
            <w:pPr>
              <w:rPr>
                <w:color w:val="FF0000"/>
              </w:rPr>
            </w:pPr>
          </w:p>
        </w:tc>
        <w:tc>
          <w:tcPr>
            <w:tcW w:w="3402" w:type="dxa"/>
            <w:vMerge/>
          </w:tcPr>
          <w:p w:rsidR="00610C33" w:rsidRPr="00D561D8" w:rsidRDefault="00610C33" w:rsidP="003225C4">
            <w:pPr>
              <w:rPr>
                <w:color w:val="FF0000"/>
              </w:rPr>
            </w:pPr>
          </w:p>
        </w:tc>
        <w:tc>
          <w:tcPr>
            <w:tcW w:w="1701" w:type="dxa"/>
          </w:tcPr>
          <w:p w:rsidR="00610C33" w:rsidRPr="00D561D8" w:rsidRDefault="00610C33" w:rsidP="003225C4">
            <w:pPr>
              <w:rPr>
                <w:color w:val="FF0000"/>
              </w:rPr>
            </w:pPr>
            <w:r w:rsidRPr="00D561D8">
              <w:rPr>
                <w:color w:val="FF0000"/>
              </w:rPr>
              <w:t>at £20,000/QALY</w:t>
            </w:r>
          </w:p>
        </w:tc>
        <w:tc>
          <w:tcPr>
            <w:tcW w:w="1701" w:type="dxa"/>
          </w:tcPr>
          <w:p w:rsidR="00610C33" w:rsidRPr="00D561D8" w:rsidRDefault="00610C33" w:rsidP="003225C4">
            <w:pPr>
              <w:rPr>
                <w:color w:val="FF0000"/>
              </w:rPr>
            </w:pPr>
            <w:r w:rsidRPr="00D561D8">
              <w:rPr>
                <w:color w:val="FF0000"/>
              </w:rPr>
              <w:t>At £30,000 /QALY</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3162AB">
            <w:pPr>
              <w:rPr>
                <w:color w:val="FF0000"/>
              </w:rPr>
            </w:pPr>
            <w:r w:rsidRPr="00D561D8">
              <w:rPr>
                <w:color w:val="FF0000"/>
              </w:rPr>
              <w:t>No</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217"/>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178"/>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 xml:space="preserve">No </w:t>
            </w:r>
            <w:r w:rsidRPr="00D561D8">
              <w:rPr>
                <w:rStyle w:val="FootnoteReference"/>
                <w:color w:val="FF0000"/>
              </w:rPr>
              <w:footnoteReference w:id="1"/>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bl>
    <w:p w:rsidR="003162AB" w:rsidRPr="00D561D8" w:rsidRDefault="003162AB" w:rsidP="003162AB">
      <w:pPr>
        <w:divId w:val="1548566716"/>
        <w:rPr>
          <w:color w:val="FF0000"/>
          <w:lang w:val="en-GB"/>
        </w:rPr>
      </w:pPr>
    </w:p>
    <w:p w:rsidR="006E20FD" w:rsidRPr="00D561D8" w:rsidRDefault="006E20FD" w:rsidP="003162AB">
      <w:pPr>
        <w:divId w:val="1548566716"/>
        <w:rPr>
          <w:color w:val="FF0000"/>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561D8"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561D8"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561D8"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w:t>
                  </w:r>
                </w:p>
              </w:tc>
            </w:tr>
          </w:tbl>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RPr="00D561D8"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D561D8"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Sensitivity</w:t>
                  </w:r>
                </w:p>
              </w:tc>
            </w:tr>
            <w:tr w:rsidR="006E20FD" w:rsidRPr="00D561D8"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3.4</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bl>
          <w:p w:rsidR="006E20FD" w:rsidRPr="00D561D8" w:rsidRDefault="006E20FD" w:rsidP="006E20FD">
            <w:pPr>
              <w:jc w:val="center"/>
              <w:rPr>
                <w:color w:val="FF0000"/>
              </w:rPr>
            </w:pPr>
          </w:p>
        </w:tc>
      </w:tr>
      <w:tr w:rsidR="006E20FD" w:rsidRPr="00D561D8" w:rsidTr="006E20FD">
        <w:trPr>
          <w:divId w:val="1548566716"/>
          <w:trHeight w:val="151"/>
        </w:trPr>
        <w:tc>
          <w:tcPr>
            <w:tcW w:w="8046"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Fifty year old males,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0.075</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0.112</w:t>
            </w:r>
          </w:p>
        </w:tc>
      </w:tr>
      <w:tr w:rsidR="006E20FD" w:rsidRPr="0046051B" w:rsidTr="006E20FD">
        <w:trPr>
          <w:divId w:val="1548566716"/>
        </w:trPr>
        <w:tc>
          <w:tcPr>
            <w:tcW w:w="9885"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jc w:val="center"/>
              <w:rPr>
                <w:color w:val="FF0000"/>
              </w:rPr>
            </w:pPr>
            <w:r w:rsidRPr="0046051B">
              <w:rPr>
                <w:noProof/>
                <w:color w:val="FF0000"/>
                <w:lang w:val="en-GB" w:eastAsia="en-GB"/>
              </w:rPr>
              <w:lastRenderedPageBreak/>
              <w:drawing>
                <wp:inline distT="0" distB="0" distL="0" distR="0" wp14:anchorId="3D075079" wp14:editId="5CA6FE02">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jc w:val="center"/>
              <w:rPr>
                <w:color w:val="FF0000"/>
              </w:rPr>
            </w:pPr>
            <w:r w:rsidRPr="0046051B">
              <w:rPr>
                <w:noProof/>
                <w:color w:val="FF0000"/>
                <w:lang w:val="en-GB" w:eastAsia="en-GB"/>
              </w:rPr>
              <w:drawing>
                <wp:inline distT="0" distB="0" distL="0" distR="0" wp14:anchorId="0D6B7A95" wp14:editId="6F4A5029">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13.60</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13.51</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4"/>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Fifty year old females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0.091</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1E632DC0" wp14:editId="5DDED2E6">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484DAB94" wp14:editId="66BC276D">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2,815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14.27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33,952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14.19</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96"/>
        </w:trPr>
        <w:tc>
          <w:tcPr>
            <w:tcW w:w="14174" w:type="dxa"/>
            <w:gridSpan w:val="2"/>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0.052</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0.079</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61D582E2" wp14:editId="570B00C6">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5C29A29D" wp14:editId="44505673">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1,527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9.12</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67,599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9.13</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5"/>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females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0.065</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0.095</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42F2AC26" wp14:editId="72C30791">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3F0636BE" wp14:editId="6C6EF49B">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9.94</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39,754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28"/>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n Minton" w:date="2012-10-15T15:11:00Z" w:initials="JM">
    <w:p w:rsidR="0083066E" w:rsidRDefault="0083066E">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 w:id="8" w:author="Jon Minton" w:date="2013-01-03T17:21:00Z" w:initials="JM">
    <w:p w:rsidR="0083066E" w:rsidRDefault="0083066E" w:rsidP="0046051B">
      <w:pPr>
        <w:pStyle w:val="CommentText"/>
      </w:pPr>
      <w:r>
        <w:rPr>
          <w:rStyle w:val="CommentReference"/>
          <w:rFonts w:eastAsiaTheme="majorEastAsia"/>
        </w:rPr>
        <w:annotationRef/>
      </w:r>
      <w:r>
        <w:t>Changed to reflect Warf at C=1 not 2</w:t>
      </w:r>
    </w:p>
  </w:comment>
  <w:comment w:id="12" w:author="Jon Minton" w:date="2013-01-03T17:22:00Z" w:initials="JM">
    <w:p w:rsidR="0083066E" w:rsidRDefault="0083066E" w:rsidP="0046051B">
      <w:pPr>
        <w:pStyle w:val="CommentText"/>
      </w:pPr>
      <w:r>
        <w:rPr>
          <w:rStyle w:val="CommentReference"/>
          <w:rFonts w:eastAsiaTheme="majorEastAsia"/>
        </w:rPr>
        <w:annotationRef/>
      </w:r>
      <w:r>
        <w:t>Changed to reflect OAC at C=1 not 2</w:t>
      </w:r>
    </w:p>
  </w:comment>
  <w:comment w:id="14" w:author="Jon Minton" w:date="2013-01-03T17:25:00Z" w:initials="JM">
    <w:p w:rsidR="0083066E" w:rsidRDefault="0083066E" w:rsidP="0046051B">
      <w:pPr>
        <w:pStyle w:val="CommentText"/>
      </w:pPr>
      <w:r>
        <w:rPr>
          <w:rStyle w:val="CommentReference"/>
          <w:rFonts w:eastAsiaTheme="majorEastAsia"/>
        </w:rPr>
        <w:annotationRef/>
      </w:r>
      <w:r>
        <w:t>Changed to reflect Warf at C=1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AD4" w:rsidRDefault="00A17AD4" w:rsidP="008D11C1">
      <w:r>
        <w:separator/>
      </w:r>
    </w:p>
  </w:endnote>
  <w:endnote w:type="continuationSeparator" w:id="0">
    <w:p w:rsidR="00A17AD4" w:rsidRDefault="00A17AD4"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83066E" w:rsidRDefault="0083066E" w:rsidP="008D11C1">
        <w:pPr>
          <w:pStyle w:val="Footer"/>
        </w:pPr>
        <w:r>
          <w:fldChar w:fldCharType="begin"/>
        </w:r>
        <w:r>
          <w:instrText xml:space="preserve"> PAGE   \* MERGEFORMAT </w:instrText>
        </w:r>
        <w:r>
          <w:fldChar w:fldCharType="separate"/>
        </w:r>
        <w:r w:rsidR="00900CA4">
          <w:rPr>
            <w:noProof/>
          </w:rPr>
          <w:t>20</w:t>
        </w:r>
        <w:r>
          <w:rPr>
            <w:noProof/>
          </w:rPr>
          <w:fldChar w:fldCharType="end"/>
        </w:r>
      </w:p>
    </w:sdtContent>
  </w:sdt>
  <w:p w:rsidR="0083066E" w:rsidRDefault="0083066E"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AD4" w:rsidRDefault="00A17AD4" w:rsidP="008D11C1">
      <w:r>
        <w:separator/>
      </w:r>
    </w:p>
  </w:footnote>
  <w:footnote w:type="continuationSeparator" w:id="0">
    <w:p w:rsidR="00A17AD4" w:rsidRDefault="00A17AD4" w:rsidP="008D11C1">
      <w:r>
        <w:continuationSeparator/>
      </w:r>
    </w:p>
  </w:footnote>
  <w:footnote w:id="1">
    <w:p w:rsidR="0083066E" w:rsidRDefault="0083066E">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7"/>
  </w:num>
  <w:num w:numId="3">
    <w:abstractNumId w:val="1"/>
  </w:num>
  <w:num w:numId="4">
    <w:abstractNumId w:val="19"/>
  </w:num>
  <w:num w:numId="5">
    <w:abstractNumId w:val="15"/>
  </w:num>
  <w:num w:numId="6">
    <w:abstractNumId w:val="10"/>
  </w:num>
  <w:num w:numId="7">
    <w:abstractNumId w:val="5"/>
  </w:num>
  <w:num w:numId="8">
    <w:abstractNumId w:val="0"/>
  </w:num>
  <w:num w:numId="9">
    <w:abstractNumId w:val="17"/>
  </w:num>
  <w:num w:numId="10">
    <w:abstractNumId w:val="2"/>
  </w:num>
  <w:num w:numId="11">
    <w:abstractNumId w:val="18"/>
  </w:num>
  <w:num w:numId="12">
    <w:abstractNumId w:val="14"/>
  </w:num>
  <w:num w:numId="13">
    <w:abstractNumId w:val="11"/>
  </w:num>
  <w:num w:numId="14">
    <w:abstractNumId w:val="16"/>
  </w:num>
  <w:num w:numId="15">
    <w:abstractNumId w:val="6"/>
  </w:num>
  <w:num w:numId="16">
    <w:abstractNumId w:val="12"/>
  </w:num>
  <w:num w:numId="17">
    <w:abstractNumId w:val="9"/>
  </w:num>
  <w:num w:numId="18">
    <w:abstractNumId w:val="3"/>
  </w:num>
  <w:num w:numId="19">
    <w:abstractNumId w:val="13"/>
  </w:num>
  <w:num w:numId="20">
    <w:abstractNumId w:val="8"/>
  </w:num>
  <w:num w:numId="21">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2F39"/>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051B"/>
    <w:rsid w:val="00465A7A"/>
    <w:rsid w:val="0047004A"/>
    <w:rsid w:val="004850ED"/>
    <w:rsid w:val="00492057"/>
    <w:rsid w:val="00495D9F"/>
    <w:rsid w:val="0049753A"/>
    <w:rsid w:val="004A0CFF"/>
    <w:rsid w:val="004B7B0B"/>
    <w:rsid w:val="004D5F6A"/>
    <w:rsid w:val="004E06E9"/>
    <w:rsid w:val="004E4448"/>
    <w:rsid w:val="00500063"/>
    <w:rsid w:val="00501F33"/>
    <w:rsid w:val="00512460"/>
    <w:rsid w:val="00515AEC"/>
    <w:rsid w:val="00532F44"/>
    <w:rsid w:val="005364A7"/>
    <w:rsid w:val="00536C35"/>
    <w:rsid w:val="0053772E"/>
    <w:rsid w:val="00542E72"/>
    <w:rsid w:val="005468D5"/>
    <w:rsid w:val="00553D33"/>
    <w:rsid w:val="0055657D"/>
    <w:rsid w:val="00560933"/>
    <w:rsid w:val="005653D1"/>
    <w:rsid w:val="00570EFD"/>
    <w:rsid w:val="00577888"/>
    <w:rsid w:val="005953B7"/>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14F1"/>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066E"/>
    <w:rsid w:val="00834F71"/>
    <w:rsid w:val="00850455"/>
    <w:rsid w:val="0085183F"/>
    <w:rsid w:val="008539B5"/>
    <w:rsid w:val="00862C39"/>
    <w:rsid w:val="00867ABA"/>
    <w:rsid w:val="00875B61"/>
    <w:rsid w:val="00876B5A"/>
    <w:rsid w:val="008864FC"/>
    <w:rsid w:val="0089277F"/>
    <w:rsid w:val="00894960"/>
    <w:rsid w:val="0089571D"/>
    <w:rsid w:val="00896DA7"/>
    <w:rsid w:val="008C72E4"/>
    <w:rsid w:val="008D11C1"/>
    <w:rsid w:val="008D30D8"/>
    <w:rsid w:val="008D3B31"/>
    <w:rsid w:val="008D613B"/>
    <w:rsid w:val="008E6143"/>
    <w:rsid w:val="00900CA4"/>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17AD4"/>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4DE7"/>
    <w:rsid w:val="00D47469"/>
    <w:rsid w:val="00D561D8"/>
    <w:rsid w:val="00D57902"/>
    <w:rsid w:val="00D62831"/>
    <w:rsid w:val="00D65C68"/>
    <w:rsid w:val="00D67B2F"/>
    <w:rsid w:val="00D828F2"/>
    <w:rsid w:val="00D87110"/>
    <w:rsid w:val="00DB7C63"/>
    <w:rsid w:val="00DC17EE"/>
    <w:rsid w:val="00DC2385"/>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C7F14F-46FE-4EA9-A7BB-A43D880D8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26231</Words>
  <Characters>149523</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175404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21</cp:revision>
  <cp:lastPrinted>2012-12-30T16:52:00Z</cp:lastPrinted>
  <dcterms:created xsi:type="dcterms:W3CDTF">2012-10-15T14:18:00Z</dcterms:created>
  <dcterms:modified xsi:type="dcterms:W3CDTF">2013-01-08T14:45:00Z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