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64789">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64789">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64789">
        <w:rPr>
          <w:noProof/>
        </w:rPr>
        <w:t>[3]</w:t>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DF52E6">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DF52E6">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Also, not all patients who are at higher stroke would be identified (false negatives), and so would still not be 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DF52E6">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DF52E6">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DF52E6" w:rsidRPr="00DF52E6">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r w:rsidR="00B54241">
        <w:t>Credible intervals (</w:t>
      </w:r>
      <w:proofErr w:type="spellStart"/>
      <w:r w:rsidR="00B54241">
        <w:t>CrIs</w:t>
      </w:r>
      <w:proofErr w:type="spellEnd"/>
      <w:r w:rsidR="00B54241">
        <w:t xml:space="preserve">) were calculated using a jackknifing procedure. </w:t>
      </w:r>
      <w:r w:rsidR="00B54241" w:rsidRPr="00B54241">
        <w:rPr>
          <w:noProof/>
        </w:rPr>
        <w:t>[10]</w:t>
      </w:r>
      <w:r w:rsidR="00B54241">
        <w:t xml:space="preserve"> </w:t>
      </w:r>
    </w:p>
    <w:p w:rsidR="009344EA" w:rsidRPr="00064789" w:rsidRDefault="009344EA" w:rsidP="009344EA">
      <w:pPr>
        <w:pStyle w:val="Heading2"/>
        <w:numPr>
          <w:ilvl w:val="0"/>
          <w:numId w:val="0"/>
        </w:numPr>
      </w:pPr>
      <w:r w:rsidRPr="00064789">
        <w:lastRenderedPageBreak/>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B54241" w:rsidRPr="00B54241">
        <w:rPr>
          <w:noProof/>
        </w:rPr>
        <w:t>[11,12]</w:t>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Pr="00064789">
        <w:t xml:space="preserve">are described </w:t>
      </w:r>
      <w:r w:rsidR="007946CB">
        <w:t xml:space="preserve">in </w:t>
      </w:r>
      <w:r w:rsidR="007946CB" w:rsidRPr="00532F44">
        <w:t xml:space="preserve">Table </w:t>
      </w:r>
      <w:proofErr w:type="gramStart"/>
      <w:r w:rsidR="007946CB">
        <w:rPr>
          <w:noProof/>
        </w:rPr>
        <w:t>1</w:t>
      </w:r>
      <w:r w:rsidR="007946CB">
        <w:t xml:space="preserve"> </w:t>
      </w:r>
      <w:r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7946CB" w:rsidRPr="00532F44">
        <w:t xml:space="preserve">Figure </w:t>
      </w:r>
      <w:r w:rsidR="007946CB">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calculated</w:t>
      </w:r>
      <w:r w:rsidR="002D44B0" w:rsidRPr="00064789">
        <w:t>. F</w:t>
      </w:r>
      <w:r w:rsidR="00933B76" w:rsidRPr="00064789">
        <w:t xml:space="preserve">rom these </w:t>
      </w:r>
      <w:r w:rsidR="00263B7C" w:rsidRPr="00064789">
        <w:t>the incremental cost effectiveness ratio (ICER) of including TTE in the diagnostic package.</w:t>
      </w:r>
    </w:p>
    <w:p w:rsidR="007946CB" w:rsidRPr="00064789" w:rsidRDefault="007946CB" w:rsidP="00B54241">
      <w:pPr>
        <w:spacing w:line="480" w:lineRule="auto"/>
        <w:jc w:val="center"/>
      </w:pPr>
      <w:r>
        <w:t>[</w:t>
      </w:r>
      <w:r w:rsidRPr="00532F44">
        <w:t xml:space="preserve">Figure </w:t>
      </w:r>
      <w:r>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w:t>
      </w:r>
      <w:r w:rsidRPr="00064789">
        <w:lastRenderedPageBreak/>
        <w:t xml:space="preserve">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xml:space="preserve">, probabilities </w:t>
      </w:r>
      <w:r w:rsidR="00A80926">
        <w:t xml:space="preserve">of occurrence, </w:t>
      </w:r>
      <w:r w:rsidR="00E97667" w:rsidRPr="00064789">
        <w:t>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B54241" w:rsidRPr="00B54241">
        <w:rPr>
          <w:noProof/>
        </w:rPr>
        <w:t>[13]</w:t>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B54241" w:rsidRPr="00B54241">
        <w:rPr>
          <w:noProof/>
        </w:rPr>
        <w:t>[14]</w:t>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B54241" w:rsidRPr="00B54241">
        <w:rPr>
          <w:noProof/>
        </w:rPr>
        <w:t>[15]</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7946CB" w:rsidRPr="00532F44">
        <w:t xml:space="preserve">Table </w:t>
      </w:r>
      <w:r w:rsidR="007946CB">
        <w:t>2</w:t>
      </w:r>
      <w:r w:rsidRPr="00064789">
        <w:t>.</w:t>
      </w:r>
    </w:p>
    <w:p w:rsidR="007946CB" w:rsidRPr="00064789" w:rsidRDefault="007946CB" w:rsidP="00B54241">
      <w:pPr>
        <w:spacing w:line="480" w:lineRule="auto"/>
        <w:jc w:val="center"/>
      </w:pPr>
      <w:r>
        <w:t>[</w:t>
      </w:r>
      <w:r w:rsidRPr="00532F44">
        <w:t xml:space="preserve">Table </w:t>
      </w:r>
      <w:r>
        <w:rPr>
          <w:noProof/>
        </w:rPr>
        <w:t>2</w:t>
      </w:r>
      <w:r>
        <w:t xml:space="preserve"> about here]</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0"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Pr="00064789">
        <w:t xml:space="preserve">Scatterplots where </w:t>
      </w:r>
      <w:r w:rsidR="00E92AF8" w:rsidRPr="00064789">
        <w:t xml:space="preserve">the scatter covers more than one quadrant indicate some level of decision uncertainty, as different quadrants suggest different decisions. </w:t>
      </w:r>
      <w:r w:rsidR="00B54241" w:rsidRPr="00B54241">
        <w:rPr>
          <w:noProof/>
        </w:rPr>
        <w:t>[16]</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1" w:name="OLE_LINK1"/>
      <w:bookmarkStart w:id="2" w:name="OLE_LINK2"/>
      <w:bookmarkEnd w:id="0"/>
      <w:r w:rsidRPr="00064789">
        <w:t>Results</w:t>
      </w:r>
    </w:p>
    <w:p w:rsidR="00056C3D" w:rsidRPr="0031099C" w:rsidRDefault="007946CB" w:rsidP="00F309FB">
      <w:pPr>
        <w:spacing w:line="480" w:lineRule="auto"/>
      </w:pPr>
      <w:r w:rsidRPr="00F309FB">
        <w:t xml:space="preserve">Table </w:t>
      </w:r>
      <w:r>
        <w:rPr>
          <w:noProof/>
        </w:rPr>
        <w:t>3</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Pr="00F309FB">
        <w:t xml:space="preserve">Table </w:t>
      </w:r>
      <w:r>
        <w:rPr>
          <w:noProof/>
        </w:rPr>
        <w:t>4</w:t>
      </w:r>
      <w:r w:rsidR="00F309FB">
        <w:t xml:space="preserve"> </w:t>
      </w:r>
      <w:r w:rsidR="0083066E" w:rsidRPr="00064789">
        <w:t xml:space="preserve">shows the </w:t>
      </w:r>
      <w:r w:rsidR="006E14F1" w:rsidRPr="00064789">
        <w:t>mean cost</w:t>
      </w:r>
      <w:r w:rsidR="00FE3BA1" w:rsidRPr="00064789">
        <w:t>s</w:t>
      </w:r>
      <w:r w:rsidR="006E14F1" w:rsidRPr="00064789">
        <w:t xml:space="preserve"> and mean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Pr="00F309FB">
        <w:t xml:space="preserve">Table </w:t>
      </w:r>
      <w:r>
        <w:rPr>
          <w:noProof/>
        </w:rPr>
        <w:t>3</w:t>
      </w:r>
      <w:r>
        <w:t xml:space="preserve"> </w:t>
      </w:r>
      <w:r w:rsidR="00F309FB">
        <w:t>about here]</w:t>
      </w:r>
    </w:p>
    <w:p w:rsidR="00B54241" w:rsidRDefault="00B54241" w:rsidP="00F309FB">
      <w:pPr>
        <w:spacing w:line="480" w:lineRule="auto"/>
        <w:jc w:val="center"/>
      </w:pPr>
      <w:r>
        <w:t>[</w:t>
      </w:r>
      <w:r w:rsidRPr="0031099C">
        <w:t xml:space="preserve">Figure </w:t>
      </w:r>
      <w:r>
        <w:rPr>
          <w:noProof/>
        </w:rPr>
        <w:t>2</w:t>
      </w:r>
      <w:r>
        <w:t xml:space="preserve"> about here</w:t>
      </w:r>
    </w:p>
    <w:p w:rsidR="00120CC0" w:rsidRDefault="00120CC0" w:rsidP="00F309FB">
      <w:pPr>
        <w:spacing w:line="480" w:lineRule="auto"/>
        <w:jc w:val="center"/>
      </w:pPr>
      <w:r>
        <w:t>[</w:t>
      </w:r>
      <w:r w:rsidR="00B54241" w:rsidRPr="00F309FB">
        <w:t xml:space="preserve">Table </w:t>
      </w:r>
      <w:r w:rsidR="00B54241">
        <w:rPr>
          <w:noProof/>
        </w:rPr>
        <w:t>4</w:t>
      </w:r>
      <w:r w:rsidR="00B54241">
        <w:t xml:space="preserve"> </w:t>
      </w:r>
      <w:r>
        <w:t>about here]</w:t>
      </w:r>
    </w:p>
    <w:p w:rsidR="00273A34" w:rsidRDefault="00B54241" w:rsidP="008D3B31">
      <w:pPr>
        <w:spacing w:line="480" w:lineRule="auto"/>
      </w:pPr>
      <w:r w:rsidRPr="00F309FB">
        <w:t xml:space="preserve">Table </w:t>
      </w:r>
      <w:r>
        <w:rPr>
          <w:noProof/>
        </w:rPr>
        <w:t>3</w:t>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rsidRPr="0031099C">
        <w:t xml:space="preserve">Figure </w:t>
      </w:r>
      <w:r>
        <w:rPr>
          <w:noProof/>
        </w:rPr>
        <w:t>2</w:t>
      </w:r>
      <w:r w:rsidR="00F309FB">
        <w:t xml:space="preserve">and </w:t>
      </w:r>
      <w:r w:rsidRPr="00F309FB">
        <w:t xml:space="preserve">Table </w:t>
      </w:r>
      <w:r>
        <w:rPr>
          <w:noProof/>
        </w:rPr>
        <w:t>4</w:t>
      </w:r>
      <w:r>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5</w:t>
      </w:r>
      <w:r w:rsidR="005653D1" w:rsidRPr="00064789">
        <w:t>a), the ICER comparing the tw</w:t>
      </w:r>
      <w:r w:rsidR="00064789" w:rsidRPr="00064789">
        <w:t>o strategies is almost £40 000 per</w:t>
      </w:r>
      <w:r w:rsidR="005653D1" w:rsidRPr="00064789">
        <w:t xml:space="preserve"> QALY; where the OAC </w:t>
      </w:r>
      <w:proofErr w:type="spellStart"/>
      <w:r w:rsidR="005653D1" w:rsidRPr="00064789">
        <w:t>rivaroxaban</w:t>
      </w:r>
      <w:proofErr w:type="spellEnd"/>
      <w:r w:rsidR="005653D1" w:rsidRPr="00064789">
        <w:t xml:space="preserve"> </w:t>
      </w:r>
      <w:r w:rsidR="005653D1" w:rsidRPr="00064789">
        <w:lastRenderedPageBreak/>
        <w:t>(</w:t>
      </w:r>
      <w:r w:rsidRPr="00F309FB">
        <w:t xml:space="preserve">Table </w:t>
      </w:r>
      <w:r>
        <w:rPr>
          <w:noProof/>
        </w:rPr>
        <w:t>4</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4</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B54241" w:rsidP="00345E19">
      <w:pPr>
        <w:spacing w:line="480" w:lineRule="auto"/>
      </w:pPr>
      <w:r w:rsidRPr="0031099C">
        <w:t xml:space="preserve">Table </w:t>
      </w:r>
      <w:r>
        <w:rPr>
          <w:noProof/>
        </w:rPr>
        <w:t>5</w:t>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xml:space="preserve">. If TTE had perfect sensitivity and specificity, then the additional cost per QALY is estimated to range from around £1,800/QALY for warfarin (a) to £1,100/QALY for </w:t>
      </w:r>
      <w:proofErr w:type="spellStart"/>
      <w:r w:rsidR="00345E19" w:rsidRPr="00064789">
        <w:t>dabigatran</w:t>
      </w:r>
      <w:proofErr w:type="spellEnd"/>
      <w:r w:rsidR="00345E19"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w:t>
      </w:r>
      <w:r w:rsidR="00DF52E6" w:rsidRPr="00DF52E6">
        <w:rPr>
          <w:noProof/>
        </w:rPr>
        <w:t>[6]</w:t>
      </w:r>
      <w:r w:rsidR="004F29CD" w:rsidRPr="00064789">
        <w:t xml:space="preserve"> </w:t>
      </w:r>
      <w:r w:rsidR="00345E19" w:rsidRPr="00064789">
        <w:t xml:space="preserve">As the ICER is a ratio, and the absolute differences in QALYs between strategies with and without TTE are small, the ICERs are shown to be highly sensitive to the values of sensitivity and specificity assumed for some scenarios. </w:t>
      </w:r>
    </w:p>
    <w:bookmarkEnd w:id="1"/>
    <w:bookmarkEnd w:id="2"/>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rsidRPr="0031099C">
        <w:t xml:space="preserve">Table </w:t>
      </w:r>
      <w:r w:rsidR="00B54241">
        <w:rPr>
          <w:noProof/>
        </w:rPr>
        <w:t>6</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lastRenderedPageBreak/>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B54241" w:rsidRPr="00B54241">
        <w:rPr>
          <w:noProof/>
        </w:rPr>
        <w:t>[3,4,17,18]</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B54241" w:rsidRPr="00B54241">
        <w:rPr>
          <w:noProof/>
        </w:rPr>
        <w:t>[11,12]</w:t>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DF52E6">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lastRenderedPageBreak/>
        <w:t xml:space="preserve">also formed the basis of our estimates of the TPHR.  </w:t>
      </w:r>
      <w:r w:rsidR="00DF52E6" w:rsidRPr="00DF52E6">
        <w:rPr>
          <w:noProof/>
        </w:rPr>
        <w:t>[6</w:t>
      </w:r>
      <w:proofErr w:type="gramStart"/>
      <w:r w:rsidR="00DF52E6" w:rsidRPr="00DF52E6">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B54241" w:rsidRPr="00B54241">
        <w:rPr>
          <w:noProof/>
        </w:rPr>
        <w:t>[19]</w:t>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B54241" w:rsidRPr="00B54241">
        <w:rPr>
          <w:noProof/>
        </w:rPr>
        <w:t>[20]</w:t>
      </w:r>
      <w:r w:rsidR="00A84F79" w:rsidRPr="00064789">
        <w:t xml:space="preserve"> </w:t>
      </w:r>
      <w:r w:rsidR="00F00EDF" w:rsidRPr="00064789">
        <w:t>As</w:t>
      </w:r>
      <w:r w:rsidR="00120CC0">
        <w:t xml:space="preserve"> </w:t>
      </w:r>
      <w:r w:rsidR="00B54241" w:rsidRPr="0031099C">
        <w:t xml:space="preserve">Table </w:t>
      </w:r>
      <w:r w:rsidR="00B54241">
        <w:rPr>
          <w:noProof/>
        </w:rPr>
        <w:t>5</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xml:space="preserve">, there will be an increase in the number of TTEs performed. This is unlikely to place a great burden on the majority of </w:t>
      </w:r>
      <w:r w:rsidRPr="00064789">
        <w:lastRenderedPageBreak/>
        <w:t>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D20CA0" w:rsidRDefault="00D20CA0">
      <w:pPr>
        <w:pStyle w:val="NormalWeb"/>
        <w:ind w:left="640" w:hanging="640"/>
        <w:divId w:val="570163234"/>
      </w:pPr>
    </w:p>
    <w:p w:rsidR="00B54241" w:rsidRPr="00532F44" w:rsidRDefault="00B54241">
      <w:pPr>
        <w:pStyle w:val="NormalWeb"/>
        <w:ind w:left="640" w:hanging="640"/>
        <w:divId w:val="570163234"/>
        <w:sectPr w:rsidR="00B54241"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 </w:t>
      </w:r>
      <w:r w:rsidRPr="00B54241">
        <w:rPr>
          <w:rFonts w:ascii="Calibri" w:hAnsi="Calibri" w:cs="Calibri"/>
          <w:noProof/>
          <w:sz w:val="22"/>
        </w:rPr>
        <w:tab/>
        <w:t xml:space="preserve">Go AS, Hylek EM, Phillips KA, </w:t>
      </w:r>
      <w:r w:rsidRPr="00B54241">
        <w:rPr>
          <w:rFonts w:ascii="Calibri" w:hAnsi="Calibri" w:cs="Calibri"/>
          <w:i/>
          <w:iCs/>
          <w:noProof/>
          <w:sz w:val="22"/>
        </w:rPr>
        <w:t>et al.</w:t>
      </w:r>
      <w:r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Pr="00B54241">
        <w:rPr>
          <w:rFonts w:ascii="Calibri" w:hAnsi="Calibri" w:cs="Calibri"/>
          <w:i/>
          <w:iCs/>
          <w:noProof/>
          <w:sz w:val="22"/>
        </w:rPr>
        <w:t>JAMA : the journal of the American Medical Association</w:t>
      </w:r>
      <w:r w:rsidRPr="00B54241">
        <w:rPr>
          <w:rFonts w:ascii="Calibri" w:hAnsi="Calibri" w:cs="Calibri"/>
          <w:noProof/>
          <w:sz w:val="22"/>
        </w:rPr>
        <w:t xml:space="preserve"> 2001;</w:t>
      </w:r>
      <w:r w:rsidRPr="00B54241">
        <w:rPr>
          <w:rFonts w:ascii="Calibri" w:hAnsi="Calibri" w:cs="Calibri"/>
          <w:b/>
          <w:bCs/>
          <w:noProof/>
          <w:sz w:val="22"/>
        </w:rPr>
        <w:t>285</w:t>
      </w:r>
      <w:r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834F71" w:rsidP="00B54241">
      <w:pPr>
        <w:pStyle w:val="NormalWeb"/>
        <w:ind w:left="640" w:hanging="640"/>
        <w:divId w:val="29769821"/>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7F4BE1C3" wp14:editId="1D210076">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0"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3" w:name="_Ref321241706"/>
      <w:r w:rsidRPr="00532F44">
        <w:rPr>
          <w:color w:val="auto"/>
        </w:rPr>
        <w:t xml:space="preserve">Figure </w:t>
      </w:r>
      <w:r w:rsidR="00120CC0">
        <w:rPr>
          <w:noProof/>
          <w:color w:val="auto"/>
        </w:rPr>
        <w:t>1</w:t>
      </w:r>
      <w:bookmarkEnd w:id="3"/>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bookmarkStart w:id="5" w:name="_GoBack"/>
      <w:bookmarkEnd w:id="5"/>
      <w:r w:rsidR="00120CC0">
        <w:rPr>
          <w:noProof/>
          <w:color w:val="auto"/>
        </w:rPr>
        <w:t>1</w:t>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B54241" w:rsidRPr="00B54241">
              <w:rPr>
                <w:noProof/>
              </w:rPr>
              <w:t>[19]</w:t>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DF52E6" w:rsidRPr="00DF52E6">
              <w:rPr>
                <w:noProof/>
              </w:rPr>
              <w:t>[6]</w:t>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DF52E6" w:rsidRPr="00DF52E6">
              <w:rPr>
                <w:noProof/>
              </w:rPr>
              <w:t>[6]</w:t>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CD6936" w:rsidRDefault="00CD6936" w:rsidP="00920A0B">
            <w:pPr>
              <w:jc w:val="left"/>
            </w:pPr>
            <w:r>
              <w:t>Annual risks (95% Credible intervals) by CHADS</w:t>
            </w:r>
            <w:r w:rsidRPr="00CD6936">
              <w:rPr>
                <w:vertAlign w:val="subscript"/>
              </w:rPr>
              <w:t>2</w:t>
            </w:r>
            <w:r>
              <w:t xml:space="preserve"> were reported as follows: </w:t>
            </w:r>
          </w:p>
          <w:p w:rsidR="00CD6936" w:rsidRDefault="00CD6936" w:rsidP="00920A0B">
            <w:pPr>
              <w:jc w:val="left"/>
            </w:pPr>
            <w:r>
              <w:t>0.6% (0.5% to 0.7%) for CHADS</w:t>
            </w:r>
            <w:r w:rsidRPr="00CD6936">
              <w:rPr>
                <w:vertAlign w:val="subscript"/>
              </w:rPr>
              <w:t>2</w:t>
            </w:r>
            <w:r>
              <w:t>=0</w:t>
            </w:r>
          </w:p>
          <w:p w:rsidR="00CD6936" w:rsidRDefault="00CD6936" w:rsidP="00920A0B">
            <w:pPr>
              <w:jc w:val="left"/>
            </w:pPr>
            <w:r>
              <w:t>3.0% (2.9% to 3.2%) for CHADS</w:t>
            </w:r>
            <w:r w:rsidRPr="00CD6936">
              <w:rPr>
                <w:vertAlign w:val="subscript"/>
              </w:rPr>
              <w:t>2</w:t>
            </w:r>
            <w:r>
              <w:t>=1</w:t>
            </w:r>
          </w:p>
          <w:p w:rsidR="00CD6936" w:rsidRDefault="00CD6936" w:rsidP="00920A0B">
            <w:pPr>
              <w:jc w:val="left"/>
            </w:pPr>
            <w:r>
              <w:t>4.2% (4.0% to 4.4%) for CHADS</w:t>
            </w:r>
            <w:r w:rsidRPr="00CD6936">
              <w:rPr>
                <w:vertAlign w:val="subscript"/>
              </w:rPr>
              <w:t>2</w:t>
            </w:r>
            <w:r>
              <w:t>=2</w:t>
            </w:r>
          </w:p>
          <w:p w:rsidR="00CD6936" w:rsidRDefault="00CD6936" w:rsidP="00920A0B">
            <w:pPr>
              <w:jc w:val="left"/>
            </w:pPr>
            <w:r>
              <w:t>7.1% (6.7% to 7.5%) for CHADS</w:t>
            </w:r>
            <w:r w:rsidRPr="00CD6936">
              <w:rPr>
                <w:vertAlign w:val="subscript"/>
              </w:rPr>
              <w:t>2</w:t>
            </w:r>
            <w:r>
              <w:t>=3</w:t>
            </w:r>
          </w:p>
          <w:p w:rsidR="00E5262E" w:rsidRPr="00532F44" w:rsidRDefault="00CD6936" w:rsidP="00920A0B">
            <w:pPr>
              <w:jc w:val="left"/>
            </w:pPr>
            <w:r>
              <w:t>11.1% (10.4% to 11.8%) for CHADS</w:t>
            </w:r>
            <w:r w:rsidRPr="00CD6936">
              <w:rPr>
                <w:vertAlign w:val="subscript"/>
              </w:rPr>
              <w:t>2</w:t>
            </w:r>
            <w:r>
              <w:t>=4</w:t>
            </w:r>
          </w:p>
        </w:tc>
        <w:tc>
          <w:tcPr>
            <w:tcW w:w="3969" w:type="dxa"/>
          </w:tcPr>
          <w:p w:rsidR="00E5262E" w:rsidRPr="00532F44" w:rsidRDefault="00E5262E" w:rsidP="00920A0B">
            <w:proofErr w:type="spellStart"/>
            <w:r w:rsidRPr="00532F44">
              <w:t>Friberg</w:t>
            </w:r>
            <w:proofErr w:type="spellEnd"/>
            <w:r w:rsidRPr="00532F44">
              <w:t xml:space="preserve"> 2012</w:t>
            </w:r>
            <w:r w:rsidR="00B54241" w:rsidRPr="00B54241">
              <w:rPr>
                <w:noProof/>
              </w:rPr>
              <w:t>[21]</w:t>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3A1166" w:rsidP="00920A0B">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5262E" w:rsidRPr="00532F44" w:rsidRDefault="003A1166" w:rsidP="003A1166">
            <w:r>
              <w:t>Stroke Prevention 1988</w:t>
            </w:r>
            <w:r w:rsidR="00E5262E" w:rsidRPr="00532F44">
              <w:t xml:space="preserve"> </w:t>
            </w:r>
            <w:r w:rsidR="00DF52E6" w:rsidRPr="00DF52E6">
              <w:rPr>
                <w:noProof/>
              </w:rPr>
              <w:t>[5]</w:t>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3A1166" w:rsidRPr="00532F44" w:rsidRDefault="00E5262E" w:rsidP="00920A0B">
            <w:r w:rsidRPr="00532F44">
              <w:t xml:space="preserve">Relative risk (RR) of stroke in patients receiving </w:t>
            </w:r>
            <w:proofErr w:type="spellStart"/>
            <w:r w:rsidRPr="00532F44">
              <w:t>dabigatran</w:t>
            </w:r>
            <w:proofErr w:type="spellEnd"/>
            <w:r w:rsidR="003A1166">
              <w:t>.</w:t>
            </w:r>
          </w:p>
        </w:tc>
        <w:tc>
          <w:tcPr>
            <w:tcW w:w="4299" w:type="dxa"/>
          </w:tcPr>
          <w:p w:rsidR="003A1166" w:rsidRDefault="00E5262E" w:rsidP="00920A0B">
            <w:pPr>
              <w:jc w:val="left"/>
              <w:rPr>
                <w:lang w:val="en-GB"/>
              </w:rPr>
            </w:pPr>
            <w:r w:rsidRPr="00532F44">
              <w:t xml:space="preserve">Indirect comparison simulation </w:t>
            </w:r>
            <w:r w:rsidRPr="003A1166">
              <w:t>approach</w:t>
            </w:r>
            <w:r w:rsidR="003A1166">
              <w:t>.</w:t>
            </w:r>
            <w:r w:rsidR="003A1166" w:rsidRPr="003A1166">
              <w:rPr>
                <w:rFonts w:ascii="Times New Roman" w:eastAsia="Times New Roman" w:hAnsi="Times New Roman"/>
                <w:sz w:val="22"/>
                <w:szCs w:val="22"/>
                <w:lang w:val="en-GB" w:eastAsia="en-GB"/>
              </w:rPr>
              <w:t xml:space="preserve"> </w:t>
            </w:r>
            <w:r w:rsidR="003A1166">
              <w:rPr>
                <w:lang w:val="en-GB"/>
              </w:rPr>
              <w:t xml:space="preserve">One thousand </w:t>
            </w:r>
            <w:r w:rsidR="003A1166" w:rsidRPr="003A1166">
              <w:rPr>
                <w:lang w:val="en-GB"/>
              </w:rPr>
              <w:t xml:space="preserve">simulated values </w:t>
            </w:r>
            <w:r w:rsidR="003A1166">
              <w:rPr>
                <w:lang w:val="en-GB"/>
              </w:rPr>
              <w:t xml:space="preserve">from a lognormal distribution representing the RR of warfarin compared with placebo were multiplied by 1000 simulated values from a lognormal distribution </w:t>
            </w:r>
            <w:r w:rsidR="003A1166">
              <w:rPr>
                <w:lang w:val="en-GB"/>
              </w:rPr>
              <w:lastRenderedPageBreak/>
              <w:t xml:space="preserve">comparing </w:t>
            </w:r>
            <w:proofErr w:type="spellStart"/>
            <w:r w:rsidR="003A1166">
              <w:rPr>
                <w:lang w:val="en-GB"/>
              </w:rPr>
              <w:t>dabigatran</w:t>
            </w:r>
            <w:proofErr w:type="spellEnd"/>
            <w:r w:rsidR="003A1166">
              <w:rPr>
                <w:lang w:val="en-GB"/>
              </w:rPr>
              <w:t xml:space="preserve"> with warfarin, to produce 1000 estimates of the RR of </w:t>
            </w:r>
            <w:proofErr w:type="spellStart"/>
            <w:r w:rsidR="003A1166">
              <w:rPr>
                <w:lang w:val="en-GB"/>
              </w:rPr>
              <w:t>dabigatran</w:t>
            </w:r>
            <w:proofErr w:type="spellEnd"/>
            <w:r w:rsidR="003A1166">
              <w:rPr>
                <w:lang w:val="en-GB"/>
              </w:rPr>
              <w:t xml:space="preserve"> compared with placebo. Mean RRs and 95% CIs/</w:t>
            </w:r>
            <w:proofErr w:type="spellStart"/>
            <w:r w:rsidR="003A1166">
              <w:rPr>
                <w:lang w:val="en-GB"/>
              </w:rPr>
              <w:t>CrIs</w:t>
            </w:r>
            <w:proofErr w:type="spellEnd"/>
            <w:r w:rsidR="003A1166">
              <w:rPr>
                <w:lang w:val="en-GB"/>
              </w:rPr>
              <w:t xml:space="preserve"> are shown below: </w:t>
            </w:r>
          </w:p>
          <w:p w:rsidR="003A1166" w:rsidRDefault="004C3BA6" w:rsidP="00920A0B">
            <w:pPr>
              <w:jc w:val="left"/>
              <w:rPr>
                <w:lang w:val="en-GB"/>
              </w:rPr>
            </w:pPr>
            <w:r>
              <w:rPr>
                <w:lang w:val="en-GB"/>
              </w:rPr>
              <w:t xml:space="preserve">Reported </w:t>
            </w:r>
            <w:r w:rsidR="003A1166">
              <w:rPr>
                <w:lang w:val="en-GB"/>
              </w:rPr>
              <w:t>RR warfarin vs. placebo: 0.33 (0.24 to 0.45)</w:t>
            </w:r>
          </w:p>
          <w:p w:rsidR="003A1166" w:rsidRDefault="004C3BA6" w:rsidP="00920A0B">
            <w:pPr>
              <w:jc w:val="left"/>
              <w:rPr>
                <w:lang w:val="en-GB"/>
              </w:rPr>
            </w:pPr>
            <w:r>
              <w:rPr>
                <w:lang w:val="en-GB"/>
              </w:rPr>
              <w:t xml:space="preserve">Reported </w:t>
            </w:r>
            <w:r w:rsidR="003A1166">
              <w:rPr>
                <w:lang w:val="en-GB"/>
              </w:rPr>
              <w:t xml:space="preserve">RR </w:t>
            </w:r>
            <w:proofErr w:type="spellStart"/>
            <w:r w:rsidR="003A1166">
              <w:rPr>
                <w:lang w:val="en-GB"/>
              </w:rPr>
              <w:t>dabigatran</w:t>
            </w:r>
            <w:proofErr w:type="spellEnd"/>
            <w:r w:rsidR="003A1166">
              <w:rPr>
                <w:lang w:val="en-GB"/>
              </w:rPr>
              <w:t xml:space="preserve"> vs. warfarin: 0.66 (0.53 to 0.82)</w:t>
            </w:r>
          </w:p>
          <w:p w:rsidR="00E5262E" w:rsidRPr="004C3BA6" w:rsidRDefault="004C3BA6" w:rsidP="00920A0B">
            <w:pPr>
              <w:jc w:val="left"/>
              <w:rPr>
                <w:lang w:val="en-GB"/>
              </w:rPr>
            </w:pPr>
            <w:r>
              <w:rPr>
                <w:lang w:val="en-GB"/>
              </w:rPr>
              <w:t xml:space="preserve">Derived </w:t>
            </w:r>
            <w:r w:rsidR="003A1166">
              <w:rPr>
                <w:lang w:val="en-GB"/>
              </w:rPr>
              <w:t xml:space="preserve">RR </w:t>
            </w:r>
            <w:proofErr w:type="spellStart"/>
            <w:r w:rsidR="003A1166">
              <w:rPr>
                <w:lang w:val="en-GB"/>
              </w:rPr>
              <w:t>dabigatran</w:t>
            </w:r>
            <w:proofErr w:type="spellEnd"/>
            <w:r w:rsidR="003A1166">
              <w:rPr>
                <w:lang w:val="en-GB"/>
              </w:rPr>
              <w:t xml:space="preserve"> vs. placebo: </w:t>
            </w:r>
            <w:r>
              <w:rPr>
                <w:lang w:val="en-GB"/>
              </w:rPr>
              <w:t>0.22 (0.15 to 0.32)</w:t>
            </w:r>
          </w:p>
        </w:tc>
        <w:tc>
          <w:tcPr>
            <w:tcW w:w="3969" w:type="dxa"/>
          </w:tcPr>
          <w:p w:rsidR="00E5262E" w:rsidRPr="00532F44" w:rsidRDefault="00E5262E" w:rsidP="00920A0B">
            <w:r w:rsidRPr="00532F44">
              <w:lastRenderedPageBreak/>
              <w:t xml:space="preserve">Lip et al 2006 for RR of warfarin compared with placebo </w:t>
            </w:r>
            <w:r w:rsidR="00B54241" w:rsidRPr="00B54241">
              <w:rPr>
                <w:noProof/>
              </w:rPr>
              <w:t>[22]</w:t>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00B54241" w:rsidRPr="00B54241">
              <w:rPr>
                <w:noProof/>
              </w:rPr>
              <w:t>[15]</w:t>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Default="00E5262E" w:rsidP="00B92B64">
            <w:pPr>
              <w:jc w:val="left"/>
            </w:pPr>
            <w:r w:rsidRPr="00532F44">
              <w:t>St</w:t>
            </w:r>
            <w:r w:rsidR="003762FF">
              <w:t>r</w:t>
            </w:r>
            <w:r w:rsidRPr="00532F44">
              <w:t>atified by age. Credible interval calculated using simulation approach</w:t>
            </w:r>
            <w:r w:rsidR="00B92B64">
              <w:t xml:space="preserve">. Annual risk reported separately for people under 75 years, and people aged 75 years or older. Credible intervals were calculated by assuming sample sizes of 3618 for people aged </w:t>
            </w:r>
            <w:proofErr w:type="gramStart"/>
            <w:r w:rsidR="00B92B64">
              <w:t>under</w:t>
            </w:r>
            <w:proofErr w:type="gramEnd"/>
            <w:r w:rsidR="00B92B64">
              <w:t xml:space="preserve"> 75 years and 2419 for people aged 75 years or older, then sampling repeatedly and taking the values 2.5% and 97.5% of the way along the distributions. The central estimates (95% </w:t>
            </w:r>
            <w:proofErr w:type="spellStart"/>
            <w:r w:rsidR="00B92B64">
              <w:t>CrIs</w:t>
            </w:r>
            <w:proofErr w:type="spellEnd"/>
            <w:r w:rsidR="00B92B64">
              <w:t>) are as follows:</w:t>
            </w:r>
          </w:p>
          <w:p w:rsidR="00B92B64" w:rsidRDefault="00B92B64" w:rsidP="00B92B64">
            <w:pPr>
              <w:jc w:val="left"/>
            </w:pPr>
            <w:r>
              <w:t>Under 75: 2.1% (1.7 to 2.6%)</w:t>
            </w:r>
          </w:p>
          <w:p w:rsidR="00B92B64" w:rsidRPr="00532F44" w:rsidRDefault="00B92B64" w:rsidP="00B92B64">
            <w:pPr>
              <w:jc w:val="left"/>
            </w:pPr>
            <w:r>
              <w:t>75 and older: 5.1% (4.2% to 6.0%)</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B54241" w:rsidRPr="00B54241">
              <w:rPr>
                <w:noProof/>
              </w:rPr>
              <w:t>[15]</w:t>
            </w:r>
          </w:p>
        </w:tc>
      </w:tr>
      <w:tr w:rsidR="00ED28B9" w:rsidRPr="00532F44" w:rsidTr="003225C4">
        <w:trPr>
          <w:divId w:val="1548566716"/>
          <w:trHeight w:val="679"/>
        </w:trPr>
        <w:tc>
          <w:tcPr>
            <w:tcW w:w="1951" w:type="dxa"/>
            <w:vMerge/>
          </w:tcPr>
          <w:p w:rsidR="00ED28B9" w:rsidRPr="00532F44" w:rsidRDefault="00ED28B9" w:rsidP="00920A0B">
            <w:pPr>
              <w:rPr>
                <w:b/>
              </w:rPr>
            </w:pPr>
          </w:p>
        </w:tc>
        <w:tc>
          <w:tcPr>
            <w:tcW w:w="3497" w:type="dxa"/>
          </w:tcPr>
          <w:p w:rsidR="00ED28B9" w:rsidRPr="00532F44" w:rsidRDefault="00ED28B9" w:rsidP="00920A0B">
            <w:r>
              <w:t>Relative risk (RR) of stroke in patients receiving warfarin</w:t>
            </w:r>
          </w:p>
        </w:tc>
        <w:tc>
          <w:tcPr>
            <w:tcW w:w="4299" w:type="dxa"/>
          </w:tcPr>
          <w:p w:rsidR="00ED28B9" w:rsidRPr="004C3BA6" w:rsidRDefault="004C3BA6" w:rsidP="00920A0B">
            <w:pPr>
              <w:jc w:val="left"/>
              <w:rPr>
                <w:lang w:val="en-GB"/>
              </w:rPr>
            </w:pPr>
            <w:r>
              <w:rPr>
                <w:lang w:val="en-GB"/>
              </w:rPr>
              <w:t>Reported RR warfarin vs. placebo: 0.33 (0.24 to 0.45)</w:t>
            </w:r>
          </w:p>
        </w:tc>
        <w:tc>
          <w:tcPr>
            <w:tcW w:w="3969" w:type="dxa"/>
          </w:tcPr>
          <w:p w:rsidR="00ED28B9" w:rsidRPr="00532F44" w:rsidRDefault="00F82325" w:rsidP="00F82325">
            <w:r w:rsidRPr="00532F44">
              <w:t xml:space="preserve">Lip et al 2006 </w:t>
            </w:r>
            <w:r w:rsidR="00B54241" w:rsidRPr="00B54241">
              <w:rPr>
                <w:noProof/>
              </w:rPr>
              <w:t>[22]</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t>Annual major bleeding risk for patients receiving warfarin</w:t>
            </w:r>
          </w:p>
        </w:tc>
        <w:tc>
          <w:tcPr>
            <w:tcW w:w="4299" w:type="dxa"/>
          </w:tcPr>
          <w:p w:rsidR="00B92B64" w:rsidRDefault="00B92B64" w:rsidP="00770134">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B92B64" w:rsidRDefault="00B92B64" w:rsidP="00770134">
            <w:pPr>
              <w:jc w:val="left"/>
            </w:pPr>
            <w:r>
              <w:t>Under 75: 3.4% (2.5 to 3.6%)</w:t>
            </w:r>
          </w:p>
          <w:p w:rsidR="00B92B64" w:rsidRPr="00532F44" w:rsidRDefault="00B92B64" w:rsidP="00B92B64">
            <w:pPr>
              <w:jc w:val="left"/>
            </w:pPr>
            <w:r>
              <w:t>75 and older: 4.4% (3.6% to 5.2%)</w:t>
            </w:r>
          </w:p>
        </w:tc>
        <w:tc>
          <w:tcPr>
            <w:tcW w:w="3969" w:type="dxa"/>
          </w:tcPr>
          <w:p w:rsidR="00B92B64" w:rsidRPr="00532F44" w:rsidRDefault="00B92B64" w:rsidP="00FF7CB5">
            <w:proofErr w:type="spellStart"/>
            <w:r w:rsidRPr="00532F44">
              <w:t>Eikelboom</w:t>
            </w:r>
            <w:proofErr w:type="spellEnd"/>
            <w:r w:rsidRPr="00532F44">
              <w:t xml:space="preserve"> et al 2011 </w:t>
            </w:r>
            <w:r w:rsidR="00B54241" w:rsidRPr="00B54241">
              <w:rPr>
                <w:noProof/>
              </w:rPr>
              <w:t>[15]</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Relative risk (RR) of stroke in patients receiving </w:t>
            </w:r>
            <w:proofErr w:type="spellStart"/>
            <w:r>
              <w:t>rivaroxaban</w:t>
            </w:r>
            <w:proofErr w:type="spellEnd"/>
          </w:p>
        </w:tc>
        <w:tc>
          <w:tcPr>
            <w:tcW w:w="4299" w:type="dxa"/>
          </w:tcPr>
          <w:p w:rsidR="00B92B64" w:rsidRDefault="00B92B64" w:rsidP="004C3BA6">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B92B64" w:rsidRDefault="00B92B64" w:rsidP="004C3BA6">
            <w:pPr>
              <w:jc w:val="left"/>
              <w:rPr>
                <w:lang w:val="en-GB"/>
              </w:rPr>
            </w:pPr>
            <w:r>
              <w:rPr>
                <w:lang w:val="en-GB"/>
              </w:rPr>
              <w:t>Reported RR warfarin vs. placebo: 0.33 (0.24 to 0.45)</w:t>
            </w:r>
          </w:p>
          <w:p w:rsidR="00B92B64" w:rsidRDefault="00B92B64" w:rsidP="004C3BA6">
            <w:pPr>
              <w:jc w:val="left"/>
              <w:rPr>
                <w:lang w:val="en-GB"/>
              </w:rPr>
            </w:pPr>
            <w:r>
              <w:rPr>
                <w:lang w:val="en-GB"/>
              </w:rPr>
              <w:t xml:space="preserve">Reported RR </w:t>
            </w:r>
            <w:proofErr w:type="spellStart"/>
            <w:r>
              <w:rPr>
                <w:lang w:val="en-GB"/>
              </w:rPr>
              <w:t>Rivaroxaban</w:t>
            </w:r>
            <w:proofErr w:type="spellEnd"/>
            <w:r>
              <w:rPr>
                <w:lang w:val="en-GB"/>
              </w:rPr>
              <w:t xml:space="preserve">  vs. warfarin: 0.88 (0.74 </w:t>
            </w:r>
            <w:r>
              <w:rPr>
                <w:lang w:val="en-GB"/>
              </w:rPr>
              <w:lastRenderedPageBreak/>
              <w:t>to 1.03)</w:t>
            </w:r>
          </w:p>
          <w:p w:rsidR="00B92B64" w:rsidRPr="00532F44" w:rsidRDefault="00B92B64" w:rsidP="004C3BA6">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B92B64" w:rsidRDefault="00B92B64" w:rsidP="004C3BA6">
            <w:r w:rsidRPr="00532F44">
              <w:lastRenderedPageBreak/>
              <w:t xml:space="preserve">Lip et al 2006 for RR of warfarin compared with placebo </w:t>
            </w:r>
            <w:r w:rsidR="00B54241" w:rsidRPr="00B54241">
              <w:rPr>
                <w:noProof/>
              </w:rPr>
              <w:t>[22]</w:t>
            </w:r>
          </w:p>
          <w:p w:rsidR="00B92B64" w:rsidRPr="00532F44" w:rsidRDefault="00B92B64" w:rsidP="00FF7CB5">
            <w:r>
              <w:t xml:space="preserve">Patel et al 2011 for RR of </w:t>
            </w:r>
            <w:proofErr w:type="spellStart"/>
            <w:r>
              <w:t>rivaroxaban</w:t>
            </w:r>
            <w:proofErr w:type="spellEnd"/>
            <w:r>
              <w:t xml:space="preserve"> compared with warfarin </w:t>
            </w:r>
            <w:r w:rsidR="00B54241" w:rsidRPr="00B54241">
              <w:rPr>
                <w:noProof/>
              </w:rPr>
              <w:t>[23]</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Annual major bleeding risk for patients receiving </w:t>
            </w:r>
            <w:proofErr w:type="spellStart"/>
            <w:r>
              <w:t>rivaroxaban</w:t>
            </w:r>
            <w:proofErr w:type="spellEnd"/>
          </w:p>
        </w:tc>
        <w:tc>
          <w:tcPr>
            <w:tcW w:w="4299" w:type="dxa"/>
          </w:tcPr>
          <w:p w:rsidR="00B92B64" w:rsidRDefault="00B92B64" w:rsidP="00B92B64">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B92B64" w:rsidRDefault="00B92B64" w:rsidP="00B92B64">
            <w:pPr>
              <w:jc w:val="left"/>
            </w:pPr>
            <w:r>
              <w:t>Under 75: 3.2% (2.5% to 4.0%)</w:t>
            </w:r>
          </w:p>
          <w:p w:rsidR="00B92B64" w:rsidRPr="00532F44" w:rsidRDefault="00B92B64" w:rsidP="00B92B64">
            <w:pPr>
              <w:jc w:val="left"/>
            </w:pPr>
            <w:r>
              <w:t>75 or older: 4.6% (3.6% to 5.7%)</w:t>
            </w:r>
          </w:p>
        </w:tc>
        <w:tc>
          <w:tcPr>
            <w:tcW w:w="3969" w:type="dxa"/>
          </w:tcPr>
          <w:p w:rsidR="00B92B64" w:rsidRDefault="00B92B64" w:rsidP="00FF7CB5">
            <w:proofErr w:type="spellStart"/>
            <w:r w:rsidRPr="00532F44">
              <w:t>Eikelboom</w:t>
            </w:r>
            <w:proofErr w:type="spellEnd"/>
            <w:r w:rsidRPr="00532F44">
              <w:t xml:space="preserve"> et al 2011 </w:t>
            </w:r>
            <w:r w:rsidR="00B54241" w:rsidRPr="00B54241">
              <w:rPr>
                <w:noProof/>
              </w:rPr>
              <w:t>[15]</w:t>
            </w:r>
          </w:p>
          <w:p w:rsidR="00B92B64" w:rsidRPr="00532F44" w:rsidRDefault="00B92B64" w:rsidP="00FF7CB5">
            <w:r>
              <w:t xml:space="preserve">Patel et al 2011 </w:t>
            </w:r>
            <w:r w:rsidR="00B54241" w:rsidRPr="00B54241">
              <w:rPr>
                <w:noProof/>
              </w:rPr>
              <w:t>[23]</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stroke</w:t>
            </w:r>
          </w:p>
        </w:tc>
        <w:tc>
          <w:tcPr>
            <w:tcW w:w="4299" w:type="dxa"/>
          </w:tcPr>
          <w:p w:rsidR="00B92B64" w:rsidRDefault="00B92B64" w:rsidP="00920A0B">
            <w:pPr>
              <w:jc w:val="left"/>
            </w:pPr>
            <w:r w:rsidRPr="00532F44">
              <w:t>Simulation &amp; mapping based approach</w:t>
            </w:r>
            <w:r w:rsidR="00737173">
              <w:t xml:space="preserve"> described in an upcoming report. </w:t>
            </w:r>
          </w:p>
          <w:p w:rsidR="00737173" w:rsidRPr="00532F44" w:rsidRDefault="00737173" w:rsidP="00920A0B">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stroke was estimated to be 0.19 (0.16 to 0.23).</w:t>
            </w:r>
          </w:p>
        </w:tc>
        <w:tc>
          <w:tcPr>
            <w:tcW w:w="3969" w:type="dxa"/>
          </w:tcPr>
          <w:p w:rsidR="00B92B64" w:rsidRPr="00532F44" w:rsidRDefault="00B92B64" w:rsidP="003225C4">
            <w:r w:rsidRPr="00532F44">
              <w:t xml:space="preserve">Method described in report using results published in </w:t>
            </w:r>
            <w:proofErr w:type="spellStart"/>
            <w:r w:rsidRPr="00532F44">
              <w:t>Rivero</w:t>
            </w:r>
            <w:proofErr w:type="spellEnd"/>
            <w:r w:rsidRPr="00532F44">
              <w:t xml:space="preserve">-Arias et al 2010 </w:t>
            </w:r>
            <w:r w:rsidR="00B54241" w:rsidRPr="00B54241">
              <w:rPr>
                <w:noProof/>
              </w:rPr>
              <w:t>[24]</w:t>
            </w:r>
            <w:r w:rsidRPr="00532F44">
              <w:t xml:space="preserve"> </w:t>
            </w:r>
          </w:p>
        </w:tc>
      </w:tr>
      <w:tr w:rsidR="00B92B64" w:rsidRPr="00532F44" w:rsidTr="003225C4">
        <w:trPr>
          <w:divId w:val="1548566716"/>
          <w:trHeight w:val="10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a major bleeding event</w:t>
            </w:r>
          </w:p>
        </w:tc>
        <w:tc>
          <w:tcPr>
            <w:tcW w:w="4299" w:type="dxa"/>
          </w:tcPr>
          <w:p w:rsidR="00B92B64" w:rsidRPr="00532F44" w:rsidRDefault="00B92B64" w:rsidP="00920A0B">
            <w:pPr>
              <w:jc w:val="left"/>
            </w:pPr>
            <w:r w:rsidRPr="00532F44">
              <w:t>Previous estimates</w:t>
            </w:r>
          </w:p>
        </w:tc>
        <w:tc>
          <w:tcPr>
            <w:tcW w:w="3969" w:type="dxa"/>
          </w:tcPr>
          <w:p w:rsidR="00B92B64" w:rsidRPr="00532F44" w:rsidRDefault="00B92B64" w:rsidP="00920A0B">
            <w:r w:rsidRPr="00532F44">
              <w:t xml:space="preserve"> Simpson et al 2010 </w:t>
            </w:r>
            <w:r w:rsidR="00B54241" w:rsidRPr="00B54241">
              <w:rPr>
                <w:noProof/>
              </w:rPr>
              <w:t>[25]</w:t>
            </w:r>
          </w:p>
        </w:tc>
      </w:tr>
      <w:tr w:rsidR="00B92B64" w:rsidRPr="00532F44" w:rsidTr="003225C4">
        <w:trPr>
          <w:divId w:val="1548566716"/>
          <w:trHeight w:val="612"/>
        </w:trPr>
        <w:tc>
          <w:tcPr>
            <w:tcW w:w="1951" w:type="dxa"/>
            <w:vMerge w:val="restart"/>
          </w:tcPr>
          <w:p w:rsidR="00B92B64" w:rsidRPr="00532F44" w:rsidRDefault="00B92B64" w:rsidP="00920A0B">
            <w:pPr>
              <w:rPr>
                <w:b/>
              </w:rPr>
            </w:pPr>
            <w:r w:rsidRPr="00532F44">
              <w:rPr>
                <w:b/>
              </w:rPr>
              <w:t>Utilities</w:t>
            </w:r>
          </w:p>
        </w:tc>
        <w:tc>
          <w:tcPr>
            <w:tcW w:w="3497" w:type="dxa"/>
          </w:tcPr>
          <w:p w:rsidR="00B92B64" w:rsidRPr="00532F44" w:rsidRDefault="00B92B64" w:rsidP="00920A0B">
            <w:r w:rsidRPr="00532F44">
              <w:t>Baseline utilities by age and gender</w:t>
            </w:r>
          </w:p>
        </w:tc>
        <w:tc>
          <w:tcPr>
            <w:tcW w:w="4299" w:type="dxa"/>
          </w:tcPr>
          <w:p w:rsidR="00B92B64" w:rsidRPr="00532F44" w:rsidRDefault="00B92B64" w:rsidP="00920A0B">
            <w:r w:rsidRPr="00532F44">
              <w:t>Regression based approach</w:t>
            </w:r>
            <w:r w:rsidR="00737173">
              <w:t>, described in full in the reference.</w:t>
            </w:r>
            <w:r w:rsidR="000701BC">
              <w:t xml:space="preserve"> </w:t>
            </w:r>
            <w:proofErr w:type="spellStart"/>
            <w:r w:rsidR="000701BC">
              <w:t>HRQoL</w:t>
            </w:r>
            <w:proofErr w:type="spellEnd"/>
            <w:r w:rsidR="000701BC">
              <w:t xml:space="preserve"> is estimated as a function </w:t>
            </w:r>
            <w:r w:rsidR="000701BC">
              <w:lastRenderedPageBreak/>
              <w:t>of age and gender, using the equation for the general population.</w:t>
            </w:r>
          </w:p>
        </w:tc>
        <w:tc>
          <w:tcPr>
            <w:tcW w:w="3969" w:type="dxa"/>
          </w:tcPr>
          <w:p w:rsidR="00B92B64" w:rsidRPr="00532F44" w:rsidRDefault="00B92B64" w:rsidP="00920A0B">
            <w:proofErr w:type="spellStart"/>
            <w:r w:rsidRPr="00532F44">
              <w:lastRenderedPageBreak/>
              <w:t>Ara</w:t>
            </w:r>
            <w:proofErr w:type="spellEnd"/>
            <w:r w:rsidRPr="00532F44">
              <w:t xml:space="preserve"> et al 2010 </w:t>
            </w:r>
            <w:r w:rsidR="00B54241" w:rsidRPr="00B54241">
              <w:rPr>
                <w:noProof/>
              </w:rPr>
              <w:t>[26]</w:t>
            </w:r>
          </w:p>
          <w:p w:rsidR="00B92B64" w:rsidRPr="00532F44" w:rsidRDefault="00B92B64" w:rsidP="00920A0B"/>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Utility multiplier following stroke, utility multiplier following major non-fatal intracranial bleed</w:t>
            </w:r>
          </w:p>
        </w:tc>
        <w:tc>
          <w:tcPr>
            <w:tcW w:w="4299" w:type="dxa"/>
          </w:tcPr>
          <w:p w:rsidR="00737173" w:rsidRDefault="00737173" w:rsidP="00737173">
            <w:pPr>
              <w:jc w:val="left"/>
            </w:pPr>
            <w:r w:rsidRPr="00532F44">
              <w:t>Simulation &amp; mapping based approach</w:t>
            </w:r>
            <w:r>
              <w:t xml:space="preserve"> described in an upcoming report. </w:t>
            </w:r>
          </w:p>
          <w:p w:rsidR="00B92B64" w:rsidRPr="00532F44" w:rsidRDefault="00737173" w:rsidP="00737173">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B92B64" w:rsidRPr="00532F44" w:rsidRDefault="00B92B64" w:rsidP="00920A0B">
            <w:r w:rsidRPr="00532F44">
              <w:t xml:space="preserve">Method described in report results published in </w:t>
            </w:r>
          </w:p>
          <w:p w:rsidR="00B92B64" w:rsidRPr="00532F44" w:rsidRDefault="00B92B64" w:rsidP="00920A0B">
            <w:proofErr w:type="spellStart"/>
            <w:r w:rsidRPr="00532F44">
              <w:t>Rivero</w:t>
            </w:r>
            <w:proofErr w:type="spellEnd"/>
            <w:r w:rsidRPr="00532F44">
              <w:t xml:space="preserve">-Arias et al 2010 </w:t>
            </w:r>
            <w:r w:rsidR="00B54241" w:rsidRPr="00B54241">
              <w:rPr>
                <w:noProof/>
              </w:rPr>
              <w:t>[24]</w:t>
            </w:r>
          </w:p>
        </w:tc>
      </w:tr>
      <w:tr w:rsidR="00B92B64" w:rsidRPr="00532F44" w:rsidTr="003225C4">
        <w:trPr>
          <w:divId w:val="1548566716"/>
          <w:trHeight w:val="304"/>
        </w:trPr>
        <w:tc>
          <w:tcPr>
            <w:tcW w:w="1951" w:type="dxa"/>
            <w:vMerge w:val="restart"/>
          </w:tcPr>
          <w:p w:rsidR="00B92B64" w:rsidRPr="00532F44" w:rsidRDefault="00B92B64" w:rsidP="00920A0B">
            <w:pPr>
              <w:rPr>
                <w:b/>
              </w:rPr>
            </w:pPr>
            <w:r w:rsidRPr="00532F44">
              <w:rPr>
                <w:b/>
              </w:rPr>
              <w:t>Costs</w:t>
            </w:r>
          </w:p>
        </w:tc>
        <w:tc>
          <w:tcPr>
            <w:tcW w:w="3497" w:type="dxa"/>
          </w:tcPr>
          <w:p w:rsidR="00B92B64" w:rsidRPr="00532F44" w:rsidRDefault="00B92B64" w:rsidP="00920A0B">
            <w:r w:rsidRPr="00532F44">
              <w:t xml:space="preserve">Annual cost of </w:t>
            </w:r>
            <w:proofErr w:type="spellStart"/>
            <w:r w:rsidRPr="00532F44">
              <w:t>dabigatran</w:t>
            </w:r>
            <w:proofErr w:type="spellEnd"/>
          </w:p>
        </w:tc>
        <w:tc>
          <w:tcPr>
            <w:tcW w:w="4299" w:type="dxa"/>
          </w:tcPr>
          <w:p w:rsidR="00B92B64" w:rsidRPr="00532F44" w:rsidRDefault="00B92B64" w:rsidP="00621BC9">
            <w:r w:rsidRPr="00532F44">
              <w:t>£</w:t>
            </w:r>
            <w:r>
              <w:t>920</w:t>
            </w:r>
            <w:r w:rsidR="00737173">
              <w:t>. A fixed cost was assumed.</w:t>
            </w:r>
          </w:p>
        </w:tc>
        <w:tc>
          <w:tcPr>
            <w:tcW w:w="3969" w:type="dxa"/>
          </w:tcPr>
          <w:p w:rsidR="00B92B64" w:rsidRPr="00532F44" w:rsidRDefault="00B92B64" w:rsidP="003225C4">
            <w:r w:rsidRPr="00532F44">
              <w:t xml:space="preserve">NICE FAD, 2011   </w:t>
            </w:r>
            <w:r w:rsidR="00B54241" w:rsidRPr="00B54241">
              <w:rPr>
                <w:noProof/>
              </w:rPr>
              <w:t>[27]</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t xml:space="preserve">Annual cost of </w:t>
            </w:r>
            <w:proofErr w:type="spellStart"/>
            <w:r>
              <w:t>rivaroxaban</w:t>
            </w:r>
            <w:proofErr w:type="spellEnd"/>
          </w:p>
        </w:tc>
        <w:tc>
          <w:tcPr>
            <w:tcW w:w="4299" w:type="dxa"/>
          </w:tcPr>
          <w:p w:rsidR="00B92B64" w:rsidRPr="00532F44" w:rsidRDefault="00B92B64" w:rsidP="00920A0B">
            <w:r>
              <w:t>£767</w:t>
            </w:r>
            <w:r w:rsidR="00737173">
              <w:t>. A fixed cost was assumed.</w:t>
            </w:r>
          </w:p>
        </w:tc>
        <w:tc>
          <w:tcPr>
            <w:tcW w:w="3969" w:type="dxa"/>
          </w:tcPr>
          <w:p w:rsidR="00B92B64" w:rsidRPr="00532F44" w:rsidRDefault="00B92B64" w:rsidP="003225C4">
            <w:r>
              <w:t xml:space="preserve">London New Drugs Group </w:t>
            </w:r>
            <w:r w:rsidR="00B54241" w:rsidRPr="00B54241">
              <w:rPr>
                <w:noProof/>
              </w:rPr>
              <w:t>[28]</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Default="00B92B64" w:rsidP="00920A0B">
            <w:r>
              <w:t>Annual cost of warfarin</w:t>
            </w:r>
          </w:p>
        </w:tc>
        <w:tc>
          <w:tcPr>
            <w:tcW w:w="4299" w:type="dxa"/>
          </w:tcPr>
          <w:p w:rsidR="00B92B64" w:rsidRDefault="00B92B64" w:rsidP="00920A0B">
            <w:r>
              <w:t>£252 to £259 including monitoring costs</w:t>
            </w:r>
            <w:r w:rsidR="00737173">
              <w:t>. A uniform distribution was assumed.</w:t>
            </w:r>
          </w:p>
        </w:tc>
        <w:tc>
          <w:tcPr>
            <w:tcW w:w="3969" w:type="dxa"/>
          </w:tcPr>
          <w:p w:rsidR="00B92B64" w:rsidRPr="00532F44" w:rsidRDefault="00B92B64" w:rsidP="003225C4">
            <w:r>
              <w:t xml:space="preserve">BNF </w:t>
            </w:r>
            <w:r w:rsidR="00B54241" w:rsidRPr="00B54241">
              <w:rPr>
                <w:noProof/>
              </w:rPr>
              <w:t>[29]</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621BC9" w:rsidRDefault="00B92B64" w:rsidP="00B13ECE">
            <w:r w:rsidRPr="00621BC9">
              <w:t>Cost of TTE</w:t>
            </w:r>
          </w:p>
        </w:tc>
        <w:tc>
          <w:tcPr>
            <w:tcW w:w="4299" w:type="dxa"/>
          </w:tcPr>
          <w:p w:rsidR="00B92B64" w:rsidRPr="00532F44" w:rsidRDefault="00B92B64" w:rsidP="00B13ECE">
            <w:r w:rsidRPr="00532F44">
              <w:t>£66</w:t>
            </w:r>
          </w:p>
        </w:tc>
        <w:tc>
          <w:tcPr>
            <w:tcW w:w="3969" w:type="dxa"/>
          </w:tcPr>
          <w:p w:rsidR="00B92B64" w:rsidRPr="00532F44" w:rsidRDefault="00B92B64" w:rsidP="00B13ECE">
            <w:r w:rsidRPr="00532F44">
              <w:t xml:space="preserve">NHS Reference Costs </w:t>
            </w:r>
            <w:r w:rsidR="00B54241" w:rsidRPr="00B54241">
              <w:rPr>
                <w:noProof/>
              </w:rPr>
              <w:t>[20]</w:t>
            </w:r>
          </w:p>
        </w:tc>
      </w:tr>
      <w:tr w:rsidR="00B92B64" w:rsidRPr="00532F44" w:rsidTr="003225C4">
        <w:trPr>
          <w:divId w:val="1548566716"/>
          <w:trHeight w:val="399"/>
        </w:trPr>
        <w:tc>
          <w:tcPr>
            <w:tcW w:w="1951" w:type="dxa"/>
            <w:vMerge/>
          </w:tcPr>
          <w:p w:rsidR="00B92B64" w:rsidRPr="00532F44" w:rsidRDefault="00B92B64" w:rsidP="00920A0B"/>
        </w:tc>
        <w:tc>
          <w:tcPr>
            <w:tcW w:w="3497" w:type="dxa"/>
          </w:tcPr>
          <w:p w:rsidR="00B92B64" w:rsidRPr="00532F44" w:rsidRDefault="00B92B64" w:rsidP="00920A0B">
            <w:r w:rsidRPr="00532F44">
              <w:t>Cost of death due to stroke</w:t>
            </w:r>
          </w:p>
        </w:tc>
        <w:tc>
          <w:tcPr>
            <w:tcW w:w="4299" w:type="dxa"/>
          </w:tcPr>
          <w:p w:rsidR="00B92B64" w:rsidRPr="00532F44" w:rsidRDefault="00B92B64" w:rsidP="00920A0B">
            <w:r w:rsidRPr="00532F44">
              <w:t xml:space="preserve">£7,019 (95% </w:t>
            </w:r>
            <w:proofErr w:type="spellStart"/>
            <w:r w:rsidRPr="00532F44">
              <w:t>CrI</w:t>
            </w:r>
            <w:proofErr w:type="spellEnd"/>
            <w:r w:rsidRPr="00532F44">
              <w:t xml:space="preserve"> £6,975 to £7,064)</w:t>
            </w:r>
          </w:p>
        </w:tc>
        <w:tc>
          <w:tcPr>
            <w:tcW w:w="3969" w:type="dxa"/>
          </w:tcPr>
          <w:p w:rsidR="00B92B64" w:rsidRPr="00532F44" w:rsidRDefault="00B92B64" w:rsidP="003225C4">
            <w:proofErr w:type="spellStart"/>
            <w:r w:rsidRPr="00532F44">
              <w:t>Sandercock</w:t>
            </w:r>
            <w:proofErr w:type="spellEnd"/>
            <w:r w:rsidRPr="00532F44">
              <w:t xml:space="preserve"> et al 2002 </w:t>
            </w:r>
            <w:r w:rsidR="00B54241" w:rsidRPr="00B54241">
              <w:rPr>
                <w:noProof/>
              </w:rPr>
              <w:t>[30]</w:t>
            </w:r>
          </w:p>
        </w:tc>
      </w:tr>
      <w:tr w:rsidR="00B92B64" w:rsidRPr="00532F44" w:rsidTr="00CF20FA">
        <w:trPr>
          <w:divId w:val="1548566716"/>
          <w:trHeight w:val="699"/>
        </w:trPr>
        <w:tc>
          <w:tcPr>
            <w:tcW w:w="1951" w:type="dxa"/>
            <w:vMerge/>
          </w:tcPr>
          <w:p w:rsidR="00B92B64" w:rsidRPr="00532F44" w:rsidRDefault="00B92B64" w:rsidP="00920A0B"/>
        </w:tc>
        <w:tc>
          <w:tcPr>
            <w:tcW w:w="3497" w:type="dxa"/>
          </w:tcPr>
          <w:p w:rsidR="00B92B64" w:rsidRPr="00532F44" w:rsidRDefault="00B92B64" w:rsidP="00920A0B">
            <w:r w:rsidRPr="00532F44">
              <w:t>Costs in stroke survivors</w:t>
            </w:r>
          </w:p>
        </w:tc>
        <w:tc>
          <w:tcPr>
            <w:tcW w:w="4299" w:type="dxa"/>
          </w:tcPr>
          <w:p w:rsidR="00CF20FA" w:rsidRDefault="00B92B64" w:rsidP="00CF20FA">
            <w:r w:rsidRPr="00532F44">
              <w:t xml:space="preserve">Various. Differing according to dependent and independent states. Subdivided into </w:t>
            </w:r>
            <w:r w:rsidR="00CF20FA">
              <w:t xml:space="preserve">one-off </w:t>
            </w:r>
            <w:r w:rsidRPr="00532F44">
              <w:t>and continuing costs</w:t>
            </w:r>
            <w:r w:rsidR="00CF20FA">
              <w:t xml:space="preserve">. Estimates (95% </w:t>
            </w:r>
            <w:proofErr w:type="spellStart"/>
            <w:r w:rsidR="00CF20FA">
              <w:t>CrIs</w:t>
            </w:r>
            <w:proofErr w:type="spellEnd"/>
            <w:r w:rsidR="00CF20FA">
              <w:t>) are as follows:</w:t>
            </w:r>
          </w:p>
          <w:p w:rsidR="00CF20FA" w:rsidRDefault="00CF20FA" w:rsidP="00CF20FA">
            <w:r>
              <w:t>Dependent stroke, one-off costs: £2830 (£2708 to £2952)</w:t>
            </w:r>
          </w:p>
          <w:p w:rsidR="00CF20FA" w:rsidRDefault="00CF20FA" w:rsidP="00CF20FA">
            <w:r>
              <w:t>Dependent stroke, continuing annual cost: £6386 (£5749 to £7023)</w:t>
            </w:r>
          </w:p>
          <w:p w:rsidR="00CF20FA" w:rsidRDefault="00CF20FA" w:rsidP="00CF20FA">
            <w:r>
              <w:t>Independent stroke, one-off costs: £542 (£513 to £571)</w:t>
            </w:r>
          </w:p>
          <w:p w:rsidR="00B92B64" w:rsidRPr="00532F44" w:rsidRDefault="00CF20FA" w:rsidP="00CF20FA">
            <w:r>
              <w:lastRenderedPageBreak/>
              <w:t>Independent stroke, continuing annual cost: £3195 (£2871 to £3518)</w:t>
            </w:r>
          </w:p>
        </w:tc>
        <w:tc>
          <w:tcPr>
            <w:tcW w:w="3969" w:type="dxa"/>
          </w:tcPr>
          <w:p w:rsidR="00B92B64" w:rsidRPr="00532F44" w:rsidRDefault="00B92B64" w:rsidP="00920A0B">
            <w:r w:rsidRPr="00532F44">
              <w:lastRenderedPageBreak/>
              <w:t xml:space="preserve">NHS Reference Costs </w:t>
            </w:r>
            <w:r w:rsidR="00B54241" w:rsidRPr="00B54241">
              <w:rPr>
                <w:noProof/>
              </w:rPr>
              <w:t>[20]</w:t>
            </w:r>
          </w:p>
          <w:p w:rsidR="00B92B64" w:rsidRPr="00532F44" w:rsidRDefault="00B92B64" w:rsidP="00920A0B">
            <w:r w:rsidRPr="00532F44">
              <w:t xml:space="preserve">NHS Stroke Strategy Impact Assessment  </w:t>
            </w:r>
            <w:r w:rsidR="00B54241" w:rsidRPr="00B54241">
              <w:rPr>
                <w:noProof/>
              </w:rPr>
              <w:t>[31]</w:t>
            </w:r>
          </w:p>
          <w:p w:rsidR="00B92B64" w:rsidRPr="00532F44" w:rsidRDefault="00B92B64" w:rsidP="003225C4">
            <w:r w:rsidRPr="00532F44">
              <w:t xml:space="preserve">Unit Costs of Health and Social Care 2010 </w:t>
            </w:r>
            <w:r w:rsidR="00B54241" w:rsidRPr="00B54241">
              <w:rPr>
                <w:noProof/>
              </w:rPr>
              <w:t>[32]</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rsidRPr="00532F44">
              <w:t>Costs of fatal bleed</w:t>
            </w:r>
          </w:p>
        </w:tc>
        <w:tc>
          <w:tcPr>
            <w:tcW w:w="8268" w:type="dxa"/>
            <w:gridSpan w:val="2"/>
          </w:tcPr>
          <w:p w:rsidR="00B92B64" w:rsidRPr="00532F44" w:rsidRDefault="00B92B64" w:rsidP="00920A0B">
            <w:r w:rsidRPr="00532F44">
              <w:t>Assumed identical to costs of death due to stroke</w:t>
            </w:r>
          </w:p>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Costs of nonfatal bleed</w:t>
            </w:r>
          </w:p>
        </w:tc>
        <w:tc>
          <w:tcPr>
            <w:tcW w:w="4299" w:type="dxa"/>
          </w:tcPr>
          <w:p w:rsidR="00B92B64" w:rsidRDefault="00CF20FA" w:rsidP="00CF20FA">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CF20FA" w:rsidRDefault="00CF20FA" w:rsidP="00CF20FA">
            <w:pPr>
              <w:jc w:val="left"/>
            </w:pPr>
            <w:r>
              <w:t xml:space="preserve">For IC bleeds, the costs depended on the Glasgow Outcome Scale (GOS) level of disability that they cause, from GOS 2 (most severe) to GOS 5 (least severe). </w:t>
            </w:r>
          </w:p>
          <w:p w:rsidR="00CF20FA" w:rsidRDefault="00CF20FA" w:rsidP="00CF20FA">
            <w:pPr>
              <w:jc w:val="left"/>
            </w:pPr>
            <w:r>
              <w:t xml:space="preserve">The one-off costs (95% </w:t>
            </w:r>
            <w:proofErr w:type="spellStart"/>
            <w:r>
              <w:t>CrIs</w:t>
            </w:r>
            <w:proofErr w:type="spellEnd"/>
            <w:r>
              <w:t>) used were as follows:</w:t>
            </w:r>
          </w:p>
          <w:p w:rsidR="00CF20FA" w:rsidRDefault="00CF20FA" w:rsidP="00CF20FA">
            <w:pPr>
              <w:jc w:val="left"/>
            </w:pPr>
            <w:r>
              <w:t>GOS 2: £46785 (£40895 to £53250)</w:t>
            </w:r>
          </w:p>
          <w:p w:rsidR="00CF20FA" w:rsidRDefault="00CF20FA" w:rsidP="00CF20FA">
            <w:pPr>
              <w:jc w:val="left"/>
            </w:pPr>
            <w:r>
              <w:t>GOS 3: £10096 (£8849 to £11363)</w:t>
            </w:r>
          </w:p>
          <w:p w:rsidR="00CF20FA" w:rsidRDefault="00CF20FA" w:rsidP="00CF20FA">
            <w:pPr>
              <w:jc w:val="left"/>
            </w:pPr>
            <w:r>
              <w:t>GOS 4: £27419 (£22582 to £32964)</w:t>
            </w:r>
          </w:p>
          <w:p w:rsidR="00CF20FA" w:rsidRDefault="00CF20FA" w:rsidP="00CF20FA">
            <w:pPr>
              <w:jc w:val="left"/>
            </w:pPr>
            <w:r>
              <w:t>GOS 5: £1261 (£1211 to £1309)</w:t>
            </w:r>
          </w:p>
          <w:p w:rsidR="00CF20FA" w:rsidRDefault="00CF20FA" w:rsidP="00CF20FA">
            <w:pPr>
              <w:jc w:val="left"/>
            </w:pPr>
          </w:p>
          <w:p w:rsidR="00CF20FA" w:rsidRDefault="00CF20FA" w:rsidP="00CF20FA">
            <w:pPr>
              <w:jc w:val="left"/>
            </w:pPr>
            <w:r>
              <w:t xml:space="preserve">GOS 4 and GOS 5 states were assumed not to have ongoing costs. The ongoing annual costs (95% </w:t>
            </w:r>
            <w:proofErr w:type="spellStart"/>
            <w:r>
              <w:t>CrIs</w:t>
            </w:r>
            <w:proofErr w:type="spellEnd"/>
            <w:r>
              <w:t>) of the other states were as follows:</w:t>
            </w:r>
          </w:p>
          <w:p w:rsidR="00CF20FA" w:rsidRDefault="00CF20FA" w:rsidP="00CF20FA">
            <w:pPr>
              <w:jc w:val="left"/>
            </w:pPr>
            <w:r>
              <w:t>GOS 2: £50047 (£49645 to £50343)</w:t>
            </w:r>
          </w:p>
          <w:p w:rsidR="00CF20FA" w:rsidRPr="00532F44" w:rsidRDefault="00CF20FA" w:rsidP="00CF20FA">
            <w:pPr>
              <w:jc w:val="left"/>
            </w:pPr>
            <w:r>
              <w:t>GOS 3: £33949 (£33843 to £33969)</w:t>
            </w:r>
          </w:p>
        </w:tc>
        <w:tc>
          <w:tcPr>
            <w:tcW w:w="3969" w:type="dxa"/>
          </w:tcPr>
          <w:p w:rsidR="00B92B64" w:rsidRPr="00532F44" w:rsidRDefault="00B92B64" w:rsidP="00920A0B">
            <w:pPr>
              <w:keepNext/>
            </w:pPr>
            <w:r w:rsidRPr="00532F44">
              <w:t xml:space="preserve">NHS Reference Costs </w:t>
            </w:r>
            <w:r w:rsidR="00B54241" w:rsidRPr="00B54241">
              <w:rPr>
                <w:noProof/>
              </w:rPr>
              <w:t>[20]</w:t>
            </w:r>
          </w:p>
          <w:p w:rsidR="00B92B64" w:rsidRPr="00532F44" w:rsidRDefault="00B92B64" w:rsidP="00920A0B">
            <w:pPr>
              <w:keepNext/>
            </w:pPr>
          </w:p>
        </w:tc>
      </w:tr>
    </w:tbl>
    <w:p w:rsidR="00834F71" w:rsidRPr="00532F44" w:rsidRDefault="00834F71" w:rsidP="00834F71">
      <w:pPr>
        <w:pStyle w:val="Caption"/>
        <w:divId w:val="1548566716"/>
        <w:rPr>
          <w:color w:val="auto"/>
        </w:rPr>
      </w:pPr>
      <w:bookmarkStart w:id="6" w:name="_Ref321401422"/>
      <w:r w:rsidRPr="00532F44">
        <w:rPr>
          <w:color w:val="auto"/>
        </w:rPr>
        <w:t xml:space="preserve">Table </w:t>
      </w:r>
      <w:r w:rsidR="007946CB">
        <w:rPr>
          <w:noProof/>
          <w:color w:val="auto"/>
        </w:rPr>
        <w:t>2</w:t>
      </w:r>
      <w:bookmarkEnd w:id="6"/>
      <w:r w:rsidRPr="00532F44">
        <w:rPr>
          <w:color w:val="auto"/>
        </w:rPr>
        <w:t xml:space="preserve"> Parameters used in model</w:t>
      </w: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0111"/>
      </w:tblGrid>
      <w:tr w:rsidR="007946CB" w:rsidRPr="0031099C" w:rsidTr="00A517ED">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A517ED">
              <w:tc>
                <w:tcPr>
                  <w:tcW w:w="1806"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1133"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Average Number of Events</w:t>
                  </w:r>
                </w:p>
              </w:tc>
            </w:tr>
            <w:tr w:rsidR="007946CB" w:rsidRPr="0031099C" w:rsidTr="00A517ED">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NICH</w:t>
                  </w:r>
                </w:p>
              </w:tc>
            </w:tr>
            <w:tr w:rsidR="007946CB" w:rsidRPr="0031099C" w:rsidTr="00A517ED">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0.052</w:t>
                  </w:r>
                </w:p>
              </w:tc>
            </w:tr>
            <w:tr w:rsidR="007946CB" w:rsidRPr="0031099C" w:rsidTr="00A517ED">
              <w:tc>
                <w:tcPr>
                  <w:tcW w:w="1806"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keepNext/>
                    <w:jc w:val="right"/>
                    <w:rPr>
                      <w:rFonts w:ascii="Times New Roman" w:eastAsia="Times New Roman" w:hAnsi="Times New Roman"/>
                    </w:rPr>
                  </w:pPr>
                  <w:r w:rsidRPr="0031099C">
                    <w:t>0.079</w:t>
                  </w:r>
                </w:p>
              </w:tc>
            </w:tr>
          </w:tbl>
          <w:p w:rsidR="007946CB" w:rsidRPr="0031099C" w:rsidRDefault="007946CB" w:rsidP="00A517ED">
            <w:pPr>
              <w:pStyle w:val="Caption"/>
              <w:rPr>
                <w:color w:val="auto"/>
              </w:rPr>
            </w:pPr>
          </w:p>
        </w:tc>
      </w:tr>
      <w:tr w:rsidR="007946CB" w:rsidRPr="0031099C" w:rsidTr="00A517ED">
        <w:tc>
          <w:tcPr>
            <w:tcW w:w="10111" w:type="dxa"/>
          </w:tcPr>
          <w:p w:rsidR="007946CB" w:rsidRPr="0031099C" w:rsidRDefault="007946CB" w:rsidP="00A517ED">
            <w:pPr>
              <w:pStyle w:val="ListParagraph"/>
              <w:numPr>
                <w:ilvl w:val="0"/>
                <w:numId w:val="19"/>
              </w:numPr>
              <w:spacing w:line="240" w:lineRule="auto"/>
              <w:jc w:val="left"/>
            </w:pPr>
            <w:r w:rsidRPr="0031099C">
              <w:t>warfarin</w:t>
            </w:r>
          </w:p>
        </w:tc>
      </w:tr>
      <w:tr w:rsidR="007946CB" w:rsidRPr="0031099C" w:rsidTr="00A517ED">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7946CB" w:rsidRPr="0031099C" w:rsidTr="00A517ED">
              <w:tc>
                <w:tcPr>
                  <w:tcW w:w="1809"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Average Number of Events</w:t>
                  </w:r>
                </w:p>
              </w:tc>
            </w:tr>
            <w:tr w:rsidR="007946CB" w:rsidRPr="0031099C" w:rsidTr="00A517ED">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NICH</w:t>
                  </w:r>
                </w:p>
              </w:tc>
            </w:tr>
            <w:tr w:rsidR="007946CB" w:rsidRPr="0031099C" w:rsidTr="00A517ED">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0.066</w:t>
                  </w:r>
                </w:p>
              </w:tc>
            </w:tr>
            <w:tr w:rsidR="007946CB" w:rsidRPr="0031099C" w:rsidTr="00A517ED">
              <w:tc>
                <w:tcPr>
                  <w:tcW w:w="1809"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0.096</w:t>
                  </w:r>
                </w:p>
              </w:tc>
            </w:tr>
          </w:tbl>
          <w:p w:rsidR="007946CB" w:rsidRPr="0031099C" w:rsidRDefault="007946CB" w:rsidP="00A517ED"/>
        </w:tc>
      </w:tr>
      <w:tr w:rsidR="007946CB" w:rsidRPr="0031099C" w:rsidTr="00A517ED">
        <w:tc>
          <w:tcPr>
            <w:tcW w:w="10111" w:type="dxa"/>
          </w:tcPr>
          <w:p w:rsidR="007946CB" w:rsidRPr="0031099C" w:rsidRDefault="007946CB" w:rsidP="00A517ED">
            <w:pPr>
              <w:pStyle w:val="ListParagraph"/>
              <w:numPr>
                <w:ilvl w:val="0"/>
                <w:numId w:val="19"/>
              </w:numPr>
              <w:spacing w:line="240" w:lineRule="auto"/>
              <w:jc w:val="left"/>
            </w:pPr>
            <w:proofErr w:type="spellStart"/>
            <w:r w:rsidRPr="0031099C">
              <w:t>rivaroxaban</w:t>
            </w:r>
            <w:proofErr w:type="spellEnd"/>
          </w:p>
        </w:tc>
      </w:tr>
      <w:tr w:rsidR="007946CB" w:rsidRPr="0031099C" w:rsidTr="00A517ED">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7946CB" w:rsidRPr="0031099C" w:rsidTr="00A517ED">
              <w:tc>
                <w:tcPr>
                  <w:tcW w:w="1807"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7946CB" w:rsidRPr="0031099C" w:rsidRDefault="007946CB" w:rsidP="00A517ED">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jc w:val="center"/>
                    <w:rPr>
                      <w:rFonts w:ascii="Times New Roman" w:eastAsia="Times New Roman" w:hAnsi="Times New Roman"/>
                      <w:b/>
                      <w:i/>
                    </w:rPr>
                  </w:pPr>
                  <w:r w:rsidRPr="0031099C">
                    <w:rPr>
                      <w:b/>
                      <w:i/>
                    </w:rPr>
                    <w:t>Average Number of Events</w:t>
                  </w:r>
                </w:p>
              </w:tc>
            </w:tr>
            <w:tr w:rsidR="007946CB" w:rsidRPr="0031099C" w:rsidTr="00A517ED">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NICH</w:t>
                  </w:r>
                </w:p>
              </w:tc>
            </w:tr>
            <w:tr w:rsidR="007946CB" w:rsidRPr="0031099C" w:rsidTr="00A517ED">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0.066</w:t>
                  </w:r>
                </w:p>
              </w:tc>
            </w:tr>
            <w:tr w:rsidR="007946CB" w:rsidRPr="0031099C" w:rsidTr="00A517ED">
              <w:tc>
                <w:tcPr>
                  <w:tcW w:w="1807" w:type="dxa"/>
                  <w:tcBorders>
                    <w:top w:val="single" w:sz="4" w:space="0" w:color="auto"/>
                    <w:left w:val="single" w:sz="4" w:space="0" w:color="auto"/>
                    <w:bottom w:val="single" w:sz="4" w:space="0" w:color="auto"/>
                    <w:right w:val="single" w:sz="4" w:space="0" w:color="auto"/>
                  </w:tcBorders>
                  <w:hideMark/>
                </w:tcPr>
                <w:p w:rsidR="007946CB" w:rsidRPr="0031099C" w:rsidRDefault="007946CB" w:rsidP="00A517ED">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7946CB" w:rsidRPr="0031099C" w:rsidRDefault="007946CB" w:rsidP="00A517ED">
                  <w:pPr>
                    <w:jc w:val="right"/>
                    <w:rPr>
                      <w:rFonts w:ascii="Times New Roman" w:eastAsia="Times New Roman" w:hAnsi="Times New Roman"/>
                    </w:rPr>
                  </w:pPr>
                  <w:r w:rsidRPr="0031099C">
                    <w:t>0.097</w:t>
                  </w:r>
                </w:p>
              </w:tc>
            </w:tr>
          </w:tbl>
          <w:p w:rsidR="007946CB" w:rsidRPr="0031099C" w:rsidRDefault="007946CB" w:rsidP="00A517ED"/>
        </w:tc>
      </w:tr>
      <w:tr w:rsidR="007946CB" w:rsidRPr="0031099C" w:rsidTr="00A517ED">
        <w:tc>
          <w:tcPr>
            <w:tcW w:w="10111" w:type="dxa"/>
          </w:tcPr>
          <w:p w:rsidR="007946CB" w:rsidRPr="0031099C" w:rsidRDefault="007946CB" w:rsidP="00A517ED">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7" w:name="_Ref349291846"/>
      <w:bookmarkStart w:id="8" w:name="_Ref349294513"/>
      <w:r w:rsidRPr="00F309FB">
        <w:rPr>
          <w:color w:val="auto"/>
        </w:rPr>
        <w:t xml:space="preserve">Table </w:t>
      </w:r>
      <w:r>
        <w:rPr>
          <w:noProof/>
          <w:color w:val="auto"/>
        </w:rPr>
        <w:t>3</w:t>
      </w:r>
      <w:bookmarkEnd w:id="7"/>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8"/>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7946CB" w:rsidRDefault="007946CB" w:rsidP="007946CB">
      <w:pPr>
        <w:spacing w:line="276" w:lineRule="auto"/>
        <w:jc w:val="left"/>
        <w:rPr>
          <w:lang w:val="en-GB"/>
        </w:r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7196"/>
      </w:tblGrid>
      <w:tr w:rsidR="007946CB" w:rsidRPr="0031099C" w:rsidTr="00A517ED">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A517ED">
              <w:tc>
                <w:tcPr>
                  <w:tcW w:w="2310" w:type="dxa"/>
                </w:tcPr>
                <w:p w:rsidR="007946CB" w:rsidRPr="0031099C" w:rsidRDefault="007946CB" w:rsidP="00A517ED"/>
              </w:tc>
              <w:tc>
                <w:tcPr>
                  <w:tcW w:w="2310" w:type="dxa"/>
                </w:tcPr>
                <w:p w:rsidR="007946CB" w:rsidRPr="0031099C" w:rsidRDefault="007946CB" w:rsidP="00A517ED">
                  <w:pPr>
                    <w:rPr>
                      <w:b/>
                    </w:rPr>
                  </w:pPr>
                  <w:r w:rsidRPr="0031099C">
                    <w:rPr>
                      <w:b/>
                    </w:rPr>
                    <w:t>Mean Cost (£)</w:t>
                  </w:r>
                </w:p>
              </w:tc>
              <w:tc>
                <w:tcPr>
                  <w:tcW w:w="2311" w:type="dxa"/>
                </w:tcPr>
                <w:p w:rsidR="007946CB" w:rsidRPr="0031099C" w:rsidRDefault="007946CB" w:rsidP="00A517ED">
                  <w:pPr>
                    <w:rPr>
                      <w:b/>
                    </w:rPr>
                  </w:pPr>
                  <w:r w:rsidRPr="0031099C">
                    <w:rPr>
                      <w:b/>
                    </w:rPr>
                    <w:t>Mean QALY</w:t>
                  </w:r>
                </w:p>
              </w:tc>
            </w:tr>
            <w:tr w:rsidR="007946CB" w:rsidRPr="0031099C" w:rsidTr="00A517ED">
              <w:tc>
                <w:tcPr>
                  <w:tcW w:w="2310" w:type="dxa"/>
                </w:tcPr>
                <w:p w:rsidR="007946CB" w:rsidRPr="0031099C" w:rsidRDefault="007946CB" w:rsidP="00A517ED">
                  <w:pPr>
                    <w:rPr>
                      <w:b/>
                    </w:rPr>
                  </w:pPr>
                  <w:r w:rsidRPr="0031099C">
                    <w:rPr>
                      <w:b/>
                    </w:rPr>
                    <w:t>Without TTE</w:t>
                  </w:r>
                </w:p>
              </w:tc>
              <w:tc>
                <w:tcPr>
                  <w:tcW w:w="2310" w:type="dxa"/>
                </w:tcPr>
                <w:p w:rsidR="007946CB" w:rsidRPr="0031099C" w:rsidRDefault="007946CB" w:rsidP="00A517ED">
                  <w:r w:rsidRPr="0031099C">
                    <w:t>1 974</w:t>
                  </w:r>
                </w:p>
              </w:tc>
              <w:tc>
                <w:tcPr>
                  <w:tcW w:w="2311" w:type="dxa"/>
                </w:tcPr>
                <w:p w:rsidR="007946CB" w:rsidRPr="0031099C" w:rsidRDefault="007946CB" w:rsidP="00A517ED">
                  <w:r w:rsidRPr="0031099C">
                    <w:t>9.94</w:t>
                  </w:r>
                </w:p>
              </w:tc>
            </w:tr>
            <w:tr w:rsidR="007946CB" w:rsidRPr="0031099C" w:rsidTr="00A517ED">
              <w:tc>
                <w:tcPr>
                  <w:tcW w:w="2310" w:type="dxa"/>
                </w:tcPr>
                <w:p w:rsidR="007946CB" w:rsidRPr="0031099C" w:rsidRDefault="007946CB" w:rsidP="00A517ED">
                  <w:pPr>
                    <w:rPr>
                      <w:b/>
                    </w:rPr>
                  </w:pPr>
                  <w:r w:rsidRPr="0031099C">
                    <w:rPr>
                      <w:b/>
                    </w:rPr>
                    <w:t>With TTE</w:t>
                  </w:r>
                </w:p>
              </w:tc>
              <w:tc>
                <w:tcPr>
                  <w:tcW w:w="2310" w:type="dxa"/>
                </w:tcPr>
                <w:p w:rsidR="007946CB" w:rsidRPr="0031099C" w:rsidRDefault="007946CB" w:rsidP="00A517ED">
                  <w:r w:rsidRPr="0031099C">
                    <w:t>3 106</w:t>
                  </w:r>
                </w:p>
              </w:tc>
              <w:tc>
                <w:tcPr>
                  <w:tcW w:w="2311" w:type="dxa"/>
                </w:tcPr>
                <w:p w:rsidR="007946CB" w:rsidRPr="0031099C" w:rsidRDefault="007946CB" w:rsidP="00A517ED">
                  <w:r w:rsidRPr="0031099C">
                    <w:t>9.97</w:t>
                  </w:r>
                </w:p>
              </w:tc>
            </w:tr>
            <w:tr w:rsidR="007946CB" w:rsidRPr="0031099C" w:rsidTr="00A517ED">
              <w:tc>
                <w:tcPr>
                  <w:tcW w:w="2310" w:type="dxa"/>
                </w:tcPr>
                <w:p w:rsidR="007946CB" w:rsidRPr="0031099C" w:rsidRDefault="007946CB" w:rsidP="00A517ED">
                  <w:r w:rsidRPr="0031099C">
                    <w:t xml:space="preserve">ICER (95% </w:t>
                  </w:r>
                  <w:proofErr w:type="spellStart"/>
                  <w:r w:rsidRPr="0031099C">
                    <w:t>CrIs</w:t>
                  </w:r>
                  <w:proofErr w:type="spellEnd"/>
                  <w:r w:rsidRPr="0031099C">
                    <w:t>)</w:t>
                  </w:r>
                </w:p>
              </w:tc>
              <w:tc>
                <w:tcPr>
                  <w:tcW w:w="4621" w:type="dxa"/>
                  <w:gridSpan w:val="2"/>
                </w:tcPr>
                <w:p w:rsidR="007946CB" w:rsidRPr="0031099C" w:rsidRDefault="007946CB" w:rsidP="00A517ED">
                  <w:r w:rsidRPr="0031099C">
                    <w:t>39 569 (39 374 to 39 839) £/QALY</w:t>
                  </w:r>
                </w:p>
              </w:tc>
            </w:tr>
          </w:tbl>
          <w:p w:rsidR="007946CB" w:rsidRPr="0031099C" w:rsidRDefault="007946CB" w:rsidP="00A517ED"/>
        </w:tc>
      </w:tr>
      <w:tr w:rsidR="007946CB" w:rsidRPr="0031099C" w:rsidTr="00A517ED">
        <w:tc>
          <w:tcPr>
            <w:tcW w:w="7196" w:type="dxa"/>
          </w:tcPr>
          <w:p w:rsidR="007946CB" w:rsidRPr="0031099C" w:rsidRDefault="007946CB" w:rsidP="00A517ED">
            <w:pPr>
              <w:pStyle w:val="ListParagraph"/>
              <w:numPr>
                <w:ilvl w:val="0"/>
                <w:numId w:val="24"/>
              </w:numPr>
              <w:spacing w:line="240" w:lineRule="auto"/>
              <w:jc w:val="left"/>
            </w:pPr>
            <w:r w:rsidRPr="0031099C">
              <w:t>warfarin</w:t>
            </w:r>
          </w:p>
        </w:tc>
      </w:tr>
      <w:tr w:rsidR="007946CB" w:rsidRPr="0031099C" w:rsidTr="00A517ED">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A517ED">
              <w:tc>
                <w:tcPr>
                  <w:tcW w:w="2310" w:type="dxa"/>
                </w:tcPr>
                <w:p w:rsidR="007946CB" w:rsidRPr="0031099C" w:rsidRDefault="007946CB" w:rsidP="00A517ED"/>
              </w:tc>
              <w:tc>
                <w:tcPr>
                  <w:tcW w:w="2310" w:type="dxa"/>
                </w:tcPr>
                <w:p w:rsidR="007946CB" w:rsidRPr="0031099C" w:rsidRDefault="007946CB" w:rsidP="00A517ED">
                  <w:pPr>
                    <w:rPr>
                      <w:b/>
                    </w:rPr>
                  </w:pPr>
                  <w:r w:rsidRPr="0031099C">
                    <w:rPr>
                      <w:b/>
                    </w:rPr>
                    <w:t>Mean Cost (£)</w:t>
                  </w:r>
                </w:p>
              </w:tc>
              <w:tc>
                <w:tcPr>
                  <w:tcW w:w="2311" w:type="dxa"/>
                </w:tcPr>
                <w:p w:rsidR="007946CB" w:rsidRPr="0031099C" w:rsidRDefault="007946CB" w:rsidP="00A517ED">
                  <w:pPr>
                    <w:rPr>
                      <w:b/>
                    </w:rPr>
                  </w:pPr>
                  <w:r w:rsidRPr="0031099C">
                    <w:rPr>
                      <w:b/>
                    </w:rPr>
                    <w:t>Mean QALY</w:t>
                  </w:r>
                </w:p>
              </w:tc>
            </w:tr>
            <w:tr w:rsidR="007946CB" w:rsidRPr="0031099C" w:rsidTr="00A517ED">
              <w:tc>
                <w:tcPr>
                  <w:tcW w:w="2310" w:type="dxa"/>
                </w:tcPr>
                <w:p w:rsidR="007946CB" w:rsidRPr="0031099C" w:rsidRDefault="007946CB" w:rsidP="00A517ED">
                  <w:pPr>
                    <w:rPr>
                      <w:b/>
                    </w:rPr>
                  </w:pPr>
                  <w:r w:rsidRPr="0031099C">
                    <w:rPr>
                      <w:b/>
                    </w:rPr>
                    <w:t>Without TTE</w:t>
                  </w:r>
                </w:p>
              </w:tc>
              <w:tc>
                <w:tcPr>
                  <w:tcW w:w="2310" w:type="dxa"/>
                </w:tcPr>
                <w:p w:rsidR="007946CB" w:rsidRPr="0031099C" w:rsidRDefault="007946CB" w:rsidP="00A517ED">
                  <w:r w:rsidRPr="0031099C">
                    <w:t>1 955</w:t>
                  </w:r>
                </w:p>
              </w:tc>
              <w:tc>
                <w:tcPr>
                  <w:tcW w:w="2311" w:type="dxa"/>
                </w:tcPr>
                <w:p w:rsidR="007946CB" w:rsidRPr="0031099C" w:rsidRDefault="007946CB" w:rsidP="00A517ED">
                  <w:r w:rsidRPr="0031099C">
                    <w:t>9.95</w:t>
                  </w:r>
                </w:p>
              </w:tc>
            </w:tr>
            <w:tr w:rsidR="007946CB" w:rsidRPr="0031099C" w:rsidTr="00A517ED">
              <w:tc>
                <w:tcPr>
                  <w:tcW w:w="2310" w:type="dxa"/>
                </w:tcPr>
                <w:p w:rsidR="007946CB" w:rsidRPr="0031099C" w:rsidRDefault="007946CB" w:rsidP="00A517ED">
                  <w:pPr>
                    <w:rPr>
                      <w:b/>
                    </w:rPr>
                  </w:pPr>
                  <w:r w:rsidRPr="0031099C">
                    <w:rPr>
                      <w:b/>
                    </w:rPr>
                    <w:t>With TTE</w:t>
                  </w:r>
                </w:p>
              </w:tc>
              <w:tc>
                <w:tcPr>
                  <w:tcW w:w="2310" w:type="dxa"/>
                </w:tcPr>
                <w:p w:rsidR="007946CB" w:rsidRPr="0031099C" w:rsidRDefault="007946CB" w:rsidP="00A517ED">
                  <w:r w:rsidRPr="0031099C">
                    <w:t>3 039</w:t>
                  </w:r>
                </w:p>
              </w:tc>
              <w:tc>
                <w:tcPr>
                  <w:tcW w:w="2311" w:type="dxa"/>
                </w:tcPr>
                <w:p w:rsidR="007946CB" w:rsidRPr="0031099C" w:rsidRDefault="007946CB" w:rsidP="00A517ED">
                  <w:r w:rsidRPr="0031099C">
                    <w:t>9.99</w:t>
                  </w:r>
                </w:p>
              </w:tc>
            </w:tr>
            <w:tr w:rsidR="007946CB" w:rsidRPr="0031099C" w:rsidTr="00A517ED">
              <w:tc>
                <w:tcPr>
                  <w:tcW w:w="2310" w:type="dxa"/>
                </w:tcPr>
                <w:p w:rsidR="007946CB" w:rsidRPr="0031099C" w:rsidRDefault="007946CB" w:rsidP="00A517ED">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A517ED">
                  <w:r w:rsidRPr="0031099C">
                    <w:t>22 751 (22 681 to 22 844) £/QALY</w:t>
                  </w:r>
                </w:p>
              </w:tc>
            </w:tr>
          </w:tbl>
          <w:p w:rsidR="007946CB" w:rsidRPr="0031099C" w:rsidRDefault="007946CB" w:rsidP="00A517ED"/>
        </w:tc>
      </w:tr>
      <w:tr w:rsidR="007946CB" w:rsidRPr="0031099C" w:rsidTr="00A517ED">
        <w:tc>
          <w:tcPr>
            <w:tcW w:w="7196" w:type="dxa"/>
          </w:tcPr>
          <w:p w:rsidR="007946CB" w:rsidRPr="0031099C" w:rsidRDefault="007946CB" w:rsidP="00A517ED">
            <w:pPr>
              <w:pStyle w:val="ListParagraph"/>
              <w:numPr>
                <w:ilvl w:val="0"/>
                <w:numId w:val="24"/>
              </w:numPr>
              <w:spacing w:line="240" w:lineRule="auto"/>
              <w:jc w:val="left"/>
            </w:pPr>
            <w:proofErr w:type="spellStart"/>
            <w:r w:rsidRPr="0031099C">
              <w:t>rivaroxaban</w:t>
            </w:r>
            <w:proofErr w:type="spellEnd"/>
          </w:p>
        </w:tc>
      </w:tr>
      <w:tr w:rsidR="007946CB" w:rsidRPr="0031099C" w:rsidTr="00A517ED">
        <w:tc>
          <w:tcPr>
            <w:tcW w:w="7196" w:type="dxa"/>
          </w:tcPr>
          <w:tbl>
            <w:tblPr>
              <w:tblStyle w:val="TableGrid"/>
              <w:tblW w:w="0" w:type="auto"/>
              <w:tblLook w:val="04A0" w:firstRow="1" w:lastRow="0" w:firstColumn="1" w:lastColumn="0" w:noHBand="0" w:noVBand="1"/>
            </w:tblPr>
            <w:tblGrid>
              <w:gridCol w:w="2310"/>
              <w:gridCol w:w="2310"/>
              <w:gridCol w:w="2311"/>
            </w:tblGrid>
            <w:tr w:rsidR="007946CB" w:rsidRPr="0031099C" w:rsidTr="00A517ED">
              <w:tc>
                <w:tcPr>
                  <w:tcW w:w="2310" w:type="dxa"/>
                </w:tcPr>
                <w:p w:rsidR="007946CB" w:rsidRPr="0031099C" w:rsidRDefault="007946CB" w:rsidP="00A517ED"/>
              </w:tc>
              <w:tc>
                <w:tcPr>
                  <w:tcW w:w="2310" w:type="dxa"/>
                </w:tcPr>
                <w:p w:rsidR="007946CB" w:rsidRPr="0031099C" w:rsidRDefault="007946CB" w:rsidP="00A517ED">
                  <w:pPr>
                    <w:rPr>
                      <w:b/>
                    </w:rPr>
                  </w:pPr>
                  <w:r w:rsidRPr="0031099C">
                    <w:rPr>
                      <w:b/>
                    </w:rPr>
                    <w:t>Mean Cost (£)</w:t>
                  </w:r>
                </w:p>
              </w:tc>
              <w:tc>
                <w:tcPr>
                  <w:tcW w:w="2311" w:type="dxa"/>
                </w:tcPr>
                <w:p w:rsidR="007946CB" w:rsidRPr="0031099C" w:rsidRDefault="007946CB" w:rsidP="00A517ED">
                  <w:pPr>
                    <w:rPr>
                      <w:b/>
                    </w:rPr>
                  </w:pPr>
                  <w:r w:rsidRPr="0031099C">
                    <w:rPr>
                      <w:b/>
                    </w:rPr>
                    <w:t>Mean QALY</w:t>
                  </w:r>
                </w:p>
              </w:tc>
            </w:tr>
            <w:tr w:rsidR="007946CB" w:rsidRPr="0031099C" w:rsidTr="00A517ED">
              <w:tc>
                <w:tcPr>
                  <w:tcW w:w="2310" w:type="dxa"/>
                </w:tcPr>
                <w:p w:rsidR="007946CB" w:rsidRPr="0031099C" w:rsidRDefault="007946CB" w:rsidP="00A517ED">
                  <w:pPr>
                    <w:rPr>
                      <w:b/>
                    </w:rPr>
                  </w:pPr>
                  <w:r w:rsidRPr="0031099C">
                    <w:rPr>
                      <w:b/>
                    </w:rPr>
                    <w:t>Without TTE</w:t>
                  </w:r>
                </w:p>
              </w:tc>
              <w:tc>
                <w:tcPr>
                  <w:tcW w:w="2310" w:type="dxa"/>
                </w:tcPr>
                <w:p w:rsidR="007946CB" w:rsidRPr="0031099C" w:rsidRDefault="007946CB" w:rsidP="00A517ED">
                  <w:r w:rsidRPr="0031099C">
                    <w:t>1 942</w:t>
                  </w:r>
                </w:p>
              </w:tc>
              <w:tc>
                <w:tcPr>
                  <w:tcW w:w="2311" w:type="dxa"/>
                </w:tcPr>
                <w:p w:rsidR="007946CB" w:rsidRPr="0031099C" w:rsidRDefault="007946CB" w:rsidP="00A517ED">
                  <w:r w:rsidRPr="0031099C">
                    <w:t>9.95</w:t>
                  </w:r>
                </w:p>
              </w:tc>
            </w:tr>
            <w:tr w:rsidR="007946CB" w:rsidRPr="0031099C" w:rsidTr="00A517ED">
              <w:tc>
                <w:tcPr>
                  <w:tcW w:w="2310" w:type="dxa"/>
                </w:tcPr>
                <w:p w:rsidR="007946CB" w:rsidRPr="0031099C" w:rsidRDefault="007946CB" w:rsidP="00A517ED">
                  <w:pPr>
                    <w:rPr>
                      <w:b/>
                    </w:rPr>
                  </w:pPr>
                  <w:r w:rsidRPr="0031099C">
                    <w:rPr>
                      <w:b/>
                    </w:rPr>
                    <w:t>With TTE</w:t>
                  </w:r>
                </w:p>
              </w:tc>
              <w:tc>
                <w:tcPr>
                  <w:tcW w:w="2310" w:type="dxa"/>
                </w:tcPr>
                <w:p w:rsidR="007946CB" w:rsidRPr="0031099C" w:rsidRDefault="007946CB" w:rsidP="00A517ED">
                  <w:r w:rsidRPr="0031099C">
                    <w:t>2 946</w:t>
                  </w:r>
                </w:p>
              </w:tc>
              <w:tc>
                <w:tcPr>
                  <w:tcW w:w="2311" w:type="dxa"/>
                </w:tcPr>
                <w:p w:rsidR="007946CB" w:rsidRPr="0031099C" w:rsidRDefault="007946CB" w:rsidP="00A517ED">
                  <w:r w:rsidRPr="0031099C">
                    <w:t>10.01</w:t>
                  </w:r>
                </w:p>
              </w:tc>
            </w:tr>
            <w:tr w:rsidR="007946CB" w:rsidRPr="0031099C" w:rsidTr="00A517ED">
              <w:tc>
                <w:tcPr>
                  <w:tcW w:w="2310" w:type="dxa"/>
                </w:tcPr>
                <w:p w:rsidR="007946CB" w:rsidRPr="0031099C" w:rsidRDefault="007946CB" w:rsidP="00A517ED">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7946CB" w:rsidRPr="0031099C" w:rsidRDefault="007946CB" w:rsidP="00A517ED">
                  <w:r w:rsidRPr="0031099C">
                    <w:t>12 314 (12 290 to 12 348)  £/QALY</w:t>
                  </w:r>
                </w:p>
              </w:tc>
            </w:tr>
          </w:tbl>
          <w:p w:rsidR="007946CB" w:rsidRPr="0031099C" w:rsidRDefault="007946CB" w:rsidP="00A517ED"/>
        </w:tc>
      </w:tr>
      <w:tr w:rsidR="007946CB" w:rsidRPr="0031099C" w:rsidTr="00A517ED">
        <w:tc>
          <w:tcPr>
            <w:tcW w:w="7196" w:type="dxa"/>
          </w:tcPr>
          <w:p w:rsidR="007946CB" w:rsidRPr="0031099C" w:rsidRDefault="007946CB" w:rsidP="00A517ED">
            <w:pPr>
              <w:pStyle w:val="ListParagraph"/>
              <w:keepNext/>
              <w:numPr>
                <w:ilvl w:val="0"/>
                <w:numId w:val="24"/>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9" w:name="_Ref349292124"/>
      <w:r w:rsidRPr="00F309FB">
        <w:rPr>
          <w:color w:val="auto"/>
        </w:rPr>
        <w:t xml:space="preserve">Table </w:t>
      </w:r>
      <w:r>
        <w:rPr>
          <w:noProof/>
          <w:color w:val="auto"/>
        </w:rPr>
        <w:t>4</w:t>
      </w:r>
      <w:bookmarkEnd w:id="9"/>
      <w:r w:rsidRPr="00F309FB">
        <w:rPr>
          <w:color w:val="auto"/>
        </w:rPr>
        <w:t xml:space="preserve"> Estimated mean costs and mean QALYs of using or not using TTE to make the decision to prescribe </w:t>
      </w:r>
      <w:proofErr w:type="gramStart"/>
      <w:r w:rsidRPr="00F309FB">
        <w:rPr>
          <w:color w:val="auto"/>
        </w:rPr>
        <w:t>either a) warfarin</w:t>
      </w:r>
      <w:proofErr w:type="gramEnd"/>
      <w:r w:rsidRPr="00F309FB">
        <w:rPr>
          <w:color w:val="auto"/>
        </w:rPr>
        <w:t xml:space="preserve">, b) </w:t>
      </w:r>
      <w:proofErr w:type="spellStart"/>
      <w:r w:rsidRPr="00F309FB">
        <w:rPr>
          <w:color w:val="auto"/>
        </w:rPr>
        <w:t>rivaroxaban</w:t>
      </w:r>
      <w:proofErr w:type="spellEnd"/>
      <w:r w:rsidRPr="00F309FB">
        <w:rPr>
          <w:color w:val="auto"/>
        </w:rPr>
        <w:t xml:space="preserve">, or c) </w:t>
      </w:r>
      <w:proofErr w:type="spellStart"/>
      <w:r w:rsidRPr="00F309FB">
        <w:rPr>
          <w:color w:val="auto"/>
        </w:rPr>
        <w:t>dabigatran</w:t>
      </w:r>
      <w:proofErr w:type="spellEnd"/>
      <w:r w:rsidRPr="00F309FB">
        <w:rPr>
          <w:color w:val="auto"/>
        </w:rPr>
        <w:t xml:space="preserve"> for 65 year old females with an initial CHADS</w:t>
      </w:r>
      <w:r w:rsidRPr="007946CB">
        <w:rPr>
          <w:color w:val="auto"/>
          <w:vertAlign w:val="subscript"/>
        </w:rPr>
        <w:t>2</w:t>
      </w:r>
      <w:r w:rsidRPr="00F309FB">
        <w:rPr>
          <w:color w:val="auto"/>
        </w:rPr>
        <w:t xml:space="preserve"> score of zero. ICER: incremental cost effectiveness</w:t>
      </w:r>
      <w:r>
        <w:rPr>
          <w:color w:val="auto"/>
        </w:rPr>
        <w:t xml:space="preserve"> ratio</w:t>
      </w:r>
      <w:r w:rsidRPr="00F309FB">
        <w:rPr>
          <w:color w:val="auto"/>
        </w:rPr>
        <w:t>.</w:t>
      </w:r>
      <w:r>
        <w:rPr>
          <w:color w:val="auto"/>
        </w:rPr>
        <w:t xml:space="preserve"> QALY: Quality adjusted life year</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10" w:name="_Ref345417087"/>
      <w:bookmarkStart w:id="11" w:name="_Ref335131627"/>
      <w:r w:rsidRPr="0031099C">
        <w:rPr>
          <w:color w:val="auto"/>
        </w:rPr>
        <w:lastRenderedPageBreak/>
        <w:t xml:space="preserve">Figure </w:t>
      </w:r>
      <w:r w:rsidR="007946CB">
        <w:rPr>
          <w:noProof/>
          <w:color w:val="auto"/>
        </w:rPr>
        <w:t>2</w:t>
      </w:r>
      <w:bookmarkEnd w:id="10"/>
      <w:r w:rsidRPr="0031099C">
        <w:rPr>
          <w:color w:val="auto"/>
        </w:rPr>
        <w:t xml:space="preserve"> </w:t>
      </w:r>
      <w:bookmarkEnd w:id="11"/>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161B63B2" wp14:editId="33CC5950">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418B2E00" wp14:editId="13708AF9">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5F90252F" wp14:editId="37EF54CA">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2" w:name="_Ref335141468"/>
      <w:r w:rsidRPr="0031099C">
        <w:rPr>
          <w:color w:val="auto"/>
        </w:rPr>
        <w:lastRenderedPageBreak/>
        <w:t xml:space="preserve">Table </w:t>
      </w:r>
      <w:r w:rsidR="007946CB">
        <w:rPr>
          <w:noProof/>
          <w:color w:val="auto"/>
        </w:rPr>
        <w:t>5</w:t>
      </w:r>
      <w:bookmarkEnd w:id="12"/>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3" w:name="_Ref335142114"/>
      <w:proofErr w:type="gramStart"/>
      <w:r w:rsidRPr="0031099C">
        <w:rPr>
          <w:color w:val="auto"/>
        </w:rPr>
        <w:lastRenderedPageBreak/>
        <w:t xml:space="preserve">Table </w:t>
      </w:r>
      <w:r w:rsidR="007946CB">
        <w:rPr>
          <w:noProof/>
          <w:color w:val="auto"/>
        </w:rPr>
        <w:t>6</w:t>
      </w:r>
      <w:bookmarkEnd w:id="13"/>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6E20FD" w:rsidRPr="0031099C" w:rsidRDefault="006E20FD">
      <w:pPr>
        <w:spacing w:line="276" w:lineRule="auto"/>
        <w:jc w:val="left"/>
        <w:rPr>
          <w:lang w:val="en-GB"/>
        </w:rPr>
      </w:pPr>
      <w:r w:rsidRPr="0031099C">
        <w:rPr>
          <w:lang w:val="en-GB"/>
        </w:rPr>
        <w:br w:type="page"/>
      </w:r>
    </w:p>
    <w:p w:rsidR="006E20FD" w:rsidRPr="0031099C" w:rsidRDefault="006E20FD" w:rsidP="006E20FD">
      <w:pPr>
        <w:pStyle w:val="Heading1"/>
        <w:divId w:val="1548566716"/>
        <w:rPr>
          <w:lang w:val="en-GB"/>
        </w:rPr>
      </w:pPr>
      <w:r w:rsidRPr="0031099C">
        <w:rPr>
          <w:lang w:val="en-GB"/>
        </w:rPr>
        <w:lastRenderedPageBreak/>
        <w:t>Appendix</w:t>
      </w:r>
    </w:p>
    <w:p w:rsidR="006E20FD" w:rsidRPr="0031099C" w:rsidRDefault="006E20FD" w:rsidP="006E20FD">
      <w:pPr>
        <w:pStyle w:val="Heading2"/>
        <w:divId w:val="1548566716"/>
        <w:rPr>
          <w:lang w:val="en-GB"/>
        </w:rPr>
      </w:pPr>
      <w:r w:rsidRPr="0031099C">
        <w:rPr>
          <w:lang w:val="en-GB"/>
        </w:rPr>
        <w:t>Sensitivity and Specificity tables</w:t>
      </w:r>
    </w:p>
    <w:tbl>
      <w:tblPr>
        <w:tblStyle w:val="TableGrid"/>
        <w:tblW w:w="0" w:type="auto"/>
        <w:tblLook w:val="04A0" w:firstRow="1" w:lastRow="0" w:firstColumn="1" w:lastColumn="0" w:noHBand="0" w:noVBand="1"/>
      </w:tblPr>
      <w:tblGrid>
        <w:gridCol w:w="7905"/>
      </w:tblGrid>
      <w:tr w:rsidR="004B4D95" w:rsidRPr="0031099C" w:rsidTr="006E20FD">
        <w:trPr>
          <w:divId w:val="1548566716"/>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divId w:val="1548566716"/>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divId w:val="1548566716"/>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Pr>
        <w:tc>
          <w:tcPr>
            <w:tcW w:w="8046" w:type="dxa"/>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divId w:val="1548566716"/>
          <w:trHeight w:val="151"/>
        </w:trPr>
        <w:tc>
          <w:tcPr>
            <w:tcW w:w="8046" w:type="dxa"/>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divId w:val="1548566716"/>
          <w:trHeight w:val="117"/>
        </w:trPr>
        <w:tc>
          <w:tcPr>
            <w:tcW w:w="8046" w:type="dxa"/>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divId w:val="1548566716"/>
          <w:trHeight w:val="118"/>
        </w:trPr>
        <w:tc>
          <w:tcPr>
            <w:tcW w:w="8046" w:type="dxa"/>
          </w:tcPr>
          <w:p w:rsidR="006E20FD" w:rsidRPr="0031099C" w:rsidRDefault="006E20FD" w:rsidP="006E20FD">
            <w:pPr>
              <w:pStyle w:val="ListParagraph"/>
              <w:numPr>
                <w:ilvl w:val="0"/>
                <w:numId w:val="17"/>
              </w:numPr>
              <w:spacing w:line="240" w:lineRule="auto"/>
              <w:jc w:val="center"/>
            </w:pPr>
            <w:r w:rsidRPr="0031099C">
              <w:t>R_50_0_M</w:t>
            </w:r>
          </w:p>
        </w:tc>
      </w:tr>
    </w:tbl>
    <w:p w:rsidR="006E20FD" w:rsidRPr="0031099C" w:rsidRDefault="006E20FD" w:rsidP="006E20FD">
      <w:pPr>
        <w:divId w:val="1548566716"/>
      </w:pP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7"/>
        </w:trPr>
        <w:tc>
          <w:tcPr>
            <w:tcW w:w="9242" w:type="dxa"/>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br w:type="page"/>
                  </w: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tcPr>
          <w:p w:rsidR="006E20FD" w:rsidRPr="0031099C" w:rsidRDefault="006E20FD" w:rsidP="006E20FD">
            <w:pPr>
              <w:pStyle w:val="ListParagraph"/>
              <w:numPr>
                <w:ilvl w:val="0"/>
                <w:numId w:val="17"/>
              </w:numPr>
              <w:spacing w:line="240" w:lineRule="auto"/>
              <w:jc w:val="center"/>
            </w:pPr>
            <w:r w:rsidRPr="0031099C">
              <w:t>R_65_0_M</w:t>
            </w:r>
          </w:p>
        </w:tc>
      </w:tr>
      <w:tr w:rsidR="006E20FD" w:rsidRPr="0031099C" w:rsidTr="006E20FD">
        <w:trPr>
          <w:divId w:val="1548566716"/>
          <w:trHeight w:val="118"/>
        </w:trPr>
        <w:tc>
          <w:tcPr>
            <w:tcW w:w="9242" w:type="dxa"/>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lastRenderedPageBreak/>
              <w:t>D_65_0_F</w:t>
            </w:r>
          </w:p>
        </w:tc>
      </w:tr>
    </w:tbl>
    <w:p w:rsidR="006E20FD" w:rsidRPr="0031099C" w:rsidRDefault="006E20FD">
      <w:pPr>
        <w:spacing w:line="276" w:lineRule="auto"/>
        <w:jc w:val="left"/>
        <w:rPr>
          <w:lang w:val="en-GB"/>
        </w:rPr>
      </w:pPr>
    </w:p>
    <w:p w:rsidR="006E20FD" w:rsidRPr="0031099C" w:rsidRDefault="006E20FD">
      <w:pPr>
        <w:spacing w:line="276" w:lineRule="auto"/>
        <w:jc w:val="left"/>
        <w:rPr>
          <w:lang w:val="en-GB"/>
        </w:rPr>
        <w:sectPr w:rsidR="006E20FD" w:rsidRPr="0031099C" w:rsidSect="006D0808">
          <w:pgSz w:w="11906" w:h="16838"/>
          <w:pgMar w:top="1440" w:right="1440" w:bottom="1440" w:left="1440" w:header="709" w:footer="709" w:gutter="0"/>
          <w:cols w:space="708"/>
          <w:docGrid w:linePitch="360"/>
        </w:sectPr>
      </w:pPr>
    </w:p>
    <w:tbl>
      <w:tblPr>
        <w:tblStyle w:val="TableGrid"/>
        <w:tblW w:w="13396" w:type="dxa"/>
        <w:tblInd w:w="11"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Average Number of Events</w:t>
            </w:r>
          </w:p>
        </w:tc>
      </w:tr>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NICH</w:t>
            </w:r>
          </w:p>
        </w:tc>
      </w:tr>
      <w:tr w:rsidR="00770134" w:rsidRPr="0031099C" w:rsidTr="00421B11">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770134">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770134">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0.075</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0.112</w:t>
            </w:r>
          </w:p>
        </w:tc>
      </w:tr>
      <w:tr w:rsidR="00770134" w:rsidRPr="0031099C" w:rsidTr="00421B11">
        <w:trPr>
          <w:divId w:val="1548566716"/>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770134" w:rsidRPr="0031099C" w:rsidTr="00421B11">
        <w:trPr>
          <w:divId w:val="1548566716"/>
          <w:trHeight w:val="329"/>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0.052</w:t>
            </w:r>
          </w:p>
        </w:tc>
      </w:tr>
      <w:tr w:rsidR="00770134" w:rsidRPr="0031099C" w:rsidTr="00421B11">
        <w:trPr>
          <w:divId w:val="1548566716"/>
          <w:trHeight w:val="235"/>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0.079</w:t>
            </w:r>
          </w:p>
        </w:tc>
      </w:tr>
      <w:tr w:rsidR="00770134" w:rsidRPr="0031099C" w:rsidTr="00421B11">
        <w:trPr>
          <w:divId w:val="1548566716"/>
          <w:trHeight w:val="20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770134">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0.065</w:t>
            </w:r>
          </w:p>
        </w:tc>
      </w:tr>
      <w:tr w:rsidR="00770134" w:rsidRPr="0031099C" w:rsidTr="00421B11">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0.095</w:t>
            </w:r>
          </w:p>
        </w:tc>
      </w:tr>
      <w:tr w:rsidR="00770134" w:rsidRPr="0031099C" w:rsidTr="00421B11">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421B11">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0.075</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0.113</w:t>
            </w:r>
          </w:p>
        </w:tc>
      </w:tr>
      <w:tr w:rsidR="00770134" w:rsidRPr="0031099C" w:rsidTr="00421B11">
        <w:trPr>
          <w:divId w:val="1548566716"/>
          <w:trHeight w:val="35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421B11" w:rsidRPr="0031099C" w:rsidTr="00421B11">
        <w:trPr>
          <w:divId w:val="1548566716"/>
          <w:trHeight w:val="330"/>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0.052</w:t>
            </w:r>
          </w:p>
        </w:tc>
      </w:tr>
      <w:tr w:rsidR="00421B11" w:rsidRPr="0031099C" w:rsidTr="00421B11">
        <w:trPr>
          <w:divId w:val="1548566716"/>
          <w:trHeight w:val="385"/>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0.080</w:t>
            </w:r>
          </w:p>
        </w:tc>
      </w:tr>
      <w:tr w:rsidR="00421B11" w:rsidRPr="0031099C" w:rsidTr="00421B11">
        <w:trPr>
          <w:divId w:val="1548566716"/>
          <w:trHeight w:val="201"/>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0.066</w:t>
            </w:r>
          </w:p>
        </w:tc>
      </w:tr>
      <w:tr w:rsidR="00421B11" w:rsidRPr="0031099C" w:rsidTr="009764E6">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0.096</w:t>
            </w:r>
          </w:p>
        </w:tc>
      </w:tr>
      <w:tr w:rsidR="00421B11" w:rsidRPr="0031099C" w:rsidTr="00421B11">
        <w:trPr>
          <w:divId w:val="1548566716"/>
          <w:trHeight w:val="201"/>
        </w:trPr>
        <w:tc>
          <w:tcPr>
            <w:tcW w:w="1254" w:type="dxa"/>
            <w:vMerge w:val="restart"/>
            <w:tcBorders>
              <w:top w:val="nil"/>
              <w:left w:val="single" w:sz="4" w:space="0" w:color="auto"/>
              <w:right w:val="single" w:sz="4" w:space="0" w:color="auto"/>
            </w:tcBorders>
          </w:tcPr>
          <w:p w:rsidR="00421B11" w:rsidRDefault="00421B11" w:rsidP="00145CDA">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0.053</w:t>
            </w:r>
          </w:p>
        </w:tc>
      </w:tr>
      <w:tr w:rsidR="00421B11" w:rsidRPr="0031099C" w:rsidTr="00421B11">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145CDA">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r>
    </w:tbl>
    <w:p w:rsidR="00421B11" w:rsidRDefault="00421B11">
      <w:pPr>
        <w:divId w:val="1548566716"/>
      </w:pPr>
    </w:p>
    <w:p w:rsidR="006E20FD" w:rsidRPr="0031099C" w:rsidRDefault="006E20FD" w:rsidP="006E20FD">
      <w:pPr>
        <w:divId w:val="1548566716"/>
      </w:pP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527E8356" wp14:editId="5A814924">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2CDFCE2F" wp14:editId="20F5AE54">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9F5199" w:rsidP="006E20FD">
      <w:pPr>
        <w:divId w:val="1548566716"/>
      </w:pP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6E20FD"/>
        </w:tc>
      </w:tr>
    </w:tbl>
    <w:p w:rsidR="003D01CF" w:rsidRPr="0031099C" w:rsidRDefault="003D01CF" w:rsidP="006E20FD">
      <w:pPr>
        <w:divId w:val="1548566716"/>
      </w:pPr>
    </w:p>
    <w:p w:rsidR="00ED0A41" w:rsidRPr="0031099C" w:rsidRDefault="00ED0A41" w:rsidP="006E20FD">
      <w:pPr>
        <w:divId w:val="1548566716"/>
      </w:pPr>
    </w:p>
    <w:sectPr w:rsidR="00ED0A41" w:rsidRPr="0031099C" w:rsidSect="002A2B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145" w:rsidRDefault="00772145" w:rsidP="008D11C1">
      <w:r>
        <w:separator/>
      </w:r>
    </w:p>
  </w:endnote>
  <w:endnote w:type="continuationSeparator" w:id="0">
    <w:p w:rsidR="00772145" w:rsidRDefault="00772145"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720162" w:rsidRDefault="00720162" w:rsidP="008D11C1">
        <w:pPr>
          <w:pStyle w:val="Footer"/>
        </w:pPr>
        <w:r>
          <w:fldChar w:fldCharType="begin"/>
        </w:r>
        <w:r>
          <w:instrText xml:space="preserve"> PAGE   \* MERGEFORMAT </w:instrText>
        </w:r>
        <w:r>
          <w:fldChar w:fldCharType="separate"/>
        </w:r>
        <w:r w:rsidR="003E1E49">
          <w:rPr>
            <w:noProof/>
          </w:rPr>
          <w:t>40</w:t>
        </w:r>
        <w:r>
          <w:rPr>
            <w:noProof/>
          </w:rPr>
          <w:fldChar w:fldCharType="end"/>
        </w:r>
      </w:p>
    </w:sdtContent>
  </w:sdt>
  <w:p w:rsidR="00720162" w:rsidRDefault="00720162"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145" w:rsidRDefault="00772145" w:rsidP="008D11C1">
      <w:r>
        <w:separator/>
      </w:r>
    </w:p>
  </w:footnote>
  <w:footnote w:type="continuationSeparator" w:id="0">
    <w:p w:rsidR="00772145" w:rsidRDefault="00772145" w:rsidP="008D11C1">
      <w:r>
        <w:continuationSeparator/>
      </w:r>
    </w:p>
  </w:footnote>
  <w:footnote w:id="1">
    <w:p w:rsidR="00720162" w:rsidRDefault="00720162">
      <w:pPr>
        <w:pStyle w:val="FootnoteText"/>
      </w:pPr>
      <w:r>
        <w:rPr>
          <w:rStyle w:val="FootnoteReference"/>
        </w:rPr>
        <w:footnoteRef/>
      </w:r>
      <w:r>
        <w:t xml:space="preserve"> Precise ICER is £30,310/QALY, so the No TTE option is still optimal at £30,000/QALY.</w:t>
      </w:r>
    </w:p>
  </w:footnote>
  <w:footnote w:id="2">
    <w:p w:rsidR="00720162" w:rsidRDefault="00720162">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2"/>
  </w:num>
  <w:num w:numId="5">
    <w:abstractNumId w:val="18"/>
  </w:num>
  <w:num w:numId="6">
    <w:abstractNumId w:val="12"/>
  </w:num>
  <w:num w:numId="7">
    <w:abstractNumId w:val="6"/>
  </w:num>
  <w:num w:numId="8">
    <w:abstractNumId w:val="0"/>
  </w:num>
  <w:num w:numId="9">
    <w:abstractNumId w:val="20"/>
  </w:num>
  <w:num w:numId="10">
    <w:abstractNumId w:val="2"/>
  </w:num>
  <w:num w:numId="11">
    <w:abstractNumId w:val="21"/>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44EE"/>
    <w:rsid w:val="002379A0"/>
    <w:rsid w:val="00253316"/>
    <w:rsid w:val="00260232"/>
    <w:rsid w:val="00262FBB"/>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1E49"/>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606EA"/>
    <w:rsid w:val="007670AC"/>
    <w:rsid w:val="00770134"/>
    <w:rsid w:val="00772145"/>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7137"/>
    <w:rsid w:val="00F00EDF"/>
    <w:rsid w:val="00F0458E"/>
    <w:rsid w:val="00F15320"/>
    <w:rsid w:val="00F16C06"/>
    <w:rsid w:val="00F309FB"/>
    <w:rsid w:val="00F37F4A"/>
    <w:rsid w:val="00F406A5"/>
    <w:rsid w:val="00F5273F"/>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12486-3587-40FD-B370-1A421DF0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7262</Words>
  <Characters>41395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2012-12-30T16:52:00Z</cp:lastPrinted>
  <dcterms:created xsi:type="dcterms:W3CDTF">2013-02-22T11:18:00Z</dcterms:created>
  <dcterms:modified xsi:type="dcterms:W3CDTF">2013-02-22T11:19:00Z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