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13" w:rsidRPr="00980413" w:rsidRDefault="00980413" w:rsidP="00980413">
      <w:pPr>
        <w:pStyle w:val="Heading1"/>
        <w:numPr>
          <w:ilvl w:val="0"/>
          <w:numId w:val="0"/>
        </w:numPr>
        <w:rPr>
          <w:rStyle w:val="apple-converted-space"/>
        </w:rPr>
      </w:pPr>
      <w:bookmarkStart w:id="0" w:name="_GoBack"/>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r>
        <w:t>Dr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t>The University of Sheffield</w:t>
      </w:r>
    </w:p>
    <w:p w:rsidR="00C47292" w:rsidRDefault="00C47292" w:rsidP="00C47292">
      <w:pPr>
        <w:spacing w:after="0"/>
      </w:pPr>
      <w:r>
        <w:lastRenderedPageBreak/>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xml:space="preserve"> a worldwide </w:t>
      </w:r>
      <w:proofErr w:type="spellStart"/>
      <w:r w:rsidRPr="00980413">
        <w:t>licence</w:t>
      </w:r>
      <w:proofErr w:type="spellEnd"/>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r w:rsidRPr="000D7226">
        <w:rPr>
          <w:rFonts w:ascii="Verdana" w:hAnsi="Verdana"/>
          <w:sz w:val="17"/>
          <w:szCs w:val="17"/>
          <w:shd w:val="clear" w:color="auto" w:fill="FFFFFF"/>
        </w:rPr>
        <w:t>further guidance</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935ED3" w:rsidP="00D21515">
      <w:r>
        <w:t xml:space="preserve">JM: </w:t>
      </w:r>
      <w:r w:rsidR="00D21515">
        <w:t xml:space="preserve">Developed model; wrote first and subsequent drafts of manuscript; </w:t>
      </w:r>
    </w:p>
    <w:p w:rsidR="00D21515" w:rsidRDefault="00D21515" w:rsidP="00D21515">
      <w:r>
        <w:lastRenderedPageBreak/>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023C7B" w:rsidRDefault="0092084E">
      <w:pPr>
        <w:spacing w:line="276" w:lineRule="auto"/>
        <w:jc w:val="left"/>
        <w:rPr>
          <w:lang w:val="en-GB"/>
        </w:rPr>
      </w:pPr>
      <w:r>
        <w:rPr>
          <w:lang w:val="en-GB"/>
        </w:rPr>
        <w:br w:type="page"/>
      </w:r>
      <w:r w:rsidR="00023C7B">
        <w:rPr>
          <w:lang w:val="en-GB"/>
        </w:rPr>
        <w:lastRenderedPageBreak/>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proofErr w:type="spellStart"/>
      <w:r w:rsidR="00145CDA">
        <w:rPr>
          <w:shd w:val="clear" w:color="auto" w:fill="FFFFFF"/>
        </w:rPr>
        <w:t>W</w:t>
      </w:r>
      <w:r w:rsidRPr="00532F44">
        <w:rPr>
          <w:shd w:val="clear" w:color="auto" w:fill="FFFFFF"/>
        </w:rPr>
        <w:t>arf</w:t>
      </w:r>
      <w:r>
        <w:rPr>
          <w:shd w:val="clear" w:color="auto" w:fill="FFFFFF"/>
        </w:rPr>
        <w:t>arin</w:t>
      </w:r>
      <w:proofErr w:type="spellEnd"/>
      <w:r>
        <w:rPr>
          <w:shd w:val="clear" w:color="auto" w:fill="FFFFFF"/>
        </w:rPr>
        <w:t xml:space="preserve">,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023C7B" w:rsidRDefault="00772D0B" w:rsidP="005B26D5">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023C7B" w:rsidRDefault="00023C7B" w:rsidP="00023C7B">
      <w:r>
        <w:br w:type="page"/>
      </w:r>
    </w:p>
    <w:p w:rsidR="00023C7B" w:rsidRDefault="00023C7B" w:rsidP="00023C7B">
      <w:pPr>
        <w:pStyle w:val="Heading1"/>
        <w:numPr>
          <w:ilvl w:val="0"/>
          <w:numId w:val="0"/>
        </w:numPr>
      </w:pPr>
      <w:r>
        <w:lastRenderedPageBreak/>
        <w:t>What is already known about this subject?</w:t>
      </w:r>
    </w:p>
    <w:p w:rsidR="00023C7B" w:rsidRDefault="00023C7B" w:rsidP="00023C7B">
      <w:pPr>
        <w:rPr>
          <w:shd w:val="clear" w:color="auto" w:fill="FFFFFF"/>
        </w:rPr>
      </w:pPr>
      <w:r w:rsidRPr="00532F44">
        <w:rPr>
          <w:shd w:val="clear" w:color="auto" w:fill="FFFFFF"/>
        </w:rPr>
        <w:t xml:space="preserve">Atrial fibrillation </w:t>
      </w:r>
      <w:r>
        <w:rPr>
          <w:shd w:val="clear" w:color="auto" w:fill="FFFFFF"/>
        </w:rPr>
        <w:t xml:space="preserve">(AF) </w:t>
      </w:r>
      <w:r w:rsidRPr="00532F44">
        <w:rPr>
          <w:shd w:val="clear" w:color="auto" w:fill="FFFFFF"/>
        </w:rPr>
        <w:t xml:space="preserve">is </w:t>
      </w:r>
      <w:r>
        <w:rPr>
          <w:shd w:val="clear" w:color="auto" w:fill="FFFFFF"/>
        </w:rPr>
        <w:t xml:space="preserve">common and increases </w:t>
      </w:r>
      <w:r w:rsidRPr="00532F44">
        <w:rPr>
          <w:shd w:val="clear" w:color="auto" w:fill="FFFFFF"/>
        </w:rPr>
        <w:t>stroke risk</w:t>
      </w:r>
      <w:r>
        <w:rPr>
          <w:shd w:val="clear" w:color="auto" w:fill="FFFFFF"/>
        </w:rPr>
        <w:t>. In additional to stroke risk scoring algorithms such as CHADS</w:t>
      </w:r>
      <w:r w:rsidRPr="005F0E5E">
        <w:rPr>
          <w:shd w:val="clear" w:color="auto" w:fill="FFFFFF"/>
          <w:vertAlign w:val="subscript"/>
        </w:rPr>
        <w:t>2</w:t>
      </w:r>
      <w:r>
        <w:rPr>
          <w:shd w:val="clear" w:color="auto" w:fill="FFFFFF"/>
        </w:rPr>
        <w:t xml:space="preserve">, echocardiography is often 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in order to make optimal decisions on </w:t>
      </w:r>
      <w:proofErr w:type="spellStart"/>
      <w:r>
        <w:rPr>
          <w:shd w:val="clear" w:color="auto" w:fill="FFFFFF"/>
        </w:rPr>
        <w:t>thromboprophylaxis</w:t>
      </w:r>
      <w:proofErr w:type="spellEnd"/>
      <w:r>
        <w:rPr>
          <w:shd w:val="clear" w:color="auto" w:fill="FFFFFF"/>
        </w:rPr>
        <w:t xml:space="preserve"> with oral anticoagulants (OACs).</w:t>
      </w:r>
    </w:p>
    <w:p w:rsidR="00023C7B" w:rsidRDefault="00023C7B" w:rsidP="00023C7B">
      <w:pPr>
        <w:rPr>
          <w:shd w:val="clear" w:color="auto" w:fill="FFFFFF"/>
        </w:rPr>
      </w:pPr>
      <w:r>
        <w:rPr>
          <w:shd w:val="clear" w:color="auto" w:fill="FFFFFF"/>
        </w:rPr>
        <w:t xml:space="preserve">The consequences of </w:t>
      </w:r>
      <w:proofErr w:type="spellStart"/>
      <w:r>
        <w:rPr>
          <w:shd w:val="clear" w:color="auto" w:fill="FFFFFF"/>
        </w:rPr>
        <w:t>thromboprophylaxis</w:t>
      </w:r>
      <w:proofErr w:type="spellEnd"/>
      <w:r>
        <w:rPr>
          <w:shd w:val="clear" w:color="auto" w:fill="FFFFFF"/>
        </w:rPr>
        <w:t xml:space="preserve"> depend on factors such as stroke risk, patient characteristics such as age and sex, and the choice of OAC. These factors affect therefore affect the clinical benefits and cost-effectiveness of using echocardiography in this way by altering the implications of </w:t>
      </w:r>
      <w:proofErr w:type="spellStart"/>
      <w:r>
        <w:rPr>
          <w:shd w:val="clear" w:color="auto" w:fill="FFFFFF"/>
        </w:rPr>
        <w:t>thromboprophylaxis</w:t>
      </w:r>
      <w:proofErr w:type="spellEnd"/>
      <w:r>
        <w:rPr>
          <w:shd w:val="clear" w:color="auto" w:fill="FFFFFF"/>
        </w:rPr>
        <w:t xml:space="preserve"> decisions. </w:t>
      </w:r>
    </w:p>
    <w:p w:rsidR="00023C7B" w:rsidRDefault="00023C7B" w:rsidP="00023C7B">
      <w:pPr>
        <w:pStyle w:val="Heading1"/>
        <w:numPr>
          <w:ilvl w:val="0"/>
          <w:numId w:val="0"/>
        </w:numPr>
      </w:pPr>
      <w:r>
        <w:t>What does this study add?</w:t>
      </w:r>
    </w:p>
    <w:p w:rsidR="00023C7B" w:rsidRDefault="00023C7B" w:rsidP="00023C7B">
      <w:r>
        <w:t xml:space="preserve">This economic evaluation shows that it may be cost-effective to use echocardiography to aid the </w:t>
      </w:r>
      <w:proofErr w:type="spellStart"/>
      <w:r>
        <w:t>thromboprophylaxis</w:t>
      </w:r>
      <w:proofErr w:type="spellEnd"/>
      <w:r>
        <w:t xml:space="preserve"> decision for older patients (aged 65 years at diagnosis), and when considering using either of the newer OACs, </w:t>
      </w:r>
      <w:proofErr w:type="spellStart"/>
      <w:r>
        <w:t>dabigatran</w:t>
      </w:r>
      <w:proofErr w:type="spellEnd"/>
      <w:r>
        <w:t xml:space="preserve"> or </w:t>
      </w:r>
      <w:proofErr w:type="spellStart"/>
      <w:r>
        <w:t>rivaroxaban</w:t>
      </w:r>
      <w:proofErr w:type="spellEnd"/>
      <w:r>
        <w:t xml:space="preserve">. </w:t>
      </w:r>
    </w:p>
    <w:p w:rsidR="00023C7B" w:rsidRDefault="00023C7B" w:rsidP="00023C7B">
      <w:pPr>
        <w:pStyle w:val="Heading1"/>
        <w:numPr>
          <w:ilvl w:val="0"/>
          <w:numId w:val="0"/>
        </w:numPr>
      </w:pPr>
      <w:r>
        <w:t>How might this impact on clinical practice?</w:t>
      </w:r>
    </w:p>
    <w:p w:rsidR="00023C7B" w:rsidRDefault="00023C7B" w:rsidP="00023C7B">
      <w:r>
        <w:t xml:space="preserve">Clinicians should consider the use of echocardiography in aiding the </w:t>
      </w:r>
      <w:proofErr w:type="spellStart"/>
      <w:r>
        <w:t>thromboprophylaxis</w:t>
      </w:r>
      <w:proofErr w:type="spellEnd"/>
      <w:r>
        <w:t xml:space="preserve"> decision when considering treating older patients with a newer OAC. </w:t>
      </w:r>
    </w:p>
    <w:p w:rsidR="005B26D5" w:rsidRPr="00532F44" w:rsidRDefault="005B26D5" w:rsidP="005B26D5">
      <w:pPr>
        <w:rPr>
          <w:b/>
          <w:shd w:val="clear" w:color="auto" w:fill="FFFFFF"/>
        </w:rPr>
      </w:pP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9181B">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9181B">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9181B">
        <w:rPr>
          <w:noProof/>
        </w:rPr>
        <w:t>[3]</w:t>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09181B">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09181B">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09181B">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w:t>
      </w:r>
      <w:r w:rsidR="00324A95">
        <w:t>Four</w:t>
      </w:r>
      <w:r w:rsidR="00324A95" w:rsidRPr="00064789">
        <w:t xml:space="preserve"> </w:t>
      </w:r>
      <w:r w:rsidR="00267F89" w:rsidRPr="00064789">
        <w:t xml:space="preserve">distinct cohorts were </w:t>
      </w:r>
      <w:proofErr w:type="spellStart"/>
      <w:r w:rsidR="00267F89" w:rsidRPr="00064789">
        <w:t>model</w:t>
      </w:r>
      <w:r w:rsidR="00133DC2" w:rsidRPr="00064789">
        <w:t>l</w:t>
      </w:r>
      <w:r w:rsidR="00267F89" w:rsidRPr="00064789">
        <w:t>ed</w:t>
      </w:r>
      <w:proofErr w:type="spellEnd"/>
      <w:r w:rsidR="00267F89" w:rsidRPr="00064789">
        <w:t xml:space="preserve">, and separate scenarios were performed for each of three potential OACs: </w:t>
      </w:r>
      <w:proofErr w:type="spellStart"/>
      <w:r w:rsidR="00267F89" w:rsidRPr="00064789">
        <w:t>wa</w:t>
      </w:r>
      <w:r w:rsidR="00133DC2" w:rsidRPr="00064789">
        <w:t>rfarin</w:t>
      </w:r>
      <w:proofErr w:type="spellEnd"/>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09181B">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r w:rsidR="006D7B3B" w:rsidRPr="00064789">
        <w:t xml:space="preserve">Standard NICE discount rates for utilities and costs of 3.5% per annum are used. </w:t>
      </w:r>
      <w:r w:rsidR="00DF52E6" w:rsidRPr="0009181B">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 xml:space="preserve">The recommended populations for treating with </w:t>
      </w:r>
      <w:proofErr w:type="spellStart"/>
      <w:r>
        <w:t>w</w:t>
      </w:r>
      <w:r w:rsidR="00BE73AD" w:rsidRPr="00064789">
        <w:t>arfarin</w:t>
      </w:r>
      <w:proofErr w:type="spellEnd"/>
      <w:r w:rsidR="00BE73AD" w:rsidRPr="00064789">
        <w:t xml:space="preserve">,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09181B" w:rsidRPr="0009181B">
        <w:rPr>
          <w:noProof/>
        </w:rPr>
        <w:t>[10,11]</w:t>
      </w:r>
      <w:r w:rsidR="00C0617D" w:rsidRPr="00064789">
        <w:t xml:space="preserve"> </w:t>
      </w:r>
      <w:r w:rsidR="00324A95">
        <w:t>Although full incremental analyses of the mean estimates are presented in appendix</w:t>
      </w:r>
      <w:r w:rsidR="0009181B">
        <w:t xml:space="preserve"> </w:t>
      </w:r>
      <w:r w:rsidR="00CF6CB9">
        <w:t>G</w:t>
      </w:r>
      <w:r w:rsidR="00324A95">
        <w:t>, t</w:t>
      </w:r>
      <w:r w:rsidR="00324A95" w:rsidRPr="00064789">
        <w:t xml:space="preserve">he </w:t>
      </w:r>
      <w:r w:rsidR="001D7B3F" w:rsidRPr="00064789">
        <w:t>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A2563" w:rsidRPr="00532F44">
        <w:t xml:space="preserve">Table </w:t>
      </w:r>
      <w:proofErr w:type="gramStart"/>
      <w:r w:rsidR="007A2563">
        <w:rPr>
          <w:noProof/>
        </w:rPr>
        <w:t>1</w:t>
      </w:r>
      <w:r w:rsidR="007946CB">
        <w:t xml:space="preserve"> </w:t>
      </w:r>
      <w:r w:rsidR="00BE73AD"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7A2563" w:rsidRPr="00532F44">
        <w:t xml:space="preserve">Figure </w:t>
      </w:r>
      <w:r w:rsidR="007A2563">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lastRenderedPageBreak/>
        <w:t>[</w:t>
      </w:r>
      <w:r w:rsidR="007A2563" w:rsidRPr="00532F44">
        <w:t xml:space="preserve">Figure </w:t>
      </w:r>
      <w:r w:rsidR="007A2563">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lastRenderedPageBreak/>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09181B" w:rsidRPr="0009181B">
        <w:rPr>
          <w:noProof/>
        </w:rPr>
        <w:t>[12]</w:t>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point</w:t>
      </w:r>
      <w:r w:rsidR="00324A95">
        <w:t xml:space="preserve"> and means the patient will now receive an OAC</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09181B" w:rsidRPr="0009181B">
        <w:rPr>
          <w:noProof/>
        </w:rPr>
        <w:t>[13]</w:t>
      </w:r>
      <w:r w:rsidR="00516779">
        <w:t xml:space="preserve"> Other degrees of disablement following an ICH (GOS 3, GOS 4 and GOS 5) could also occur, which were assumed to affect quality of life but not longevity. Further details are provided in </w:t>
      </w:r>
      <w:r w:rsidR="00CF6CB9">
        <w:t>appendix A</w:t>
      </w:r>
      <w:r w:rsidR="0051677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t>
      </w:r>
      <w:proofErr w:type="spellStart"/>
      <w:r w:rsidR="00C42A71" w:rsidRPr="00064789">
        <w:t>warfarin</w:t>
      </w:r>
      <w:proofErr w:type="spellEnd"/>
      <w:r w:rsidR="00C42A71" w:rsidRPr="00064789">
        <w:t xml:space="preserve">. </w:t>
      </w:r>
      <w:r w:rsidR="0009181B" w:rsidRPr="0009181B">
        <w:rPr>
          <w:noProof/>
        </w:rPr>
        <w:t>[14]</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7A2563">
        <w:t xml:space="preserve">Table </w:t>
      </w:r>
      <w:r w:rsidR="007A2563">
        <w:rPr>
          <w:noProof/>
        </w:rPr>
        <w:t>5</w:t>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1"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w:t>
      </w:r>
      <w:r w:rsidR="00064789" w:rsidRPr="00064789">
        <w:lastRenderedPageBreak/>
        <w:t xml:space="preserve">additional cost to additional benefit, is below a </w:t>
      </w:r>
      <w:r w:rsidR="00CF6CB9">
        <w:t xml:space="preserve">willingness-to-pay (WTP) threshold.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09181B" w:rsidRPr="0009181B">
        <w:rPr>
          <w:noProof/>
        </w:rPr>
        <w:t>[15]</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CF6CB9" w:rsidP="008D3B31">
      <w:pPr>
        <w:spacing w:line="480" w:lineRule="auto"/>
      </w:pPr>
      <w:r>
        <w:t xml:space="preserve">The </w:t>
      </w:r>
      <w:proofErr w:type="spellStart"/>
      <w:r>
        <w:t>cohoice</w:t>
      </w:r>
      <w:proofErr w:type="spellEnd"/>
      <w:r>
        <w:t xml:space="preserve"> of OAC represents one type of deterministic sensitivity analysis (DSA). Two additional types of DSA were also performed. Firstly, sensitivity </w:t>
      </w:r>
      <w:r w:rsidR="00454436" w:rsidRPr="00064789">
        <w:t>analyses were undertaken on the joint uncertainty in the sensitivity and specificity of TTE in detecting ABN.</w:t>
      </w:r>
      <w:r w:rsidR="001138A7" w:rsidRPr="00064789">
        <w:t xml:space="preserve"> </w:t>
      </w:r>
      <w:r>
        <w:t xml:space="preserve">Secondly, the effect of assuming different levels of TPHR was explored. </w:t>
      </w:r>
      <w:r w:rsidR="001138A7" w:rsidRPr="00064789">
        <w:t xml:space="preserve">The results for the joint uncertainty </w:t>
      </w:r>
      <w:r>
        <w:t xml:space="preserve">in sensitivity and specificity </w:t>
      </w:r>
      <w:r w:rsidR="001138A7" w:rsidRPr="00064789">
        <w:t>for</w:t>
      </w:r>
      <w:r w:rsidR="00345E19" w:rsidRPr="00064789">
        <w:t xml:space="preserve"> three</w:t>
      </w:r>
      <w:r w:rsidR="001138A7" w:rsidRPr="00064789">
        <w:t xml:space="preserve"> scenarios are presented in the main article</w:t>
      </w:r>
      <w:r>
        <w:t xml:space="preserve">, and the rest are </w:t>
      </w:r>
      <w:proofErr w:type="spellStart"/>
      <w:r>
        <w:t>exploredin</w:t>
      </w:r>
      <w:proofErr w:type="spellEnd"/>
      <w:r>
        <w:t xml:space="preserve"> appendix </w:t>
      </w:r>
      <w:proofErr w:type="gramStart"/>
      <w:r>
        <w:t>B</w:t>
      </w:r>
      <w:r w:rsidR="001138A7" w:rsidRPr="00064789">
        <w:t>..</w:t>
      </w:r>
      <w:proofErr w:type="gramEnd"/>
      <w:r>
        <w:t xml:space="preserve"> The sensitivity of the results to TPHR is shown in appendix H.</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7A2563" w:rsidP="00F309FB">
      <w:pPr>
        <w:spacing w:line="480" w:lineRule="auto"/>
      </w:pPr>
      <w:r w:rsidRPr="00F309FB">
        <w:t xml:space="preserve">Table </w:t>
      </w:r>
      <w:r>
        <w:rPr>
          <w:noProof/>
        </w:rPr>
        <w:t>2</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t>
      </w:r>
      <w:proofErr w:type="spellStart"/>
      <w:r w:rsidR="00FE3BA1" w:rsidRPr="00064789">
        <w:t>warfarin</w:t>
      </w:r>
      <w:proofErr w:type="spellEnd"/>
      <w:r w:rsidR="00FE3BA1" w:rsidRPr="00064789">
        <w:t xml:space="preserve">,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 xml:space="preserve">either </w:t>
      </w:r>
      <w:proofErr w:type="spellStart"/>
      <w:r w:rsidR="0083066E" w:rsidRPr="00064789">
        <w:t>warfarin</w:t>
      </w:r>
      <w:proofErr w:type="spellEnd"/>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proofErr w:type="gramStart"/>
      <w:r w:rsidRPr="00F309FB">
        <w:t xml:space="preserve">Table </w:t>
      </w:r>
      <w:r>
        <w:rPr>
          <w:noProof/>
        </w:rPr>
        <w:t>2</w:t>
      </w:r>
      <w:r w:rsidR="00F309FB">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007A2563" w:rsidRPr="00F309FB">
        <w:t xml:space="preserve">Table </w:t>
      </w:r>
      <w:r w:rsidR="007A2563">
        <w:rPr>
          <w:noProof/>
        </w:rPr>
        <w:t>2</w:t>
      </w:r>
      <w:r>
        <w:t xml:space="preserve"> </w:t>
      </w:r>
      <w:r w:rsidR="00F309FB">
        <w:t>about here]</w:t>
      </w:r>
    </w:p>
    <w:p w:rsidR="00B54241" w:rsidRDefault="00B54241" w:rsidP="00F309FB">
      <w:pPr>
        <w:spacing w:line="480" w:lineRule="auto"/>
        <w:jc w:val="center"/>
      </w:pPr>
      <w:r>
        <w:t>[</w:t>
      </w:r>
      <w:r w:rsidR="007A2563" w:rsidRPr="0031099C">
        <w:t xml:space="preserve">Figure </w:t>
      </w:r>
      <w:r w:rsidR="007A2563">
        <w:rPr>
          <w:noProof/>
        </w:rPr>
        <w:t>2</w:t>
      </w:r>
      <w:r>
        <w:t xml:space="preserve"> about here</w:t>
      </w:r>
    </w:p>
    <w:p w:rsidR="00273A34" w:rsidRDefault="007A2563" w:rsidP="008D3B31">
      <w:pPr>
        <w:spacing w:line="480" w:lineRule="auto"/>
      </w:pPr>
      <w:r w:rsidRPr="00F309FB">
        <w:t xml:space="preserve">Table </w:t>
      </w:r>
      <w:r>
        <w:rPr>
          <w:noProof/>
        </w:rPr>
        <w:t>2</w:t>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w:t>
      </w:r>
      <w:r w:rsidR="006E14F1" w:rsidRPr="00064789">
        <w:lastRenderedPageBreak/>
        <w:t xml:space="preserve">incorporating TTE is used compared </w:t>
      </w:r>
      <w:r w:rsidR="00B54241">
        <w:t>with</w:t>
      </w:r>
      <w:r w:rsidR="006E14F1" w:rsidRPr="00064789">
        <w:t xml:space="preserve"> the strategy without TTE, but these differences are relatively small</w:t>
      </w:r>
      <w:r w:rsidR="00B54241">
        <w:t xml:space="preserve"> (approximately 0.1 life years)</w:t>
      </w:r>
      <w:r w:rsidR="00FE3BA1" w:rsidRPr="00064789">
        <w:t>.</w:t>
      </w:r>
      <w:r w:rsidR="006E14F1" w:rsidRPr="00064789">
        <w:t xml:space="preserve"> </w:t>
      </w:r>
    </w:p>
    <w:p w:rsidR="00920A0B" w:rsidRPr="00064789" w:rsidRDefault="007A2563" w:rsidP="00900CA4">
      <w:pPr>
        <w:spacing w:line="480" w:lineRule="auto"/>
      </w:pPr>
      <w:r w:rsidRPr="0031099C">
        <w:t xml:space="preserve">Figure </w:t>
      </w:r>
      <w:r>
        <w:rPr>
          <w:noProof/>
        </w:rPr>
        <w:t>2</w:t>
      </w:r>
      <w:r w:rsidR="0053415A">
        <w:t xml:space="preserve"> </w:t>
      </w:r>
      <w:r w:rsidR="00F309FB">
        <w:t>and</w:t>
      </w:r>
      <w:r w:rsidR="00CB6D0B">
        <w:t xml:space="preserve"> </w:t>
      </w:r>
      <w:r w:rsidRPr="00F309FB">
        <w:t xml:space="preserve">Table </w:t>
      </w:r>
      <w:r>
        <w:rPr>
          <w:noProof/>
        </w:rPr>
        <w:t>2</w:t>
      </w:r>
      <w:r w:rsidR="00B54241">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3</w:t>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Pr="00F309FB">
        <w:t xml:space="preserve">Table </w:t>
      </w:r>
      <w:r>
        <w:rPr>
          <w:noProof/>
        </w:rPr>
        <w:t>2</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2</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7A2563" w:rsidP="00345E19">
      <w:pPr>
        <w:spacing w:line="480" w:lineRule="auto"/>
      </w:pPr>
      <w:r w:rsidRPr="0031099C">
        <w:t xml:space="preserve">Table </w:t>
      </w:r>
      <w:r>
        <w:rPr>
          <w:noProof/>
        </w:rPr>
        <w:t>3</w:t>
      </w:r>
      <w:r w:rsidR="00B54241">
        <w:t xml:space="preserve"> </w:t>
      </w:r>
      <w:r w:rsidR="00345E19" w:rsidRPr="00064789">
        <w:t xml:space="preserve">shows how the </w:t>
      </w:r>
      <w:r w:rsidR="00B54241">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 xml:space="preserve">either a) </w:t>
      </w:r>
      <w:proofErr w:type="spellStart"/>
      <w:r w:rsidR="00345E19" w:rsidRPr="00064789">
        <w:t>warfarin</w:t>
      </w:r>
      <w:proofErr w:type="spellEnd"/>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9181B">
        <w:rPr>
          <w:noProof/>
        </w:rPr>
        <w:t>[6]</w:t>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rsidR="00B54241">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w:t>
      </w:r>
      <w:r w:rsidR="00CF6CB9">
        <w:t>WTP thresholds</w:t>
      </w:r>
      <w:r w:rsidR="00CF6CB9" w:rsidRPr="00064789">
        <w:t xml:space="preserve"> </w:t>
      </w:r>
      <w:r w:rsidRPr="00064789">
        <w:t xml:space="preserve">of £20,000 /QALY or £30,000/QALY, is shown in </w:t>
      </w:r>
      <w:r w:rsidR="007A2563" w:rsidRPr="0031099C">
        <w:t xml:space="preserve">Table </w:t>
      </w:r>
      <w:r w:rsidR="007A2563">
        <w:rPr>
          <w:noProof/>
        </w:rPr>
        <w:t>4</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t>
      </w:r>
      <w:r w:rsidR="00CF6CB9">
        <w:t>WTP</w:t>
      </w:r>
      <w:r w:rsidRPr="00064789">
        <w:t xml:space="preserve"> thresholds of between £20,000 and £30,000/QALY for </w:t>
      </w:r>
      <w:proofErr w:type="spellStart"/>
      <w:r w:rsidRPr="00064789">
        <w:t>dabigatran</w:t>
      </w:r>
      <w:proofErr w:type="spellEnd"/>
      <w:r w:rsidRPr="00064789">
        <w:t xml:space="preserve">, </w:t>
      </w:r>
      <w:r w:rsidRPr="00064789">
        <w:lastRenderedPageBreak/>
        <w:t xml:space="preserve">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324A95" w:rsidRPr="00064789" w:rsidRDefault="00324A95" w:rsidP="008D3B31">
      <w:pPr>
        <w:spacing w:line="480" w:lineRule="auto"/>
      </w:pPr>
      <w:r>
        <w:t xml:space="preserve">Although the aim of this assessment was to compare strategies involving TTE with strategies not involving TTE, doing this has also involved modeling the effects of prescribing any one of three OACs, either initially (as a result of a positive TTE result), </w:t>
      </w:r>
      <w:r w:rsidR="000466CA">
        <w:t xml:space="preserve">or </w:t>
      </w:r>
      <w:r>
        <w:t xml:space="preserve">at a later </w:t>
      </w:r>
      <w:r w:rsidR="000466CA">
        <w:t xml:space="preserve">stage due to either experiencing a stroke or reaching the age of 75 years.  Appendix </w:t>
      </w:r>
      <w:r w:rsidR="00CF6CB9">
        <w:t xml:space="preserve">G </w:t>
      </w:r>
      <w:r w:rsidR="000466CA">
        <w:t>presents full incremental analyses for each of the four patient groups based on the mean estimates from the PSA samples. However, the evidence used to inform the relevant model parameters were not obtained systematically, and the model was not developed so as to be able to estimate the effect of more complex scenarios which may be of clinical relevance, as discussed in the implications for research section. Because of these limitations, the full incremental results should be considered exploratory and indicative rather than robust and authoritative.</w:t>
      </w:r>
    </w:p>
    <w:p w:rsidR="00A02F0A" w:rsidRDefault="00DB728C" w:rsidP="008D3B31">
      <w:pPr>
        <w:spacing w:line="480" w:lineRule="auto"/>
      </w:pPr>
      <w:r>
        <w:t xml:space="preserve">An additional limitation was in using only the </w:t>
      </w:r>
      <w:proofErr w:type="spellStart"/>
      <w:r w:rsidR="00654FFC" w:rsidRPr="00064789">
        <w:t>the</w:t>
      </w:r>
      <w:proofErr w:type="spellEnd"/>
      <w:r w:rsidR="00654FFC" w:rsidRPr="00064789">
        <w:t xml:space="preserve"> CHADS</w:t>
      </w:r>
      <w:r w:rsidR="00654FFC" w:rsidRPr="00064789">
        <w:rPr>
          <w:vertAlign w:val="subscript"/>
        </w:rPr>
        <w:t>2</w:t>
      </w:r>
      <w:r w:rsidR="00654FFC" w:rsidRPr="00064789">
        <w:t xml:space="preserve"> clinical risk prediction tool.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09181B" w:rsidRPr="0009181B">
        <w:rPr>
          <w:noProof/>
        </w:rPr>
        <w:t>[3,4,16,17]</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w:t>
      </w:r>
      <w:r w:rsidR="00654FFC" w:rsidRPr="00064789">
        <w:lastRenderedPageBreak/>
        <w:t xml:space="preserve">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09181B" w:rsidRPr="0009181B">
        <w:rPr>
          <w:noProof/>
        </w:rPr>
        <w:t>[10,11]</w:t>
      </w:r>
      <w:r w:rsidR="00654FFC" w:rsidRPr="00064789">
        <w:t xml:space="preserve"> </w:t>
      </w:r>
    </w:p>
    <w:p w:rsidR="00A02F0A" w:rsidRDefault="0009181B" w:rsidP="008D3B31">
      <w:pPr>
        <w:spacing w:line="480" w:lineRule="auto"/>
      </w:pPr>
      <w:r>
        <w:t>Apart from age and stroke history, the clinical characteristics of patients which are used in CHADS</w:t>
      </w:r>
      <w:r w:rsidRPr="00511D4E">
        <w:rPr>
          <w:vertAlign w:val="subscript"/>
        </w:rPr>
        <w:t>2</w:t>
      </w:r>
      <w:r>
        <w:t xml:space="preserve"> were not independently modeled, and so were assumed not to develop </w:t>
      </w:r>
      <w:r w:rsidR="00A02F0A">
        <w:t>over a patient’s lifetime</w:t>
      </w:r>
      <w:r>
        <w:t xml:space="preserve">. </w:t>
      </w:r>
      <w:r w:rsidR="00A02F0A">
        <w:t>As many patients with an initial CHADS</w:t>
      </w:r>
      <w:r w:rsidR="00A02F0A" w:rsidRPr="00511D4E">
        <w:rPr>
          <w:vertAlign w:val="subscript"/>
        </w:rPr>
        <w:t>2</w:t>
      </w:r>
      <w:r w:rsidR="00A02F0A">
        <w:t xml:space="preserve"> score of zero may become diabetic before reaching the age of 75 years or suffering a stroke, this means the model is likely to slightly over-estimate the time that someone who has not been identified with LA ABN will not receive an OAC. </w:t>
      </w:r>
    </w:p>
    <w:p w:rsidR="00E36870" w:rsidRPr="00064789" w:rsidRDefault="00E36870" w:rsidP="008D3B31">
      <w:pPr>
        <w:spacing w:line="480" w:lineRule="auto"/>
      </w:pPr>
      <w:r w:rsidRPr="00064789">
        <w:t xml:space="preserve">The dose of </w:t>
      </w:r>
      <w:proofErr w:type="spellStart"/>
      <w:r w:rsidRPr="00064789">
        <w:t>dabigatran</w:t>
      </w:r>
      <w:proofErr w:type="spellEnd"/>
      <w:r w:rsidRPr="00064789">
        <w:t xml:space="preserve"> was </w:t>
      </w:r>
      <w:r w:rsidR="006C6A8E" w:rsidRPr="00064789">
        <w:t>fixed</w:t>
      </w:r>
      <w:r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Pr="00064789">
        <w:t xml:space="preserve">The stroke risk associated with patients with </w:t>
      </w:r>
      <w:r w:rsidR="002148A0" w:rsidRPr="00064789">
        <w:t xml:space="preserve">LA ABN </w:t>
      </w:r>
      <w:r w:rsidR="006C6A8E" w:rsidRPr="00064789">
        <w:t xml:space="preserve">was </w:t>
      </w:r>
      <w:r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09181B">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DF52E6" w:rsidRPr="0009181B">
        <w:rPr>
          <w:noProof/>
        </w:rPr>
        <w:t>[6</w:t>
      </w:r>
      <w:proofErr w:type="gramStart"/>
      <w:r w:rsidR="00DF52E6" w:rsidRPr="0009181B">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181B" w:rsidRPr="0009181B">
        <w:rPr>
          <w:noProof/>
        </w:rPr>
        <w:t>[18]</w:t>
      </w:r>
    </w:p>
    <w:p w:rsidR="004850ED" w:rsidRPr="00064789" w:rsidRDefault="004850ED" w:rsidP="008D3B31">
      <w:pPr>
        <w:spacing w:line="480" w:lineRule="auto"/>
      </w:pPr>
      <w:r w:rsidRPr="00064789">
        <w:lastRenderedPageBreak/>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09181B" w:rsidRPr="0009181B">
        <w:rPr>
          <w:noProof/>
        </w:rPr>
        <w:t>[19]</w:t>
      </w:r>
      <w:r w:rsidR="00A84F79" w:rsidRPr="00064789">
        <w:t xml:space="preserve"> </w:t>
      </w:r>
      <w:r w:rsidR="00F00EDF" w:rsidRPr="00064789">
        <w:t>As</w:t>
      </w:r>
      <w:r w:rsidR="00120CC0">
        <w:t xml:space="preserve"> </w:t>
      </w:r>
      <w:r w:rsidR="007A2563" w:rsidRPr="0031099C">
        <w:t xml:space="preserve">Table </w:t>
      </w:r>
      <w:r w:rsidR="007A2563">
        <w:rPr>
          <w:noProof/>
        </w:rPr>
        <w:t>3</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Default="00DB728C" w:rsidP="008D3B31">
      <w:pPr>
        <w:spacing w:line="480" w:lineRule="auto"/>
      </w:pPr>
      <w:r>
        <w:t xml:space="preserve">A range of limitations in the model and process used to identify parameters for it have been described. The </w:t>
      </w:r>
      <w:proofErr w:type="spellStart"/>
      <w:r>
        <w:t>imlitations</w:t>
      </w:r>
      <w:proofErr w:type="spellEnd"/>
      <w:r>
        <w:t xml:space="preserve"> of these limitations can be </w:t>
      </w:r>
      <w:proofErr w:type="spellStart"/>
      <w:r>
        <w:t>understoon</w:t>
      </w:r>
      <w:proofErr w:type="spellEnd"/>
      <w:r>
        <w:t xml:space="preserve"> only through further </w:t>
      </w:r>
      <w:proofErr w:type="spellStart"/>
      <w:r>
        <w:t>researche</w:t>
      </w:r>
      <w:proofErr w:type="spellEnd"/>
      <w:r>
        <w:t xml:space="preserve"> which address such limitations. </w:t>
      </w:r>
      <w:r w:rsidR="00F00EDF"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0466CA" w:rsidRPr="001018C1" w:rsidRDefault="000466CA" w:rsidP="008D3B31">
      <w:pPr>
        <w:spacing w:line="480" w:lineRule="auto"/>
      </w:pPr>
      <w:r>
        <w:t>The model could be developed in order to robustly compare the cost effective</w:t>
      </w:r>
      <w:r w:rsidR="00CE5CAA">
        <w:t>ness</w:t>
      </w:r>
      <w:r>
        <w:t xml:space="preserve"> of a broad range of clinical strategies. </w:t>
      </w:r>
      <w:r w:rsidR="00CE5CAA">
        <w:t xml:space="preserve">For example, it could be adapted so that the effect of different doses of </w:t>
      </w:r>
      <w:proofErr w:type="spellStart"/>
      <w:r w:rsidR="00CE5CAA">
        <w:t>dabigatran</w:t>
      </w:r>
      <w:proofErr w:type="spellEnd"/>
      <w:r w:rsidR="00CE5CAA">
        <w:t xml:space="preserve"> or different </w:t>
      </w:r>
      <w:proofErr w:type="spellStart"/>
      <w:r w:rsidR="00CE5CAA">
        <w:t>warfarin</w:t>
      </w:r>
      <w:proofErr w:type="spellEnd"/>
      <w:r w:rsidR="00CE5CAA">
        <w:t xml:space="preserve"> strategies could be estimated. The effect of, for example, switching from one OAC to another in response to clinical events could also be explored. </w:t>
      </w:r>
      <w:r w:rsidR="001018C1">
        <w:t xml:space="preserve">As it is an individual level model, it could be adapted to model variation in bleed risk using the HAS-BLED </w:t>
      </w:r>
      <w:proofErr w:type="gramStart"/>
      <w:r w:rsidR="001018C1">
        <w:t>instrument</w:t>
      </w:r>
      <w:r w:rsidR="0009181B" w:rsidRPr="0009181B">
        <w:rPr>
          <w:noProof/>
        </w:rPr>
        <w:t>[</w:t>
      </w:r>
      <w:proofErr w:type="gramEnd"/>
      <w:r w:rsidR="0009181B" w:rsidRPr="0009181B">
        <w:rPr>
          <w:noProof/>
        </w:rPr>
        <w:t>20]</w:t>
      </w:r>
      <w:r w:rsidR="00CE5CAA">
        <w:t xml:space="preserve">, and </w:t>
      </w:r>
      <w:r w:rsidR="001018C1">
        <w:t>to model each CHADS</w:t>
      </w:r>
      <w:r w:rsidR="001018C1">
        <w:softHyphen/>
      </w:r>
      <w:r w:rsidR="001018C1">
        <w:rPr>
          <w:vertAlign w:val="subscript"/>
        </w:rPr>
        <w:t>2</w:t>
      </w:r>
      <w:r w:rsidR="001018C1">
        <w:t xml:space="preserve"> risk factor independently over time</w:t>
      </w:r>
      <w:r w:rsidR="00A02F0A">
        <w:t xml:space="preserve">, including the risk of developing diabetes and the effect of this condition on </w:t>
      </w:r>
      <w:proofErr w:type="spellStart"/>
      <w:r w:rsidR="00A02F0A">
        <w:t>HRQoL</w:t>
      </w:r>
      <w:proofErr w:type="spellEnd"/>
      <w:r w:rsidR="00A02F0A">
        <w:t xml:space="preserve"> and healthcare provider cost</w:t>
      </w:r>
      <w:r w:rsidR="001018C1">
        <w:t>. Budget impact analysis could also be performed using this model</w:t>
      </w:r>
      <w:r w:rsidR="00CE5CAA">
        <w:t xml:space="preserve"> to estimate, for example, how rising levels of type </w:t>
      </w:r>
      <w:r w:rsidR="00CE5CAA">
        <w:lastRenderedPageBreak/>
        <w:t xml:space="preserve">2 diabetes (the D in </w:t>
      </w:r>
      <w:r w:rsidR="00CE5CAA" w:rsidRPr="00CE5CAA">
        <w:t>CHADS</w:t>
      </w:r>
      <w:r w:rsidR="00CE5CAA" w:rsidRPr="00CE5CAA">
        <w:softHyphen/>
      </w:r>
      <w:r w:rsidR="00CE5CAA" w:rsidRPr="00511D4E">
        <w:rPr>
          <w:vertAlign w:val="subscript"/>
        </w:rPr>
        <w:t>2</w:t>
      </w:r>
      <w:r w:rsidR="00CE5CAA">
        <w:t xml:space="preserve">) may change the size of the population affected by the use of TTE in the ways indicated.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 xml:space="preserve">e TTE in patients aged 65 years; when warfarin is the OAC of choice, then the addition of TTE does not appear cost-effective at standard </w:t>
      </w:r>
      <w:r w:rsidR="00DB728C">
        <w:t xml:space="preserve">WTP </w:t>
      </w:r>
      <w:r w:rsidR="00064789" w:rsidRPr="00064789">
        <w:t xml:space="preserve">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8"/>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 </w:t>
      </w:r>
      <w:r w:rsidRPr="00331F79">
        <w:rPr>
          <w:rFonts w:ascii="Calibri" w:hAnsi="Calibri"/>
          <w:noProof/>
          <w:sz w:val="22"/>
        </w:rPr>
        <w:tab/>
        <w:t xml:space="preserve">Go AS, Hylek EM, Phillips KA, </w:t>
      </w:r>
      <w:r w:rsidRPr="00331F79">
        <w:rPr>
          <w:rFonts w:ascii="Calibri" w:hAnsi="Calibri"/>
          <w:i/>
          <w:iCs/>
          <w:noProof/>
          <w:sz w:val="22"/>
        </w:rPr>
        <w:t>et al.</w:t>
      </w:r>
      <w:r w:rsidRPr="00331F79">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Pr="00331F79">
        <w:rPr>
          <w:rFonts w:ascii="Calibri" w:hAnsi="Calibri"/>
          <w:i/>
          <w:iCs/>
          <w:noProof/>
          <w:sz w:val="22"/>
        </w:rPr>
        <w:t>JAMA : the journal of the American Medical Association</w:t>
      </w:r>
      <w:r w:rsidRPr="00331F79">
        <w:rPr>
          <w:rFonts w:ascii="Calibri" w:hAnsi="Calibri"/>
          <w:noProof/>
          <w:sz w:val="22"/>
        </w:rPr>
        <w:t xml:space="preserve"> 2001;</w:t>
      </w:r>
      <w:r w:rsidRPr="00331F79">
        <w:rPr>
          <w:rFonts w:ascii="Calibri" w:hAnsi="Calibri"/>
          <w:b/>
          <w:bCs/>
          <w:noProof/>
          <w:sz w:val="22"/>
        </w:rPr>
        <w:t>285</w:t>
      </w:r>
      <w:r w:rsidRPr="00331F79">
        <w:rPr>
          <w:rFonts w:ascii="Calibri" w:hAnsi="Calibri"/>
          <w:noProof/>
          <w:sz w:val="22"/>
        </w:rPr>
        <w:t>:2370–5.</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 </w:t>
      </w:r>
      <w:r w:rsidRPr="00331F79">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331F79">
        <w:rPr>
          <w:rFonts w:ascii="Calibri" w:hAnsi="Calibri"/>
          <w:i/>
          <w:iCs/>
          <w:noProof/>
          <w:sz w:val="22"/>
        </w:rPr>
        <w:t>American heart journal</w:t>
      </w:r>
      <w:r w:rsidRPr="00331F79">
        <w:rPr>
          <w:rFonts w:ascii="Calibri" w:hAnsi="Calibri"/>
          <w:noProof/>
          <w:sz w:val="22"/>
        </w:rPr>
        <w:t xml:space="preserve"> 2010;</w:t>
      </w:r>
      <w:r w:rsidRPr="00331F79">
        <w:rPr>
          <w:rFonts w:ascii="Calibri" w:hAnsi="Calibri"/>
          <w:b/>
          <w:bCs/>
          <w:noProof/>
          <w:sz w:val="22"/>
        </w:rPr>
        <w:t>159</w:t>
      </w:r>
      <w:r w:rsidRPr="00331F79">
        <w:rPr>
          <w:rFonts w:ascii="Calibri" w:hAnsi="Calibri"/>
          <w:noProof/>
          <w:sz w:val="22"/>
        </w:rPr>
        <w:t>:340–347.e1.</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 </w:t>
      </w:r>
      <w:r w:rsidRPr="00331F79">
        <w:rPr>
          <w:rFonts w:ascii="Calibri" w:hAnsi="Calibri"/>
          <w:noProof/>
          <w:sz w:val="22"/>
        </w:rPr>
        <w:tab/>
        <w:t xml:space="preserve">Camm AJ, Kirchhof P, Lip GY, </w:t>
      </w:r>
      <w:r w:rsidRPr="00331F79">
        <w:rPr>
          <w:rFonts w:ascii="Calibri" w:hAnsi="Calibri"/>
          <w:i/>
          <w:iCs/>
          <w:noProof/>
          <w:sz w:val="22"/>
        </w:rPr>
        <w:t>et al.</w:t>
      </w:r>
      <w:r w:rsidRPr="00331F79">
        <w:rPr>
          <w:rFonts w:ascii="Calibri" w:hAnsi="Calibri"/>
          <w:noProof/>
          <w:sz w:val="22"/>
        </w:rPr>
        <w:t xml:space="preserve"> Guidelines for the management of atrial fibrillation: the Task Force for the Management of Atrial Fibrillation of the European Society of Cardiology (ESC). </w:t>
      </w:r>
      <w:r w:rsidRPr="00331F79">
        <w:rPr>
          <w:rFonts w:ascii="Calibri" w:hAnsi="Calibri"/>
          <w:i/>
          <w:iCs/>
          <w:noProof/>
          <w:sz w:val="22"/>
        </w:rPr>
        <w:t>Eur Heart J</w:t>
      </w:r>
      <w:r w:rsidRPr="00331F79">
        <w:rPr>
          <w:rFonts w:ascii="Calibri" w:hAnsi="Calibri"/>
          <w:noProof/>
          <w:sz w:val="22"/>
        </w:rPr>
        <w:t xml:space="preserve"> 2010;</w:t>
      </w:r>
      <w:r w:rsidRPr="00331F79">
        <w:rPr>
          <w:rFonts w:ascii="Calibri" w:hAnsi="Calibri"/>
          <w:b/>
          <w:bCs/>
          <w:noProof/>
          <w:sz w:val="22"/>
        </w:rPr>
        <w:t>31</w:t>
      </w:r>
      <w:r w:rsidRPr="00331F79">
        <w:rPr>
          <w:rFonts w:ascii="Calibri" w:hAnsi="Calibri"/>
          <w:noProof/>
          <w:sz w:val="22"/>
        </w:rPr>
        <w:t>:2369–429.</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4 </w:t>
      </w:r>
      <w:r w:rsidRPr="00331F79">
        <w:rPr>
          <w:rFonts w:ascii="Calibri" w:hAnsi="Calibri"/>
          <w:noProof/>
          <w:sz w:val="22"/>
        </w:rPr>
        <w:tab/>
        <w:t xml:space="preserve">Camm AJ, Lip GYH, De Caterina R, </w:t>
      </w:r>
      <w:r w:rsidRPr="00331F79">
        <w:rPr>
          <w:rFonts w:ascii="Calibri" w:hAnsi="Calibri"/>
          <w:i/>
          <w:iCs/>
          <w:noProof/>
          <w:sz w:val="22"/>
        </w:rPr>
        <w:t>et al.</w:t>
      </w:r>
      <w:r w:rsidRPr="00331F79">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331F79">
        <w:rPr>
          <w:rFonts w:ascii="Calibri" w:hAnsi="Calibri"/>
          <w:i/>
          <w:iCs/>
          <w:noProof/>
          <w:sz w:val="22"/>
        </w:rPr>
        <w:t>European heart journal</w:t>
      </w:r>
      <w:r w:rsidRPr="00331F79">
        <w:rPr>
          <w:rFonts w:ascii="Calibri" w:hAnsi="Calibri"/>
          <w:noProof/>
          <w:sz w:val="22"/>
        </w:rPr>
        <w:t xml:space="preserve"> Published Online First: 24 August 2012. doi:10.1093/eurheartj/ehs253</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5 </w:t>
      </w:r>
      <w:r w:rsidRPr="00331F79">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331F79">
        <w:rPr>
          <w:rFonts w:ascii="Calibri" w:hAnsi="Calibri"/>
          <w:i/>
          <w:iCs/>
          <w:noProof/>
          <w:sz w:val="22"/>
        </w:rPr>
        <w:t>Ann Intern Med</w:t>
      </w:r>
      <w:r w:rsidRPr="00331F79">
        <w:rPr>
          <w:rFonts w:ascii="Calibri" w:hAnsi="Calibri"/>
          <w:noProof/>
          <w:sz w:val="22"/>
        </w:rPr>
        <w:t xml:space="preserve"> 1998;</w:t>
      </w:r>
      <w:r w:rsidRPr="00331F79">
        <w:rPr>
          <w:rFonts w:ascii="Calibri" w:hAnsi="Calibri"/>
          <w:b/>
          <w:bCs/>
          <w:noProof/>
          <w:sz w:val="22"/>
        </w:rPr>
        <w:t>128</w:t>
      </w:r>
      <w:r w:rsidRPr="00331F79">
        <w:rPr>
          <w:rFonts w:ascii="Calibri" w:hAnsi="Calibri"/>
          <w:noProof/>
          <w:sz w:val="22"/>
        </w:rPr>
        <w:t>:639–47.</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6 </w:t>
      </w:r>
      <w:r w:rsidRPr="00331F79">
        <w:rPr>
          <w:rFonts w:ascii="Calibri" w:hAnsi="Calibri"/>
          <w:noProof/>
          <w:sz w:val="22"/>
        </w:rPr>
        <w:tab/>
        <w:t xml:space="preserve">Providencia R, Botelho A, Trigo J, </w:t>
      </w:r>
      <w:r w:rsidRPr="00331F79">
        <w:rPr>
          <w:rFonts w:ascii="Calibri" w:hAnsi="Calibri"/>
          <w:i/>
          <w:iCs/>
          <w:noProof/>
          <w:sz w:val="22"/>
        </w:rPr>
        <w:t>et al.</w:t>
      </w:r>
      <w:r w:rsidRPr="00331F79">
        <w:rPr>
          <w:rFonts w:ascii="Calibri" w:hAnsi="Calibri"/>
          <w:noProof/>
          <w:sz w:val="22"/>
        </w:rPr>
        <w:t xml:space="preserve"> Possible refinement of clinical thromboembolism assessment in patients with atrial fibrillation using echocardiographic parameters. </w:t>
      </w:r>
      <w:r w:rsidRPr="00331F79">
        <w:rPr>
          <w:rFonts w:ascii="Calibri" w:hAnsi="Calibri"/>
          <w:i/>
          <w:iCs/>
          <w:noProof/>
          <w:sz w:val="22"/>
        </w:rPr>
        <w:t>Europace</w:t>
      </w:r>
      <w:r w:rsidRPr="00331F79">
        <w:rPr>
          <w:rFonts w:ascii="Calibri" w:hAnsi="Calibri"/>
          <w:noProof/>
          <w:sz w:val="22"/>
        </w:rPr>
        <w:t xml:space="preserve"> 2012;</w:t>
      </w:r>
      <w:r w:rsidRPr="00331F79">
        <w:rPr>
          <w:rFonts w:ascii="Calibri" w:hAnsi="Calibri"/>
          <w:b/>
          <w:bCs/>
          <w:noProof/>
          <w:sz w:val="22"/>
        </w:rPr>
        <w:t>14</w:t>
      </w:r>
      <w:r w:rsidRPr="00331F79">
        <w:rPr>
          <w:rFonts w:ascii="Calibri" w:hAnsi="Calibri"/>
          <w:noProof/>
          <w:sz w:val="22"/>
        </w:rPr>
        <w:t>:36–45.</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7 </w:t>
      </w:r>
      <w:r w:rsidRPr="00331F79">
        <w:rPr>
          <w:rFonts w:ascii="Calibri" w:hAnsi="Calibri"/>
          <w:noProof/>
          <w:sz w:val="22"/>
        </w:rPr>
        <w:tab/>
        <w:t>NICE. Guide to the methods of technology appraisal. 2008.http://www.nice.org.uk/media/B52/A7/TAMethodsGuideUpdatedJune2008.pdf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8 </w:t>
      </w:r>
      <w:r w:rsidRPr="00331F79">
        <w:rPr>
          <w:rFonts w:ascii="Calibri" w:hAnsi="Calibri"/>
          <w:noProof/>
          <w:sz w:val="22"/>
        </w:rPr>
        <w:tab/>
        <w:t xml:space="preserve">Pliskin JS, Shepard DS, Weinstein MC. Utility Functions for Life Years and Health Status. </w:t>
      </w:r>
      <w:r w:rsidRPr="00331F79">
        <w:rPr>
          <w:rFonts w:ascii="Calibri" w:hAnsi="Calibri"/>
          <w:i/>
          <w:iCs/>
          <w:noProof/>
          <w:sz w:val="22"/>
        </w:rPr>
        <w:t>Operations Research</w:t>
      </w:r>
      <w:r w:rsidRPr="00331F79">
        <w:rPr>
          <w:rFonts w:ascii="Calibri" w:hAnsi="Calibri"/>
          <w:noProof/>
          <w:sz w:val="22"/>
        </w:rPr>
        <w:t xml:space="preserve"> 1980;</w:t>
      </w:r>
      <w:r w:rsidRPr="00331F79">
        <w:rPr>
          <w:rFonts w:ascii="Calibri" w:hAnsi="Calibri"/>
          <w:b/>
          <w:bCs/>
          <w:noProof/>
          <w:sz w:val="22"/>
        </w:rPr>
        <w:t>28</w:t>
      </w:r>
      <w:r w:rsidRPr="00331F79">
        <w:rPr>
          <w:rFonts w:ascii="Calibri" w:hAnsi="Calibri"/>
          <w:noProof/>
          <w:sz w:val="22"/>
        </w:rPr>
        <w:t>:206–24.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9 </w:t>
      </w:r>
      <w:r w:rsidRPr="00331F79">
        <w:rPr>
          <w:rFonts w:ascii="Calibri" w:hAnsi="Calibri"/>
          <w:noProof/>
          <w:sz w:val="22"/>
        </w:rPr>
        <w:tab/>
        <w:t>NICE. Guide to the methods of technology appraisal. NICE methods guide. 2008;:80.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10 </w:t>
      </w:r>
      <w:r w:rsidRPr="00331F79">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11 </w:t>
      </w:r>
      <w:r w:rsidRPr="00331F79">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12 </w:t>
      </w:r>
      <w:r w:rsidRPr="00331F79">
        <w:rPr>
          <w:rFonts w:ascii="Calibri" w:hAnsi="Calibri"/>
          <w:noProof/>
          <w:sz w:val="22"/>
        </w:rPr>
        <w:tab/>
        <w:t xml:space="preserve">Simpson EL, Stevenson MD, Scope A, </w:t>
      </w:r>
      <w:r w:rsidRPr="00331F79">
        <w:rPr>
          <w:rFonts w:ascii="Calibri" w:hAnsi="Calibri"/>
          <w:i/>
          <w:iCs/>
          <w:noProof/>
          <w:sz w:val="22"/>
        </w:rPr>
        <w:t>et al.</w:t>
      </w:r>
      <w:r w:rsidRPr="00331F79">
        <w:rPr>
          <w:rFonts w:ascii="Calibri" w:hAnsi="Calibri"/>
          <w:noProof/>
          <w:sz w:val="22"/>
        </w:rPr>
        <w:t xml:space="preserve"> Echocardiography in newly diagnosed atrial fibrillation patients: a systematic review and economic evaluation. 2012. </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lastRenderedPageBreak/>
        <w:t xml:space="preserve">13 </w:t>
      </w:r>
      <w:r w:rsidRPr="00331F79">
        <w:rPr>
          <w:rFonts w:ascii="Calibri" w:hAnsi="Calibri"/>
          <w:noProof/>
          <w:sz w:val="22"/>
        </w:rPr>
        <w:tab/>
        <w:t xml:space="preserve">PVS TM-STF on. Medical aspects of the persistent vegetative state: second of two parts. </w:t>
      </w:r>
      <w:r w:rsidRPr="00331F79">
        <w:rPr>
          <w:rFonts w:ascii="Calibri" w:hAnsi="Calibri"/>
          <w:i/>
          <w:iCs/>
          <w:noProof/>
          <w:sz w:val="22"/>
        </w:rPr>
        <w:t>The New England Journal of Medicine</w:t>
      </w:r>
      <w:r w:rsidRPr="00331F79">
        <w:rPr>
          <w:rFonts w:ascii="Calibri" w:hAnsi="Calibri"/>
          <w:noProof/>
          <w:sz w:val="22"/>
        </w:rPr>
        <w:t xml:space="preserve"> 1994;</w:t>
      </w:r>
      <w:r w:rsidRPr="00331F79">
        <w:rPr>
          <w:rFonts w:ascii="Calibri" w:hAnsi="Calibri"/>
          <w:b/>
          <w:bCs/>
          <w:noProof/>
          <w:sz w:val="22"/>
        </w:rPr>
        <w:t>330</w:t>
      </w:r>
      <w:r w:rsidRPr="00331F79">
        <w:rPr>
          <w:rFonts w:ascii="Calibri" w:hAnsi="Calibri"/>
          <w:noProof/>
          <w:sz w:val="22"/>
        </w:rPr>
        <w:t>.http://www.nejm.org/doi/full/10.1056/NEJM199406023302206</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14 </w:t>
      </w:r>
      <w:r w:rsidRPr="00331F79">
        <w:rPr>
          <w:rFonts w:ascii="Calibri" w:hAnsi="Calibri"/>
          <w:noProof/>
          <w:sz w:val="22"/>
        </w:rPr>
        <w:tab/>
        <w:t xml:space="preserve">Eikelboom JW, Wallentin L, Connolly SJ, </w:t>
      </w:r>
      <w:r w:rsidRPr="00331F79">
        <w:rPr>
          <w:rFonts w:ascii="Calibri" w:hAnsi="Calibri"/>
          <w:i/>
          <w:iCs/>
          <w:noProof/>
          <w:sz w:val="22"/>
        </w:rPr>
        <w:t>et al.</w:t>
      </w:r>
      <w:r w:rsidRPr="00331F79">
        <w:rPr>
          <w:rFonts w:ascii="Calibri" w:hAnsi="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331F79">
        <w:rPr>
          <w:rFonts w:ascii="Calibri" w:hAnsi="Calibri"/>
          <w:i/>
          <w:iCs/>
          <w:noProof/>
          <w:sz w:val="22"/>
        </w:rPr>
        <w:t>Circulation</w:t>
      </w:r>
      <w:r w:rsidRPr="00331F79">
        <w:rPr>
          <w:rFonts w:ascii="Calibri" w:hAnsi="Calibri"/>
          <w:noProof/>
          <w:sz w:val="22"/>
        </w:rPr>
        <w:t xml:space="preserve"> 2011;</w:t>
      </w:r>
      <w:r w:rsidRPr="00331F79">
        <w:rPr>
          <w:rFonts w:ascii="Calibri" w:hAnsi="Calibri"/>
          <w:b/>
          <w:bCs/>
          <w:noProof/>
          <w:sz w:val="22"/>
        </w:rPr>
        <w:t>123</w:t>
      </w:r>
      <w:r w:rsidRPr="00331F79">
        <w:rPr>
          <w:rFonts w:ascii="Calibri" w:hAnsi="Calibri"/>
          <w:noProof/>
          <w:sz w:val="22"/>
        </w:rPr>
        <w:t>:2363–72.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15 </w:t>
      </w:r>
      <w:r w:rsidRPr="00331F79">
        <w:rPr>
          <w:rFonts w:ascii="Calibri" w:hAnsi="Calibri"/>
          <w:noProof/>
          <w:sz w:val="22"/>
        </w:rPr>
        <w:tab/>
        <w:t xml:space="preserve">Drummond MF, Schulpher MJ, Torrance GW, </w:t>
      </w:r>
      <w:r w:rsidRPr="00331F79">
        <w:rPr>
          <w:rFonts w:ascii="Calibri" w:hAnsi="Calibri"/>
          <w:i/>
          <w:iCs/>
          <w:noProof/>
          <w:sz w:val="22"/>
        </w:rPr>
        <w:t>et al.</w:t>
      </w:r>
      <w:r w:rsidRPr="00331F79">
        <w:rPr>
          <w:rFonts w:ascii="Calibri" w:hAnsi="Calibri"/>
          <w:noProof/>
          <w:sz w:val="22"/>
        </w:rPr>
        <w:t xml:space="preserve"> </w:t>
      </w:r>
      <w:r w:rsidRPr="00331F79">
        <w:rPr>
          <w:rFonts w:ascii="Calibri" w:hAnsi="Calibri"/>
          <w:i/>
          <w:iCs/>
          <w:noProof/>
          <w:sz w:val="22"/>
        </w:rPr>
        <w:t>Methods for the Economic Evaluation of Health Care Programmes</w:t>
      </w:r>
      <w:r w:rsidRPr="00331F79">
        <w:rPr>
          <w:rFonts w:ascii="Calibri" w:hAnsi="Calibri"/>
          <w:noProof/>
          <w:sz w:val="22"/>
        </w:rPr>
        <w:t xml:space="preserve">. Third Edit. Oxford: : OUP 2005. </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16 </w:t>
      </w:r>
      <w:r w:rsidRPr="00331F79">
        <w:rPr>
          <w:rFonts w:ascii="Calibri" w:hAnsi="Calibri"/>
          <w:noProof/>
          <w:sz w:val="22"/>
        </w:rPr>
        <w:tab/>
        <w:t xml:space="preserve">Lip GY, Nieuwlaat R, Pisters R, </w:t>
      </w:r>
      <w:r w:rsidRPr="00331F79">
        <w:rPr>
          <w:rFonts w:ascii="Calibri" w:hAnsi="Calibri"/>
          <w:i/>
          <w:iCs/>
          <w:noProof/>
          <w:sz w:val="22"/>
        </w:rPr>
        <w:t>et al.</w:t>
      </w:r>
      <w:r w:rsidRPr="00331F79">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331F79">
        <w:rPr>
          <w:rFonts w:ascii="Calibri" w:hAnsi="Calibri"/>
          <w:i/>
          <w:iCs/>
          <w:noProof/>
          <w:sz w:val="22"/>
        </w:rPr>
        <w:t>Chest</w:t>
      </w:r>
      <w:r w:rsidRPr="00331F79">
        <w:rPr>
          <w:rFonts w:ascii="Calibri" w:hAnsi="Calibri"/>
          <w:noProof/>
          <w:sz w:val="22"/>
        </w:rPr>
        <w:t xml:space="preserve"> 2010;</w:t>
      </w:r>
      <w:r w:rsidRPr="00331F79">
        <w:rPr>
          <w:rFonts w:ascii="Calibri" w:hAnsi="Calibri"/>
          <w:b/>
          <w:bCs/>
          <w:noProof/>
          <w:sz w:val="22"/>
        </w:rPr>
        <w:t>137</w:t>
      </w:r>
      <w:r w:rsidRPr="00331F79">
        <w:rPr>
          <w:rFonts w:ascii="Calibri" w:hAnsi="Calibri"/>
          <w:noProof/>
          <w:sz w:val="22"/>
        </w:rPr>
        <w:t>:263–72.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17 </w:t>
      </w:r>
      <w:r w:rsidRPr="00331F79">
        <w:rPr>
          <w:rFonts w:ascii="Calibri" w:hAnsi="Calibri"/>
          <w:noProof/>
          <w:sz w:val="22"/>
        </w:rPr>
        <w:tab/>
        <w:t xml:space="preserve">Olesen JB, Lip GYH, Hansen ML, </w:t>
      </w:r>
      <w:r w:rsidRPr="00331F79">
        <w:rPr>
          <w:rFonts w:ascii="Calibri" w:hAnsi="Calibri"/>
          <w:i/>
          <w:iCs/>
          <w:noProof/>
          <w:sz w:val="22"/>
        </w:rPr>
        <w:t>et al.</w:t>
      </w:r>
      <w:r w:rsidRPr="00331F79">
        <w:rPr>
          <w:rFonts w:ascii="Calibri" w:hAnsi="Calibri"/>
          <w:noProof/>
          <w:sz w:val="22"/>
        </w:rPr>
        <w:t xml:space="preserve"> Validation of risk stratification schemes for predicting stroke and thromboembolism in patients with atrial fibrillation: nationwide cohort study. </w:t>
      </w:r>
      <w:r w:rsidRPr="00331F79">
        <w:rPr>
          <w:rFonts w:ascii="Calibri" w:hAnsi="Calibri"/>
          <w:i/>
          <w:iCs/>
          <w:noProof/>
          <w:sz w:val="22"/>
        </w:rPr>
        <w:t>BMJ</w:t>
      </w:r>
      <w:r w:rsidRPr="00331F79">
        <w:rPr>
          <w:rFonts w:ascii="Calibri" w:hAnsi="Calibri"/>
          <w:noProof/>
          <w:sz w:val="22"/>
        </w:rPr>
        <w:t xml:space="preserve"> 2011;</w:t>
      </w:r>
      <w:r w:rsidRPr="00331F79">
        <w:rPr>
          <w:rFonts w:ascii="Calibri" w:hAnsi="Calibri"/>
          <w:b/>
          <w:bCs/>
          <w:noProof/>
          <w:sz w:val="22"/>
        </w:rPr>
        <w:t>342</w:t>
      </w:r>
      <w:r w:rsidRPr="00331F79">
        <w:rPr>
          <w:rFonts w:ascii="Calibri" w:hAnsi="Calibri"/>
          <w:noProof/>
          <w:sz w:val="22"/>
        </w:rPr>
        <w:t>:d124–d124.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18 </w:t>
      </w:r>
      <w:r w:rsidRPr="00331F79">
        <w:rPr>
          <w:rFonts w:ascii="Calibri" w:hAnsi="Calibri"/>
          <w:noProof/>
          <w:sz w:val="22"/>
        </w:rPr>
        <w:tab/>
        <w:t>ONS. Interim Life Tables. 2011;</w:t>
      </w:r>
      <w:r w:rsidRPr="00331F79">
        <w:rPr>
          <w:rFonts w:ascii="Calibri" w:hAnsi="Calibri"/>
          <w:b/>
          <w:bCs/>
          <w:noProof/>
          <w:sz w:val="22"/>
        </w:rPr>
        <w:t>2012</w:t>
      </w:r>
      <w:r w:rsidRPr="00331F79">
        <w:rPr>
          <w:rFonts w:ascii="Calibri" w:hAnsi="Calibri"/>
          <w:noProof/>
          <w:sz w:val="22"/>
        </w:rPr>
        <w:t>.http://www.ons.gov.uk/ons/taxonomy/index.html?nscl=Interim+Life+Tables</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19 </w:t>
      </w:r>
      <w:r w:rsidRPr="00331F79">
        <w:rPr>
          <w:rFonts w:ascii="Calibri" w:hAnsi="Calibri"/>
          <w:noProof/>
          <w:sz w:val="22"/>
        </w:rPr>
        <w:tab/>
        <w:t>DoH. NHS Reference Costs 2009-2010. 2011;</w:t>
      </w:r>
      <w:r w:rsidRPr="00331F79">
        <w:rPr>
          <w:rFonts w:ascii="Calibri" w:hAnsi="Calibri"/>
          <w:b/>
          <w:bCs/>
          <w:noProof/>
          <w:sz w:val="22"/>
        </w:rPr>
        <w:t>2012</w:t>
      </w:r>
      <w:r w:rsidRPr="00331F79">
        <w:rPr>
          <w:rFonts w:ascii="Calibri" w:hAnsi="Calibri"/>
          <w:noProof/>
          <w:sz w:val="22"/>
        </w:rPr>
        <w:t>.http://www.dh.gov.uk/en/Publicationsandstatistics/Publications/PublicationsPolicyAndGuidance/DH_123459</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20 </w:t>
      </w:r>
      <w:r w:rsidRPr="00331F79">
        <w:rPr>
          <w:rFonts w:ascii="Calibri" w:hAnsi="Calibri"/>
          <w:noProof/>
          <w:sz w:val="22"/>
        </w:rPr>
        <w:tab/>
        <w:t xml:space="preserve">Lip GYH, Frison L, Halperin JL, </w:t>
      </w:r>
      <w:r w:rsidRPr="00331F79">
        <w:rPr>
          <w:rFonts w:ascii="Calibri" w:hAnsi="Calibri"/>
          <w:i/>
          <w:iCs/>
          <w:noProof/>
          <w:sz w:val="22"/>
        </w:rPr>
        <w:t>et al.</w:t>
      </w:r>
      <w:r w:rsidRPr="00331F79">
        <w:rPr>
          <w:rFonts w:ascii="Calibri" w:hAnsi="Calibri"/>
          <w:noProof/>
          <w:sz w:val="22"/>
        </w:rPr>
        <w:t xml:space="preserve"> Comparative validation of a novel risk score for predicting bleeding risk in anticoagulated patients with atrial fibrillation: the HAS-BLED (Hypertension, Abnormal Renal/Liver Function, Stroke, Bleeding History or Predisposition, Labile INR, Elderly, Drug. </w:t>
      </w:r>
      <w:r w:rsidRPr="00331F79">
        <w:rPr>
          <w:rFonts w:ascii="Calibri" w:hAnsi="Calibri"/>
          <w:i/>
          <w:iCs/>
          <w:noProof/>
          <w:sz w:val="22"/>
        </w:rPr>
        <w:t>Journal of the American College of Cardiology</w:t>
      </w:r>
      <w:r w:rsidRPr="00331F79">
        <w:rPr>
          <w:rFonts w:ascii="Calibri" w:hAnsi="Calibri"/>
          <w:noProof/>
          <w:sz w:val="22"/>
        </w:rPr>
        <w:t xml:space="preserve"> 2011;</w:t>
      </w:r>
      <w:r w:rsidRPr="00331F79">
        <w:rPr>
          <w:rFonts w:ascii="Calibri" w:hAnsi="Calibri"/>
          <w:b/>
          <w:bCs/>
          <w:noProof/>
          <w:sz w:val="22"/>
        </w:rPr>
        <w:t>57</w:t>
      </w:r>
      <w:r w:rsidRPr="00331F79">
        <w:rPr>
          <w:rFonts w:ascii="Calibri" w:hAnsi="Calibri"/>
          <w:noProof/>
          <w:sz w:val="22"/>
        </w:rPr>
        <w:t>:173–80.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21 </w:t>
      </w:r>
      <w:r w:rsidRPr="00331F79">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331F79">
        <w:rPr>
          <w:rFonts w:ascii="Calibri" w:hAnsi="Calibri"/>
          <w:i/>
          <w:iCs/>
          <w:noProof/>
          <w:sz w:val="22"/>
        </w:rPr>
        <w:t>European heart journal</w:t>
      </w:r>
      <w:r w:rsidRPr="00331F79">
        <w:rPr>
          <w:rFonts w:ascii="Calibri" w:hAnsi="Calibri"/>
          <w:noProof/>
          <w:sz w:val="22"/>
        </w:rPr>
        <w:t xml:space="preserve"> Published Online First: 13 January 2012. doi:10.1093/eurheartj/ehr488</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22 </w:t>
      </w:r>
      <w:r w:rsidRPr="00331F79">
        <w:rPr>
          <w:rFonts w:ascii="Calibri" w:hAnsi="Calibri"/>
          <w:noProof/>
          <w:sz w:val="22"/>
        </w:rPr>
        <w:tab/>
        <w:t xml:space="preserve">Lip GYH, Edwards SJ. Stroke prevention with aspirin, warfarin and ximelagatran in patients with non-valvular atrial fibrillation: a systematic review and meta-analysis. </w:t>
      </w:r>
      <w:r w:rsidRPr="00331F79">
        <w:rPr>
          <w:rFonts w:ascii="Calibri" w:hAnsi="Calibri"/>
          <w:i/>
          <w:iCs/>
          <w:noProof/>
          <w:sz w:val="22"/>
        </w:rPr>
        <w:t>Thrombosis research</w:t>
      </w:r>
      <w:r w:rsidRPr="00331F79">
        <w:rPr>
          <w:rFonts w:ascii="Calibri" w:hAnsi="Calibri"/>
          <w:noProof/>
          <w:sz w:val="22"/>
        </w:rPr>
        <w:t xml:space="preserve"> 2006;</w:t>
      </w:r>
      <w:r w:rsidRPr="00331F79">
        <w:rPr>
          <w:rFonts w:ascii="Calibri" w:hAnsi="Calibri"/>
          <w:b/>
          <w:bCs/>
          <w:noProof/>
          <w:sz w:val="22"/>
        </w:rPr>
        <w:t>118</w:t>
      </w:r>
      <w:r w:rsidRPr="00331F79">
        <w:rPr>
          <w:rFonts w:ascii="Calibri" w:hAnsi="Calibri"/>
          <w:noProof/>
          <w:sz w:val="22"/>
        </w:rPr>
        <w:t>:321–33.</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23 </w:t>
      </w:r>
      <w:r w:rsidRPr="00331F79">
        <w:rPr>
          <w:rFonts w:ascii="Calibri" w:hAnsi="Calibri"/>
          <w:noProof/>
          <w:sz w:val="22"/>
        </w:rPr>
        <w:tab/>
        <w:t xml:space="preserve">Patel MR, Mahaffey KW, Garg J, </w:t>
      </w:r>
      <w:r w:rsidRPr="00331F79">
        <w:rPr>
          <w:rFonts w:ascii="Calibri" w:hAnsi="Calibri"/>
          <w:i/>
          <w:iCs/>
          <w:noProof/>
          <w:sz w:val="22"/>
        </w:rPr>
        <w:t>et al.</w:t>
      </w:r>
      <w:r w:rsidRPr="00331F79">
        <w:rPr>
          <w:rFonts w:ascii="Calibri" w:hAnsi="Calibri"/>
          <w:noProof/>
          <w:sz w:val="22"/>
        </w:rPr>
        <w:t xml:space="preserve"> Rivaroxaban versus Warfarin in Nonvalvular Atrial Fibrillation. </w:t>
      </w:r>
      <w:r w:rsidRPr="00331F79">
        <w:rPr>
          <w:rFonts w:ascii="Calibri" w:hAnsi="Calibri"/>
          <w:i/>
          <w:iCs/>
          <w:noProof/>
          <w:sz w:val="22"/>
        </w:rPr>
        <w:t>New England Journal of Medicine</w:t>
      </w:r>
      <w:r w:rsidRPr="00331F79">
        <w:rPr>
          <w:rFonts w:ascii="Calibri" w:hAnsi="Calibri"/>
          <w:noProof/>
          <w:sz w:val="22"/>
        </w:rPr>
        <w:t xml:space="preserve"> 2011;</w:t>
      </w:r>
      <w:r w:rsidRPr="00331F79">
        <w:rPr>
          <w:rFonts w:ascii="Calibri" w:hAnsi="Calibri"/>
          <w:b/>
          <w:bCs/>
          <w:noProof/>
          <w:sz w:val="22"/>
        </w:rPr>
        <w:t>365</w:t>
      </w:r>
      <w:r w:rsidRPr="00331F79">
        <w:rPr>
          <w:rFonts w:ascii="Calibri" w:hAnsi="Calibri"/>
          <w:noProof/>
          <w:sz w:val="22"/>
        </w:rPr>
        <w:t>:883–91.</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24 </w:t>
      </w:r>
      <w:r w:rsidRPr="00331F79">
        <w:rPr>
          <w:rFonts w:ascii="Calibri" w:hAnsi="Calibri"/>
          <w:noProof/>
          <w:sz w:val="22"/>
        </w:rPr>
        <w:tab/>
        <w:t xml:space="preserve">Rivero-Arias O, Ouellet M, Gray A, </w:t>
      </w:r>
      <w:r w:rsidRPr="00331F79">
        <w:rPr>
          <w:rFonts w:ascii="Calibri" w:hAnsi="Calibri"/>
          <w:i/>
          <w:iCs/>
          <w:noProof/>
          <w:sz w:val="22"/>
        </w:rPr>
        <w:t>et al.</w:t>
      </w:r>
      <w:r w:rsidRPr="00331F79">
        <w:rPr>
          <w:rFonts w:ascii="Calibri" w:hAnsi="Calibri"/>
          <w:noProof/>
          <w:sz w:val="22"/>
        </w:rPr>
        <w:t xml:space="preserve"> Mapping the Modified Rankin Scale (mRS) Measurement into the Generic EuroQol (EQ-5D) Health Outcome. </w:t>
      </w:r>
      <w:r w:rsidRPr="00331F79">
        <w:rPr>
          <w:rFonts w:ascii="Calibri" w:hAnsi="Calibri"/>
          <w:i/>
          <w:iCs/>
          <w:noProof/>
          <w:sz w:val="22"/>
        </w:rPr>
        <w:t>Medical Decision Making</w:t>
      </w:r>
      <w:r w:rsidRPr="00331F79">
        <w:rPr>
          <w:rFonts w:ascii="Calibri" w:hAnsi="Calibri"/>
          <w:noProof/>
          <w:sz w:val="22"/>
        </w:rPr>
        <w:t xml:space="preserve"> 2010;</w:t>
      </w:r>
      <w:r w:rsidRPr="00331F79">
        <w:rPr>
          <w:rFonts w:ascii="Calibri" w:hAnsi="Calibri"/>
          <w:b/>
          <w:bCs/>
          <w:noProof/>
          <w:sz w:val="22"/>
        </w:rPr>
        <w:t>30</w:t>
      </w:r>
      <w:r w:rsidRPr="00331F79">
        <w:rPr>
          <w:rFonts w:ascii="Calibri" w:hAnsi="Calibri"/>
          <w:noProof/>
          <w:sz w:val="22"/>
        </w:rPr>
        <w:t>:341–54.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25 </w:t>
      </w:r>
      <w:r w:rsidRPr="00331F79">
        <w:rPr>
          <w:rFonts w:ascii="Calibri" w:hAnsi="Calibri"/>
          <w:noProof/>
          <w:sz w:val="22"/>
        </w:rPr>
        <w:tab/>
        <w:t xml:space="preserve">Simpson EL, Stevenson MD, Rawdin A, </w:t>
      </w:r>
      <w:r w:rsidRPr="00331F79">
        <w:rPr>
          <w:rFonts w:ascii="Calibri" w:hAnsi="Calibri"/>
          <w:i/>
          <w:iCs/>
          <w:noProof/>
          <w:sz w:val="22"/>
        </w:rPr>
        <w:t>et al.</w:t>
      </w:r>
      <w:r w:rsidRPr="00331F79">
        <w:rPr>
          <w:rFonts w:ascii="Calibri" w:hAnsi="Calibri"/>
          <w:noProof/>
          <w:sz w:val="22"/>
        </w:rPr>
        <w:t xml:space="preserve"> Thrombophilia testing in people with venous thromboembolism: systematic review and cost-effectiveness analysis. </w:t>
      </w:r>
      <w:r w:rsidRPr="00331F79">
        <w:rPr>
          <w:rFonts w:ascii="Calibri" w:hAnsi="Calibri"/>
          <w:i/>
          <w:iCs/>
          <w:noProof/>
          <w:sz w:val="22"/>
        </w:rPr>
        <w:t>Health Technology Assessment</w:t>
      </w:r>
      <w:r w:rsidRPr="00331F79">
        <w:rPr>
          <w:rFonts w:ascii="Calibri" w:hAnsi="Calibri"/>
          <w:noProof/>
          <w:sz w:val="22"/>
        </w:rPr>
        <w:t xml:space="preserve"> 2009;</w:t>
      </w:r>
      <w:r w:rsidRPr="00331F79">
        <w:rPr>
          <w:rFonts w:ascii="Calibri" w:hAnsi="Calibri"/>
          <w:b/>
          <w:bCs/>
          <w:noProof/>
          <w:sz w:val="22"/>
        </w:rPr>
        <w:t>13</w:t>
      </w:r>
      <w:r w:rsidRPr="00331F79">
        <w:rPr>
          <w:rFonts w:ascii="Calibri" w:hAnsi="Calibri"/>
          <w:noProof/>
          <w:sz w:val="22"/>
        </w:rPr>
        <w:t>. doi:10.3310/hta13020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lastRenderedPageBreak/>
        <w:t xml:space="preserve">26 </w:t>
      </w:r>
      <w:r w:rsidRPr="00331F79">
        <w:rPr>
          <w:rFonts w:ascii="Calibri" w:hAnsi="Calibri"/>
          <w:noProof/>
          <w:sz w:val="22"/>
        </w:rPr>
        <w:tab/>
        <w:t xml:space="preserve">Ara R, Brazier JE. Populating an economic model with health state utility values: moving toward better practice. </w:t>
      </w:r>
      <w:r w:rsidRPr="00331F79">
        <w:rPr>
          <w:rFonts w:ascii="Calibri" w:hAnsi="Calibri"/>
          <w:i/>
          <w:iCs/>
          <w:noProof/>
          <w:sz w:val="22"/>
        </w:rPr>
        <w:t>Value in health : the journal of the International Society for Pharmacoeconomics and Outcomes Research</w:t>
      </w:r>
      <w:r w:rsidRPr="00331F79">
        <w:rPr>
          <w:rFonts w:ascii="Calibri" w:hAnsi="Calibri"/>
          <w:noProof/>
          <w:sz w:val="22"/>
        </w:rPr>
        <w:t xml:space="preserve"> 2010;</w:t>
      </w:r>
      <w:r w:rsidRPr="00331F79">
        <w:rPr>
          <w:rFonts w:ascii="Calibri" w:hAnsi="Calibri"/>
          <w:b/>
          <w:bCs/>
          <w:noProof/>
          <w:sz w:val="22"/>
        </w:rPr>
        <w:t>13</w:t>
      </w:r>
      <w:r w:rsidRPr="00331F79">
        <w:rPr>
          <w:rFonts w:ascii="Calibri" w:hAnsi="Calibri"/>
          <w:noProof/>
          <w:sz w:val="22"/>
        </w:rPr>
        <w:t>:509–18.</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27 </w:t>
      </w:r>
      <w:r w:rsidRPr="00331F79">
        <w:rPr>
          <w:rFonts w:ascii="Calibri" w:hAnsi="Calibri"/>
          <w:noProof/>
          <w:sz w:val="22"/>
        </w:rPr>
        <w:tab/>
        <w:t>NICE. Dabigatran etexilate for the prevention of stroke and systemic embolism in atrial fibrillation: Final appraisal determination. 2011;</w:t>
      </w:r>
      <w:r w:rsidRPr="00331F79">
        <w:rPr>
          <w:rFonts w:ascii="Calibri" w:hAnsi="Calibri"/>
          <w:b/>
          <w:bCs/>
          <w:noProof/>
          <w:sz w:val="22"/>
        </w:rPr>
        <w:t>2012</w:t>
      </w:r>
      <w:r w:rsidRPr="00331F79">
        <w:rPr>
          <w:rFonts w:ascii="Calibri" w:hAnsi="Calibri"/>
          <w:noProof/>
          <w:sz w:val="22"/>
        </w:rPr>
        <w:t>.http://www.nice.org.uk/nicemedia/live/12225/56899/56899.pdf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28 </w:t>
      </w:r>
      <w:r w:rsidRPr="00331F79">
        <w:rPr>
          <w:rFonts w:ascii="Calibri" w:hAnsi="Calibri"/>
          <w:noProof/>
          <w:sz w:val="22"/>
        </w:rPr>
        <w:tab/>
        <w:t>Group LND. A briefing paper on Dabigatran and Rivaroxaban: What we know so far... 2012;</w:t>
      </w:r>
      <w:r w:rsidRPr="00331F79">
        <w:rPr>
          <w:rFonts w:ascii="Calibri" w:hAnsi="Calibri"/>
          <w:b/>
          <w:bCs/>
          <w:noProof/>
          <w:sz w:val="22"/>
        </w:rPr>
        <w:t>2012</w:t>
      </w:r>
      <w:r w:rsidRPr="00331F79">
        <w:rPr>
          <w:rFonts w:ascii="Calibri" w:hAnsi="Calibri"/>
          <w:noProof/>
          <w:sz w:val="22"/>
        </w:rPr>
        <w:t>.http://www.nelm.nhs.uk/en/NeLM-Area/Evidence/Drug-Specific-Reviews/A-briefing-paper-on-dabigatran-and-rivaroxaban/</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29 </w:t>
      </w:r>
      <w:r w:rsidRPr="00331F79">
        <w:rPr>
          <w:rFonts w:ascii="Calibri" w:hAnsi="Calibri"/>
          <w:noProof/>
          <w:sz w:val="22"/>
        </w:rPr>
        <w:tab/>
        <w:t>BNF. Warfarin. 2011;</w:t>
      </w:r>
      <w:r w:rsidRPr="00331F79">
        <w:rPr>
          <w:rFonts w:ascii="Calibri" w:hAnsi="Calibri"/>
          <w:b/>
          <w:bCs/>
          <w:noProof/>
          <w:sz w:val="22"/>
        </w:rPr>
        <w:t>2012</w:t>
      </w:r>
      <w:r w:rsidRPr="00331F79">
        <w:rPr>
          <w:rFonts w:ascii="Calibri" w:hAnsi="Calibri"/>
          <w:noProof/>
          <w:sz w:val="22"/>
        </w:rPr>
        <w:t>.https://mail.google.com/mail/u/1/#inbox/134f06255f3f63de</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30 </w:t>
      </w:r>
      <w:r w:rsidRPr="00331F79">
        <w:rPr>
          <w:rFonts w:ascii="Calibri" w:hAnsi="Calibri"/>
          <w:noProof/>
          <w:sz w:val="22"/>
        </w:rPr>
        <w:tab/>
        <w:t xml:space="preserve">Sandercock P, Berge E, Dennis M, </w:t>
      </w:r>
      <w:r w:rsidRPr="00331F79">
        <w:rPr>
          <w:rFonts w:ascii="Calibri" w:hAnsi="Calibri"/>
          <w:i/>
          <w:iCs/>
          <w:noProof/>
          <w:sz w:val="22"/>
        </w:rPr>
        <w:t>et al.</w:t>
      </w:r>
      <w:r w:rsidRPr="00331F79">
        <w:rPr>
          <w:rFonts w:ascii="Calibri" w:hAnsi="Calibri"/>
          <w:noProof/>
          <w:sz w:val="22"/>
        </w:rPr>
        <w:t xml:space="preserve"> A systematic review of the effectiveness, cost-effectiveness and barriers to implementation of thrombolytic and neuroprotective therapy for acute ischaemic stroke in the NHS. </w:t>
      </w:r>
      <w:r w:rsidRPr="00331F79">
        <w:rPr>
          <w:rFonts w:ascii="Calibri" w:hAnsi="Calibri"/>
          <w:i/>
          <w:iCs/>
          <w:noProof/>
          <w:sz w:val="22"/>
        </w:rPr>
        <w:t>Health Technology Assessment</w:t>
      </w:r>
      <w:r w:rsidRPr="00331F79">
        <w:rPr>
          <w:rFonts w:ascii="Calibri" w:hAnsi="Calibri"/>
          <w:noProof/>
          <w:sz w:val="22"/>
        </w:rPr>
        <w:t xml:space="preserve"> 2002;</w:t>
      </w:r>
      <w:r w:rsidRPr="00331F79">
        <w:rPr>
          <w:rFonts w:ascii="Calibri" w:hAnsi="Calibri"/>
          <w:b/>
          <w:bCs/>
          <w:noProof/>
          <w:sz w:val="22"/>
        </w:rPr>
        <w:t>6</w:t>
      </w:r>
      <w:r w:rsidRPr="00331F79">
        <w:rPr>
          <w:rFonts w:ascii="Calibri" w:hAnsi="Calibri"/>
          <w:noProof/>
          <w:sz w:val="22"/>
        </w:rPr>
        <w:t>.</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31 </w:t>
      </w:r>
      <w:r w:rsidRPr="00331F79">
        <w:rPr>
          <w:rFonts w:ascii="Calibri" w:hAnsi="Calibri"/>
          <w:noProof/>
          <w:sz w:val="22"/>
        </w:rPr>
        <w:tab/>
        <w:t>NHS. National Stroke Strategy Impact Assessment. 2007;</w:t>
      </w:r>
      <w:r w:rsidRPr="00331F79">
        <w:rPr>
          <w:rFonts w:ascii="Calibri" w:hAnsi="Calibri"/>
          <w:b/>
          <w:bCs/>
          <w:noProof/>
          <w:sz w:val="22"/>
        </w:rPr>
        <w:t>2012</w:t>
      </w:r>
      <w:r w:rsidRPr="00331F79">
        <w:rPr>
          <w:rFonts w:ascii="Calibri" w:hAnsi="Calibri"/>
          <w:noProof/>
          <w:sz w:val="22"/>
        </w:rPr>
        <w:t>.http://www.dh.gov.uk/prod_consum_dh/groups/dh_digitalassets/documents/digitalasset/dh_081054.pdf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32 </w:t>
      </w:r>
      <w:r w:rsidRPr="00331F79">
        <w:rPr>
          <w:rFonts w:ascii="Calibri" w:hAnsi="Calibri"/>
          <w:noProof/>
          <w:sz w:val="22"/>
        </w:rPr>
        <w:tab/>
        <w:t xml:space="preserve">Curtis L. Unit Costs of Health and Social Care 2010. Kent: 2010. </w:t>
      </w:r>
    </w:p>
    <w:p w:rsidR="00834F71" w:rsidRPr="00532F44" w:rsidRDefault="00834F71" w:rsidP="00331F79">
      <w:pPr>
        <w:pStyle w:val="NormalWeb"/>
        <w:ind w:left="640" w:hanging="640"/>
        <w:divId w:val="551624515"/>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tbl>
      <w:tblPr>
        <w:tblStyle w:val="TableGrid"/>
        <w:tblW w:w="0" w:type="auto"/>
        <w:tblLook w:val="04A0"/>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7A2563">
        <w:rPr>
          <w:noProof/>
          <w:color w:val="auto"/>
        </w:rPr>
        <w:t>1</w:t>
      </w:r>
      <w:bookmarkEnd w:id="4"/>
      <w:r w:rsidRPr="00532F44">
        <w:rPr>
          <w:color w:val="auto"/>
        </w:rPr>
        <w:t xml:space="preserve"> </w:t>
      </w:r>
      <w:r w:rsidR="00BC4AAE" w:rsidRPr="00532F44">
        <w:rPr>
          <w:color w:val="auto"/>
        </w:rPr>
        <w:t>Simplified OAC indications by OAC,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7946CB" w:rsidRDefault="007946CB" w:rsidP="007946CB">
      <w:pPr>
        <w:spacing w:line="480" w:lineRule="auto"/>
      </w:pPr>
    </w:p>
    <w:tbl>
      <w:tblPr>
        <w:tblStyle w:val="TableGrid"/>
        <w:tblW w:w="0" w:type="auto"/>
        <w:tblLook w:val="04A0"/>
      </w:tblPr>
      <w:tblGrid>
        <w:gridCol w:w="11590"/>
      </w:tblGrid>
      <w:tr w:rsidR="007946CB" w:rsidRPr="0031099C" w:rsidTr="00CB6D0B">
        <w:tc>
          <w:tcPr>
            <w:tcW w:w="11590" w:type="dxa"/>
          </w:tcPr>
          <w:tbl>
            <w:tblPr>
              <w:tblStyle w:val="TableGrid"/>
              <w:tblW w:w="11335" w:type="dxa"/>
              <w:tblLook w:val="04A0"/>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5" w:name="_Ref349291846"/>
      <w:bookmarkStart w:id="6" w:name="_Ref349294513"/>
      <w:r w:rsidRPr="00F309FB">
        <w:rPr>
          <w:color w:val="auto"/>
        </w:rPr>
        <w:t xml:space="preserve">Table </w:t>
      </w:r>
      <w:r w:rsidR="007A2563">
        <w:rPr>
          <w:noProof/>
          <w:color w:val="auto"/>
        </w:rPr>
        <w:t>2</w:t>
      </w:r>
      <w:bookmarkEnd w:id="5"/>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t>
      </w:r>
      <w:proofErr w:type="spellStart"/>
      <w:r w:rsidRPr="00F309FB">
        <w:rPr>
          <w:color w:val="auto"/>
        </w:rPr>
        <w:t>warfarin</w:t>
      </w:r>
      <w:proofErr w:type="spellEnd"/>
      <w:r w:rsidRPr="00F309FB">
        <w:rPr>
          <w:color w:val="auto"/>
        </w:rPr>
        <w:t xml:space="preserve">;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EB3ED4" w:rsidRPr="000D7226" w:rsidRDefault="007946CB" w:rsidP="000D7226">
      <w:pPr>
        <w:spacing w:line="276" w:lineRule="auto"/>
        <w:jc w:val="left"/>
        <w:rPr>
          <w:lang w:val="en-GB"/>
        </w:rPr>
        <w:sectPr w:rsidR="00EB3ED4" w:rsidRPr="000D7226" w:rsidSect="003225C4">
          <w:pgSz w:w="16838" w:h="11906" w:orient="landscape"/>
          <w:pgMar w:top="1440" w:right="1440" w:bottom="1440" w:left="1440" w:header="708" w:footer="708" w:gutter="0"/>
          <w:cols w:space="708"/>
          <w:docGrid w:linePitch="360"/>
        </w:sectPr>
      </w:pPr>
      <w:r>
        <w:rPr>
          <w:lang w:val="en-GB"/>
        </w:rPr>
        <w:lastRenderedPageBreak/>
        <w:br w:type="page"/>
      </w: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7" w:name="_Ref335141468"/>
      <w:r w:rsidRPr="0031099C">
        <w:rPr>
          <w:color w:val="auto"/>
        </w:rPr>
        <w:lastRenderedPageBreak/>
        <w:t xml:space="preserve">Table </w:t>
      </w:r>
      <w:r w:rsidR="007A2563">
        <w:rPr>
          <w:noProof/>
          <w:color w:val="auto"/>
        </w:rPr>
        <w:t>3</w:t>
      </w:r>
      <w:bookmarkEnd w:id="7"/>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proofErr w:type="spellStart"/>
      <w:r w:rsidRPr="0031099C">
        <w:rPr>
          <w:color w:val="auto"/>
        </w:rPr>
        <w:t>warfarin</w:t>
      </w:r>
      <w:proofErr w:type="spellEnd"/>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8" w:name="_Ref335142114"/>
      <w:proofErr w:type="gramStart"/>
      <w:r w:rsidRPr="0031099C">
        <w:rPr>
          <w:color w:val="auto"/>
        </w:rPr>
        <w:lastRenderedPageBreak/>
        <w:t xml:space="preserve">Table </w:t>
      </w:r>
      <w:r w:rsidR="007A2563">
        <w:rPr>
          <w:noProof/>
          <w:color w:val="auto"/>
        </w:rPr>
        <w:t>4</w:t>
      </w:r>
      <w:bookmarkEnd w:id="8"/>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bookmarkEnd w:id="0"/>
    <w:p w:rsidR="009A7B3B" w:rsidRDefault="009A7B3B">
      <w:pPr>
        <w:spacing w:line="276" w:lineRule="auto"/>
        <w:jc w:val="left"/>
        <w:rPr>
          <w:rFonts w:asciiTheme="majorHAnsi" w:eastAsiaTheme="majorEastAsia" w:hAnsiTheme="majorHAnsi" w:cstheme="majorBidi"/>
          <w:b/>
          <w:bCs/>
          <w:sz w:val="32"/>
          <w:szCs w:val="28"/>
        </w:rPr>
      </w:pPr>
      <w:r>
        <w:br w:type="page"/>
      </w:r>
    </w:p>
    <w:p w:rsidR="003D7462" w:rsidRDefault="009A7B3B" w:rsidP="009A7B3B">
      <w:pPr>
        <w:pStyle w:val="Heading1"/>
        <w:numPr>
          <w:ilvl w:val="0"/>
          <w:numId w:val="0"/>
        </w:numPr>
        <w:divId w:val="1548566716"/>
      </w:pPr>
      <w:r>
        <w:lastRenderedPageBreak/>
        <w:t>Figure legends</w:t>
      </w:r>
    </w:p>
    <w:p w:rsidR="009A7B3B" w:rsidRDefault="009A7B3B" w:rsidP="009A7B3B">
      <w:pPr>
        <w:divId w:val="1548566716"/>
      </w:pPr>
    </w:p>
    <w:p w:rsidR="009A7B3B" w:rsidRPr="009A7B3B" w:rsidRDefault="009A7B3B" w:rsidP="009A7B3B">
      <w:pPr>
        <w:divId w:val="1548566716"/>
        <w:rPr>
          <w:b/>
        </w:rPr>
      </w:pPr>
      <w:r w:rsidRPr="009A7B3B">
        <w:rPr>
          <w:b/>
        </w:rPr>
        <w:t xml:space="preserve">Figure 1: Conceptual model </w:t>
      </w:r>
    </w:p>
    <w:p w:rsidR="009A7B3B" w:rsidRPr="009A7B3B" w:rsidRDefault="009A7B3B" w:rsidP="009A7B3B">
      <w:pPr>
        <w:pStyle w:val="Caption"/>
        <w:divId w:val="1548566716"/>
        <w:rPr>
          <w:color w:val="auto"/>
          <w:sz w:val="22"/>
          <w:szCs w:val="22"/>
        </w:rPr>
      </w:pPr>
      <w:r w:rsidRPr="009A7B3B">
        <w:rPr>
          <w:color w:val="auto"/>
          <w:sz w:val="22"/>
          <w:szCs w:val="22"/>
        </w:rPr>
        <w:t xml:space="preserve">Figure 2: Probabilistic sensitivity analysis (PSA) </w:t>
      </w:r>
      <w:proofErr w:type="spellStart"/>
      <w:r w:rsidRPr="009A7B3B">
        <w:rPr>
          <w:color w:val="auto"/>
          <w:sz w:val="22"/>
          <w:szCs w:val="22"/>
        </w:rPr>
        <w:t>scatterplots</w:t>
      </w:r>
      <w:proofErr w:type="spellEnd"/>
      <w:r w:rsidRPr="009A7B3B">
        <w:rPr>
          <w:color w:val="auto"/>
          <w:sz w:val="22"/>
          <w:szCs w:val="22"/>
        </w:rPr>
        <w:t xml:space="preserve"> of the incremental costs and incremental quality adjusted </w:t>
      </w:r>
      <w:proofErr w:type="spellStart"/>
      <w:r w:rsidRPr="009A7B3B">
        <w:rPr>
          <w:color w:val="auto"/>
          <w:sz w:val="22"/>
          <w:szCs w:val="22"/>
        </w:rPr>
        <w:t>lifeyears</w:t>
      </w:r>
      <w:proofErr w:type="spellEnd"/>
      <w:r w:rsidRPr="009A7B3B">
        <w:rPr>
          <w:color w:val="auto"/>
          <w:sz w:val="22"/>
          <w:szCs w:val="22"/>
        </w:rPr>
        <w:t xml:space="preserve"> (QALYs) of using </w:t>
      </w:r>
      <w:proofErr w:type="spellStart"/>
      <w:r w:rsidRPr="009A7B3B">
        <w:rPr>
          <w:color w:val="auto"/>
          <w:sz w:val="22"/>
          <w:szCs w:val="22"/>
        </w:rPr>
        <w:t>transthoracic</w:t>
      </w:r>
      <w:proofErr w:type="spellEnd"/>
      <w:r w:rsidRPr="009A7B3B">
        <w:rPr>
          <w:color w:val="auto"/>
          <w:sz w:val="22"/>
          <w:szCs w:val="22"/>
        </w:rPr>
        <w:t xml:space="preserve"> echocardiography (TTE) to inform the decision whether to prescribe either a) </w:t>
      </w:r>
      <w:proofErr w:type="spellStart"/>
      <w:r w:rsidRPr="009A7B3B">
        <w:rPr>
          <w:color w:val="auto"/>
          <w:sz w:val="22"/>
          <w:szCs w:val="22"/>
        </w:rPr>
        <w:t>warfarin</w:t>
      </w:r>
      <w:proofErr w:type="spellEnd"/>
      <w:r w:rsidRPr="009A7B3B">
        <w:rPr>
          <w:color w:val="auto"/>
          <w:sz w:val="22"/>
          <w:szCs w:val="22"/>
        </w:rPr>
        <w:t xml:space="preserve">, b) </w:t>
      </w:r>
      <w:proofErr w:type="spellStart"/>
      <w:r w:rsidRPr="009A7B3B">
        <w:rPr>
          <w:color w:val="auto"/>
          <w:sz w:val="22"/>
          <w:szCs w:val="22"/>
        </w:rPr>
        <w:t>rivaroxaban</w:t>
      </w:r>
      <w:proofErr w:type="spellEnd"/>
      <w:r w:rsidRPr="009A7B3B">
        <w:rPr>
          <w:color w:val="auto"/>
          <w:sz w:val="22"/>
          <w:szCs w:val="22"/>
        </w:rPr>
        <w:t xml:space="preserve">, or c) </w:t>
      </w:r>
      <w:proofErr w:type="spellStart"/>
      <w:r w:rsidRPr="009A7B3B">
        <w:rPr>
          <w:color w:val="auto"/>
          <w:sz w:val="22"/>
          <w:szCs w:val="22"/>
        </w:rPr>
        <w:t>dabigatran</w:t>
      </w:r>
      <w:proofErr w:type="spellEnd"/>
      <w:r w:rsidRPr="009A7B3B">
        <w:rPr>
          <w:color w:val="auto"/>
          <w:sz w:val="22"/>
          <w:szCs w:val="22"/>
        </w:rPr>
        <w:t xml:space="preserve"> to 65 year old females with </w:t>
      </w:r>
      <w:proofErr w:type="spellStart"/>
      <w:r w:rsidRPr="009A7B3B">
        <w:rPr>
          <w:color w:val="auto"/>
          <w:sz w:val="22"/>
          <w:szCs w:val="22"/>
        </w:rPr>
        <w:t>atrial</w:t>
      </w:r>
      <w:proofErr w:type="spellEnd"/>
      <w:r w:rsidRPr="009A7B3B">
        <w:rPr>
          <w:color w:val="auto"/>
          <w:sz w:val="22"/>
          <w:szCs w:val="22"/>
        </w:rPr>
        <w:t xml:space="preserve"> fibrillation and an CHADS</w:t>
      </w:r>
      <w:r w:rsidRPr="009A7B3B">
        <w:rPr>
          <w:color w:val="auto"/>
          <w:sz w:val="22"/>
          <w:szCs w:val="22"/>
          <w:vertAlign w:val="subscript"/>
        </w:rPr>
        <w:t>2</w:t>
      </w:r>
      <w:r w:rsidRPr="009A7B3B">
        <w:rPr>
          <w:color w:val="auto"/>
          <w:sz w:val="22"/>
          <w:szCs w:val="22"/>
        </w:rPr>
        <w:t xml:space="preserve"> score of zero.</w:t>
      </w:r>
    </w:p>
    <w:p w:rsidR="009A7B3B" w:rsidRPr="009A7B3B" w:rsidRDefault="009A7B3B" w:rsidP="009A7B3B">
      <w:pPr>
        <w:divId w:val="1548566716"/>
      </w:pPr>
    </w:p>
    <w:sectPr w:rsidR="009A7B3B" w:rsidRPr="009A7B3B" w:rsidSect="000D7226">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47A" w:rsidRDefault="0050647A" w:rsidP="008D11C1">
      <w:r>
        <w:separator/>
      </w:r>
    </w:p>
  </w:endnote>
  <w:endnote w:type="continuationSeparator" w:id="0">
    <w:p w:rsidR="0050647A" w:rsidRDefault="0050647A"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214751"/>
      <w:docPartObj>
        <w:docPartGallery w:val="Page Numbers (Bottom of Page)"/>
        <w:docPartUnique/>
      </w:docPartObj>
    </w:sdtPr>
    <w:sdtContent>
      <w:p w:rsidR="00E74718" w:rsidRDefault="00617E5F" w:rsidP="008D11C1">
        <w:pPr>
          <w:pStyle w:val="Footer"/>
        </w:pPr>
        <w:r>
          <w:fldChar w:fldCharType="begin"/>
        </w:r>
        <w:r w:rsidR="00E74718">
          <w:instrText xml:space="preserve"> PAGE   \* MERGEFORMAT </w:instrText>
        </w:r>
        <w:r>
          <w:fldChar w:fldCharType="separate"/>
        </w:r>
        <w:r w:rsidR="009A7B3B">
          <w:rPr>
            <w:noProof/>
          </w:rPr>
          <w:t>28</w:t>
        </w:r>
        <w:r>
          <w:rPr>
            <w:noProof/>
          </w:rPr>
          <w:fldChar w:fldCharType="end"/>
        </w:r>
      </w:p>
    </w:sdtContent>
  </w:sdt>
  <w:p w:rsidR="00E74718" w:rsidRDefault="00E74718"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47A" w:rsidRDefault="0050647A" w:rsidP="008D11C1">
      <w:r>
        <w:separator/>
      </w:r>
    </w:p>
  </w:footnote>
  <w:footnote w:type="continuationSeparator" w:id="0">
    <w:p w:rsidR="0050647A" w:rsidRDefault="0050647A" w:rsidP="008D11C1">
      <w:r>
        <w:continuationSeparator/>
      </w:r>
    </w:p>
  </w:footnote>
  <w:footnote w:id="1">
    <w:p w:rsidR="00E74718" w:rsidRDefault="00E74718">
      <w:pPr>
        <w:pStyle w:val="FootnoteText"/>
      </w:pPr>
      <w:r>
        <w:rPr>
          <w:rStyle w:val="FootnoteReference"/>
        </w:rPr>
        <w:footnoteRef/>
      </w:r>
      <w:r>
        <w:t xml:space="preserve"> Precise ICER is £30,310/QALY, so the No TTE option is still optimal at £30,000/QALY.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A1A25D5"/>
    <w:multiLevelType w:val="hybridMultilevel"/>
    <w:tmpl w:val="25F6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4"/>
  </w:num>
  <w:num w:numId="5">
    <w:abstractNumId w:val="18"/>
  </w:num>
  <w:num w:numId="6">
    <w:abstractNumId w:val="12"/>
  </w:num>
  <w:num w:numId="7">
    <w:abstractNumId w:val="6"/>
  </w:num>
  <w:num w:numId="8">
    <w:abstractNumId w:val="0"/>
  </w:num>
  <w:num w:numId="9">
    <w:abstractNumId w:val="21"/>
  </w:num>
  <w:num w:numId="10">
    <w:abstractNumId w:val="2"/>
  </w:num>
  <w:num w:numId="11">
    <w:abstractNumId w:val="22"/>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 w:numId="25">
    <w:abstractNumId w:val="20"/>
  </w:num>
  <w:num w:numId="26">
    <w:abstractNumId w:val="2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259D1"/>
    <w:rsid w:val="00001090"/>
    <w:rsid w:val="00004236"/>
    <w:rsid w:val="0000576D"/>
    <w:rsid w:val="0001769B"/>
    <w:rsid w:val="00023C7B"/>
    <w:rsid w:val="00023D5D"/>
    <w:rsid w:val="00034BAF"/>
    <w:rsid w:val="000406AE"/>
    <w:rsid w:val="00040779"/>
    <w:rsid w:val="0004239D"/>
    <w:rsid w:val="000466CA"/>
    <w:rsid w:val="0005390C"/>
    <w:rsid w:val="00056C3D"/>
    <w:rsid w:val="00064789"/>
    <w:rsid w:val="000701BC"/>
    <w:rsid w:val="000804A5"/>
    <w:rsid w:val="000804F2"/>
    <w:rsid w:val="00081AF9"/>
    <w:rsid w:val="0009181B"/>
    <w:rsid w:val="0009234A"/>
    <w:rsid w:val="000A4ABF"/>
    <w:rsid w:val="000A6E69"/>
    <w:rsid w:val="000B7AA1"/>
    <w:rsid w:val="000C4858"/>
    <w:rsid w:val="000C54E6"/>
    <w:rsid w:val="000D7226"/>
    <w:rsid w:val="000F1109"/>
    <w:rsid w:val="000F1748"/>
    <w:rsid w:val="001018C1"/>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C4819"/>
    <w:rsid w:val="001D7B3F"/>
    <w:rsid w:val="00214615"/>
    <w:rsid w:val="002148A0"/>
    <w:rsid w:val="00216347"/>
    <w:rsid w:val="002163D3"/>
    <w:rsid w:val="002173F5"/>
    <w:rsid w:val="00220632"/>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E07F9"/>
    <w:rsid w:val="002F05E5"/>
    <w:rsid w:val="002F7CCE"/>
    <w:rsid w:val="00305A5B"/>
    <w:rsid w:val="00307F5F"/>
    <w:rsid w:val="0031099C"/>
    <w:rsid w:val="00313F74"/>
    <w:rsid w:val="003162AB"/>
    <w:rsid w:val="00321AA3"/>
    <w:rsid w:val="003225C4"/>
    <w:rsid w:val="00324A95"/>
    <w:rsid w:val="00326C92"/>
    <w:rsid w:val="00331F79"/>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D7462"/>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27C1"/>
    <w:rsid w:val="004E4448"/>
    <w:rsid w:val="004E5E58"/>
    <w:rsid w:val="004F29CD"/>
    <w:rsid w:val="00500063"/>
    <w:rsid w:val="00501F33"/>
    <w:rsid w:val="00504A6F"/>
    <w:rsid w:val="0050647A"/>
    <w:rsid w:val="00511D4E"/>
    <w:rsid w:val="00512460"/>
    <w:rsid w:val="00515AEC"/>
    <w:rsid w:val="00516779"/>
    <w:rsid w:val="00523D67"/>
    <w:rsid w:val="00525959"/>
    <w:rsid w:val="00532F44"/>
    <w:rsid w:val="0053415A"/>
    <w:rsid w:val="005364A7"/>
    <w:rsid w:val="00536C35"/>
    <w:rsid w:val="0053772E"/>
    <w:rsid w:val="0054036A"/>
    <w:rsid w:val="00542E72"/>
    <w:rsid w:val="005468D5"/>
    <w:rsid w:val="00553D33"/>
    <w:rsid w:val="0055657D"/>
    <w:rsid w:val="00560933"/>
    <w:rsid w:val="005653D1"/>
    <w:rsid w:val="00570EFD"/>
    <w:rsid w:val="00577888"/>
    <w:rsid w:val="00584E3F"/>
    <w:rsid w:val="005953B7"/>
    <w:rsid w:val="005A2BAB"/>
    <w:rsid w:val="005B26D5"/>
    <w:rsid w:val="005B4084"/>
    <w:rsid w:val="005B4907"/>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17E5F"/>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563"/>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9A8"/>
    <w:rsid w:val="00932F8B"/>
    <w:rsid w:val="00933B76"/>
    <w:rsid w:val="00933C10"/>
    <w:rsid w:val="009344EA"/>
    <w:rsid w:val="00935ED3"/>
    <w:rsid w:val="0093614E"/>
    <w:rsid w:val="0094141C"/>
    <w:rsid w:val="009606A0"/>
    <w:rsid w:val="00960F46"/>
    <w:rsid w:val="00972322"/>
    <w:rsid w:val="00974077"/>
    <w:rsid w:val="009764E6"/>
    <w:rsid w:val="00980413"/>
    <w:rsid w:val="00983B8D"/>
    <w:rsid w:val="009840A6"/>
    <w:rsid w:val="0098691C"/>
    <w:rsid w:val="00997914"/>
    <w:rsid w:val="009A3B70"/>
    <w:rsid w:val="009A59BC"/>
    <w:rsid w:val="009A6772"/>
    <w:rsid w:val="009A7B3B"/>
    <w:rsid w:val="009B513D"/>
    <w:rsid w:val="009B762A"/>
    <w:rsid w:val="009C0DBF"/>
    <w:rsid w:val="009C2038"/>
    <w:rsid w:val="009C2BE1"/>
    <w:rsid w:val="009C7509"/>
    <w:rsid w:val="009E7F0D"/>
    <w:rsid w:val="009F27B4"/>
    <w:rsid w:val="009F5199"/>
    <w:rsid w:val="00A0005C"/>
    <w:rsid w:val="00A02F0A"/>
    <w:rsid w:val="00A059E1"/>
    <w:rsid w:val="00A07773"/>
    <w:rsid w:val="00A101B1"/>
    <w:rsid w:val="00A11AEA"/>
    <w:rsid w:val="00A12911"/>
    <w:rsid w:val="00A142BF"/>
    <w:rsid w:val="00A17AD4"/>
    <w:rsid w:val="00A40066"/>
    <w:rsid w:val="00A42D14"/>
    <w:rsid w:val="00A541AC"/>
    <w:rsid w:val="00A603E8"/>
    <w:rsid w:val="00A80926"/>
    <w:rsid w:val="00A8404E"/>
    <w:rsid w:val="00A84C60"/>
    <w:rsid w:val="00A84F79"/>
    <w:rsid w:val="00A9463E"/>
    <w:rsid w:val="00A96DA4"/>
    <w:rsid w:val="00AB2D8E"/>
    <w:rsid w:val="00AC692E"/>
    <w:rsid w:val="00AD0F91"/>
    <w:rsid w:val="00AD6705"/>
    <w:rsid w:val="00AE4E57"/>
    <w:rsid w:val="00AE69C3"/>
    <w:rsid w:val="00AF094E"/>
    <w:rsid w:val="00B1326A"/>
    <w:rsid w:val="00B13ECE"/>
    <w:rsid w:val="00B14037"/>
    <w:rsid w:val="00B23932"/>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2A91"/>
    <w:rsid w:val="00CB6661"/>
    <w:rsid w:val="00CB6D0B"/>
    <w:rsid w:val="00CD343F"/>
    <w:rsid w:val="00CD6936"/>
    <w:rsid w:val="00CE4F27"/>
    <w:rsid w:val="00CE585A"/>
    <w:rsid w:val="00CE5CAA"/>
    <w:rsid w:val="00CE68A8"/>
    <w:rsid w:val="00CE721E"/>
    <w:rsid w:val="00CF007B"/>
    <w:rsid w:val="00CF1136"/>
    <w:rsid w:val="00CF20FA"/>
    <w:rsid w:val="00CF29E8"/>
    <w:rsid w:val="00CF6CB9"/>
    <w:rsid w:val="00D06A78"/>
    <w:rsid w:val="00D103FA"/>
    <w:rsid w:val="00D10C1C"/>
    <w:rsid w:val="00D200D6"/>
    <w:rsid w:val="00D20CA0"/>
    <w:rsid w:val="00D21515"/>
    <w:rsid w:val="00D22AB2"/>
    <w:rsid w:val="00D324CF"/>
    <w:rsid w:val="00D34DE7"/>
    <w:rsid w:val="00D47469"/>
    <w:rsid w:val="00D561D8"/>
    <w:rsid w:val="00D57902"/>
    <w:rsid w:val="00D62831"/>
    <w:rsid w:val="00D65C68"/>
    <w:rsid w:val="00D67B2F"/>
    <w:rsid w:val="00D71944"/>
    <w:rsid w:val="00D71C90"/>
    <w:rsid w:val="00D7721F"/>
    <w:rsid w:val="00D828F2"/>
    <w:rsid w:val="00D87110"/>
    <w:rsid w:val="00DB4BF1"/>
    <w:rsid w:val="00DB728C"/>
    <w:rsid w:val="00DB7C63"/>
    <w:rsid w:val="00DC17EE"/>
    <w:rsid w:val="00DC2385"/>
    <w:rsid w:val="00DC2BB2"/>
    <w:rsid w:val="00DC628D"/>
    <w:rsid w:val="00DD5C22"/>
    <w:rsid w:val="00DE0591"/>
    <w:rsid w:val="00DE62D7"/>
    <w:rsid w:val="00DE6F42"/>
    <w:rsid w:val="00DF06B6"/>
    <w:rsid w:val="00DF4463"/>
    <w:rsid w:val="00DF52E6"/>
    <w:rsid w:val="00DF7E46"/>
    <w:rsid w:val="00E00A0D"/>
    <w:rsid w:val="00E13288"/>
    <w:rsid w:val="00E21A68"/>
    <w:rsid w:val="00E23C1B"/>
    <w:rsid w:val="00E2513B"/>
    <w:rsid w:val="00E36064"/>
    <w:rsid w:val="00E36870"/>
    <w:rsid w:val="00E41165"/>
    <w:rsid w:val="00E5262E"/>
    <w:rsid w:val="00E5368F"/>
    <w:rsid w:val="00E55A94"/>
    <w:rsid w:val="00E55C64"/>
    <w:rsid w:val="00E57550"/>
    <w:rsid w:val="00E60AF4"/>
    <w:rsid w:val="00E652ED"/>
    <w:rsid w:val="00E72A6E"/>
    <w:rsid w:val="00E74718"/>
    <w:rsid w:val="00E74F07"/>
    <w:rsid w:val="00E84302"/>
    <w:rsid w:val="00E92AF8"/>
    <w:rsid w:val="00E93B06"/>
    <w:rsid w:val="00E97667"/>
    <w:rsid w:val="00EB3ED4"/>
    <w:rsid w:val="00EB5AE5"/>
    <w:rsid w:val="00EB5B27"/>
    <w:rsid w:val="00EB79E8"/>
    <w:rsid w:val="00ED065B"/>
    <w:rsid w:val="00ED0A41"/>
    <w:rsid w:val="00ED1CB5"/>
    <w:rsid w:val="00ED28B9"/>
    <w:rsid w:val="00EE646D"/>
    <w:rsid w:val="00EE7B58"/>
    <w:rsid w:val="00EF4164"/>
    <w:rsid w:val="00EF4E89"/>
    <w:rsid w:val="00EF7137"/>
    <w:rsid w:val="00F006F2"/>
    <w:rsid w:val="00F00EDF"/>
    <w:rsid w:val="00F0458E"/>
    <w:rsid w:val="00F051CA"/>
    <w:rsid w:val="00F15320"/>
    <w:rsid w:val="00F16C06"/>
    <w:rsid w:val="00F2700F"/>
    <w:rsid w:val="00F309FB"/>
    <w:rsid w:val="00F37F4A"/>
    <w:rsid w:val="00F406A5"/>
    <w:rsid w:val="00F5273F"/>
    <w:rsid w:val="00F5467D"/>
    <w:rsid w:val="00F54A94"/>
    <w:rsid w:val="00F60289"/>
    <w:rsid w:val="00F82325"/>
    <w:rsid w:val="00F91783"/>
    <w:rsid w:val="00FA2321"/>
    <w:rsid w:val="00FA261E"/>
    <w:rsid w:val="00FB3E31"/>
    <w:rsid w:val="00FB4677"/>
    <w:rsid w:val="00FB6128"/>
    <w:rsid w:val="00FC1604"/>
    <w:rsid w:val="00FC748C"/>
    <w:rsid w:val="00FD30C1"/>
    <w:rsid w:val="00FE12A1"/>
    <w:rsid w:val="00FE3BA1"/>
    <w:rsid w:val="00FE62CA"/>
    <w:rsid w:val="00FF7C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r="http://schemas.openxmlformats.org/officeDocument/2006/relationships" xmlns:w="http://schemas.openxmlformats.org/wordprocessingml/2006/main">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sChild>
                                                                                                <w:div w:id="551624515">
                                                                                                  <w:marLeft w:val="0"/>
                                                                                                  <w:marRight w:val="0"/>
                                                                                                  <w:marTop w:val="0"/>
                                                                                                  <w:marBottom w:val="0"/>
                                                                                                  <w:divBdr>
                                                                                                    <w:top w:val="none" w:sz="0" w:space="0" w:color="auto"/>
                                                                                                    <w:left w:val="none" w:sz="0" w:space="0" w:color="auto"/>
                                                                                                    <w:bottom w:val="none" w:sz="0" w:space="0" w:color="auto"/>
                                                                                                    <w:right w:val="none" w:sz="0" w:space="0" w:color="auto"/>
                                                                                                  </w:divBdr>
                                                                                                  <w:divsChild>
                                                                                                    <w:div w:id="4490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85C08-98DF-4E0C-9CB8-C91C484F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6227</Words>
  <Characters>35497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jm383x</cp:lastModifiedBy>
  <cp:revision>3</cp:revision>
  <cp:lastPrinted>2013-09-05T11:15:00Z</cp:lastPrinted>
  <dcterms:created xsi:type="dcterms:W3CDTF">2013-10-29T14:05:00Z</dcterms:created>
  <dcterms:modified xsi:type="dcterms:W3CDTF">2013-10-30T09:07:00Z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