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21" w:rsidRDefault="00047821" w:rsidP="00C81A35">
      <w:pPr>
        <w:pStyle w:val="Heading1"/>
        <w:spacing w:line="480" w:lineRule="auto"/>
      </w:pPr>
      <w:commentRangeStart w:id="0"/>
      <w:r>
        <w:t>Abstract</w:t>
      </w:r>
      <w:commentRangeEnd w:id="0"/>
      <w:r w:rsidR="00331737">
        <w:rPr>
          <w:rStyle w:val="CommentReference"/>
          <w:rFonts w:asciiTheme="minorHAnsi" w:eastAsiaTheme="minorEastAsia" w:hAnsiTheme="minorHAnsi" w:cstheme="minorBidi"/>
          <w:b w:val="0"/>
          <w:bCs w:val="0"/>
          <w:color w:val="auto"/>
        </w:rPr>
        <w:commentReference w:id="0"/>
      </w:r>
    </w:p>
    <w:p w:rsidR="00836985" w:rsidRDefault="00836985" w:rsidP="00836985">
      <w:pPr>
        <w:spacing w:line="480" w:lineRule="auto"/>
      </w:pPr>
      <w:r>
        <w:rPr>
          <w:rStyle w:val="Heading2Char"/>
        </w:rPr>
        <w:t>Background:</w:t>
      </w:r>
      <w:r>
        <w:rPr>
          <w:rStyle w:val="Heading2Char"/>
          <w:b w:val="0"/>
        </w:rPr>
        <w:t xml:space="preserve"> </w:t>
      </w:r>
      <w:r>
        <w:t>Assuming monotonically related variables are independent in health economic models can produce spurious parameter estimates</w:t>
      </w:r>
      <w:r w:rsidR="00331737">
        <w:t xml:space="preserve"> and possibly suboptimal decisions</w:t>
      </w:r>
      <w:r w:rsidR="006967AA">
        <w:rPr>
          <w:rStyle w:val="CommentReference"/>
        </w:rPr>
        <w:commentReference w:id="1"/>
      </w:r>
      <w:r>
        <w:t>. A comparison of methods for preventing or minimising violations of monotonicity has not, to our knowledge, previously been published.</w:t>
      </w:r>
    </w:p>
    <w:p w:rsidR="00836985" w:rsidRDefault="00836985" w:rsidP="00836985">
      <w:pPr>
        <w:spacing w:line="480" w:lineRule="auto"/>
      </w:pPr>
      <w:r>
        <w:rPr>
          <w:rStyle w:val="Heading2Char"/>
        </w:rPr>
        <w:t>Objective:</w:t>
      </w:r>
      <w:r>
        <w:t xml:space="preserve"> To compare ten methods which could be used when sampling from monotonically related parameters. </w:t>
      </w:r>
    </w:p>
    <w:p w:rsidR="00836985" w:rsidRDefault="00836985" w:rsidP="00836985">
      <w:pPr>
        <w:spacing w:line="480" w:lineRule="auto"/>
      </w:pPr>
      <w:r>
        <w:rPr>
          <w:rStyle w:val="Heading2Char"/>
        </w:rPr>
        <w:t>Methods:</w:t>
      </w:r>
      <w:r>
        <w:t xml:space="preserve"> Summary statistics (mean and </w:t>
      </w:r>
      <w:r w:rsidR="00401F39">
        <w:t>standard error</w:t>
      </w:r>
      <w:r>
        <w:t xml:space="preserve">) were generated based on hypothetical individual patient data (IPD) for two parameters known to be monotonically related. </w:t>
      </w:r>
      <w:commentRangeStart w:id="2"/>
      <w:r>
        <w:t xml:space="preserve">The ten methods compared </w:t>
      </w:r>
      <w:commentRangeEnd w:id="2"/>
      <w:r w:rsidR="00331737">
        <w:rPr>
          <w:rStyle w:val="CommentReference"/>
        </w:rPr>
        <w:commentReference w:id="2"/>
      </w:r>
      <w:r>
        <w:t xml:space="preserve">use only these summary statistics, and the estimates produced compared with bootstrapped estimates which used the IPD. For those methods which produced appropriate joint estimates, </w:t>
      </w:r>
      <w:r w:rsidR="006967AA">
        <w:t>further analyses using a separate dataset were</w:t>
      </w:r>
      <w:r>
        <w:t xml:space="preserve"> performed.  </w:t>
      </w:r>
    </w:p>
    <w:p w:rsidR="00836985" w:rsidRDefault="00836985" w:rsidP="00836985">
      <w:pPr>
        <w:spacing w:line="480" w:lineRule="auto"/>
      </w:pPr>
      <w:r>
        <w:rPr>
          <w:rStyle w:val="Heading2Char"/>
        </w:rPr>
        <w:t>Results:</w:t>
      </w:r>
      <w:r>
        <w:t xml:space="preserve"> Three</w:t>
      </w:r>
      <w:r>
        <w:rPr>
          <w:b/>
        </w:rPr>
        <w:t xml:space="preserve"> </w:t>
      </w:r>
      <w:r>
        <w:t>of the methods were found to produce joint estimates of the parameters which did</w:t>
      </w:r>
      <w:r w:rsidR="00401F39">
        <w:t xml:space="preserve"> not</w:t>
      </w:r>
      <w:r>
        <w:t xml:space="preserve"> violate the monotonicity assumption, and did not introduce any noticeable discontinuities and biases into the joint parameter estimate. This included two types of covariance-based method, and a ‘difference method’ where one of the parameters is modelled using a two-stage process. In the supplementary analysis</w:t>
      </w:r>
      <w:r>
        <w:rPr>
          <w:b/>
        </w:rPr>
        <w:t xml:space="preserve"> </w:t>
      </w:r>
      <w:r>
        <w:t xml:space="preserve">the ‘difference method’ was shown to perform appropriately in this analysis, whereas one of the covariance-based methods produced violations of the monotonicity assumption. </w:t>
      </w:r>
    </w:p>
    <w:p w:rsidR="00836985" w:rsidRDefault="00836985" w:rsidP="00836985">
      <w:pPr>
        <w:spacing w:line="480" w:lineRule="auto"/>
      </w:pPr>
      <w:r>
        <w:rPr>
          <w:rStyle w:val="Heading2Char"/>
        </w:rPr>
        <w:t>Limitations</w:t>
      </w:r>
      <w:r>
        <w:t xml:space="preserve"> A systematic review of methods used to take monotonicity into account was not undertaken. Only two hypothetical datasets</w:t>
      </w:r>
      <w:ins w:id="3" w:author="Jon Minton" w:date="2014-02-06T20:59:00Z">
        <w:r w:rsidR="003C7C25">
          <w:t>, each involving only two monotonic levels,</w:t>
        </w:r>
      </w:ins>
      <w:r>
        <w:t xml:space="preserve"> were used to assess the </w:t>
      </w:r>
      <w:commentRangeStart w:id="4"/>
      <w:commentRangeStart w:id="5"/>
      <w:r>
        <w:t>results</w:t>
      </w:r>
      <w:commentRangeEnd w:id="4"/>
      <w:r w:rsidR="00401F39">
        <w:rPr>
          <w:rStyle w:val="CommentReference"/>
        </w:rPr>
        <w:commentReference w:id="4"/>
      </w:r>
      <w:commentRangeEnd w:id="5"/>
      <w:del w:id="6" w:author="Jon Minton" w:date="2014-02-06T21:00:00Z">
        <w:r w:rsidR="006967AA" w:rsidDel="003C7C25">
          <w:rPr>
            <w:rStyle w:val="CommentReference"/>
          </w:rPr>
          <w:commentReference w:id="5"/>
        </w:r>
      </w:del>
      <w:r>
        <w:t xml:space="preserve">. </w:t>
      </w:r>
    </w:p>
    <w:p w:rsidR="00836985" w:rsidRDefault="00836985" w:rsidP="00836985">
      <w:pPr>
        <w:spacing w:line="480" w:lineRule="auto"/>
      </w:pPr>
      <w:r>
        <w:rPr>
          <w:rStyle w:val="Heading2Char"/>
        </w:rPr>
        <w:lastRenderedPageBreak/>
        <w:t xml:space="preserve">Conclusions </w:t>
      </w:r>
      <w:r>
        <w:t>The ‘difference method’ ensures that monotonicity cannot be violated</w:t>
      </w:r>
      <w:r w:rsidR="003C7C25">
        <w:t>.</w:t>
      </w:r>
      <w:r w:rsidR="00331737">
        <w:t xml:space="preserve"> It does not appear to introduce discontinuities or biases</w:t>
      </w:r>
      <w:r w:rsidR="003C7C25">
        <w:t>.</w:t>
      </w:r>
      <w:r w:rsidR="00331737">
        <w:t xml:space="preserve"> </w:t>
      </w:r>
      <w:r w:rsidR="003C7C25">
        <w:t>I</w:t>
      </w:r>
      <w:r w:rsidR="003C7C25">
        <w:t xml:space="preserve">t </w:t>
      </w:r>
      <w:r w:rsidR="00331737">
        <w:t>produces consistent results</w:t>
      </w:r>
      <w:r w:rsidR="003C7C25">
        <w:t>,</w:t>
      </w:r>
      <w:r w:rsidR="00331737">
        <w:t xml:space="preserve"> and it is easy to implement.</w:t>
      </w:r>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3C7C25" w:rsidRDefault="003C7C25" w:rsidP="003C7C25">
      <w:moveToRangeStart w:id="7" w:author="Jon Minton" w:date="2014-02-06T21:02:00Z" w:name="move379483849"/>
      <w:moveTo w:id="8" w:author="Jon Minton" w:date="2014-02-06T21:02:00Z">
        <w:r>
          <w:t>Monotonicity</w:t>
        </w:r>
      </w:moveTo>
    </w:p>
    <w:moveToRangeEnd w:id="7"/>
    <w:p w:rsidR="0055628C" w:rsidRDefault="003C7C25" w:rsidP="0055628C">
      <w:ins w:id="9" w:author="Jon Minton" w:date="2014-02-06T21:02:00Z">
        <w:r>
          <w:t>Probabilistic Sensitivity Analysis</w:t>
        </w:r>
      </w:ins>
    </w:p>
    <w:p w:rsidR="00EF6A5A" w:rsidRDefault="00EF6A5A" w:rsidP="0055628C">
      <w:r>
        <w:t xml:space="preserve">Health </w:t>
      </w:r>
      <w:del w:id="10" w:author="Jon Minton" w:date="2014-02-06T21:02:00Z">
        <w:r w:rsidDel="003C7C25">
          <w:delText>economics</w:delText>
        </w:r>
      </w:del>
      <w:ins w:id="11" w:author="Jon Minton" w:date="2014-02-06T21:02:00Z">
        <w:r w:rsidR="003C7C25">
          <w:t>E</w:t>
        </w:r>
        <w:r w:rsidR="003C7C25">
          <w:t>conomics</w:t>
        </w:r>
      </w:ins>
    </w:p>
    <w:p w:rsidR="00EF6A5A" w:rsidRDefault="00EF6A5A" w:rsidP="0055628C">
      <w:r>
        <w:t xml:space="preserve">Decision </w:t>
      </w:r>
      <w:del w:id="12" w:author="Jon Minton" w:date="2014-02-06T21:02:00Z">
        <w:r w:rsidDel="003C7C25">
          <w:delText xml:space="preserve">analytic </w:delText>
        </w:r>
      </w:del>
      <w:ins w:id="13" w:author="Jon Minton" w:date="2014-02-06T21:02:00Z">
        <w:r w:rsidR="003C7C25">
          <w:t>A</w:t>
        </w:r>
        <w:r w:rsidR="003C7C25">
          <w:t xml:space="preserve">nalytic </w:t>
        </w:r>
      </w:ins>
      <w:del w:id="14" w:author="Jon Minton" w:date="2014-02-06T21:02:00Z">
        <w:r w:rsidDel="003C7C25">
          <w:delText>models</w:delText>
        </w:r>
      </w:del>
      <w:ins w:id="15" w:author="Jon Minton" w:date="2014-02-06T21:02:00Z">
        <w:r w:rsidR="003C7C25">
          <w:t>M</w:t>
        </w:r>
        <w:r w:rsidR="003C7C25">
          <w:t>odels</w:t>
        </w:r>
      </w:ins>
    </w:p>
    <w:p w:rsidR="00EF6A5A" w:rsidRDefault="00EF6A5A" w:rsidP="0055628C">
      <w:pPr>
        <w:rPr>
          <w:ins w:id="16" w:author="Jon Minton" w:date="2014-02-06T21:02:00Z"/>
        </w:rPr>
      </w:pPr>
      <w:r>
        <w:t xml:space="preserve">Parameter </w:t>
      </w:r>
      <w:del w:id="17" w:author="Jon Minton" w:date="2014-02-06T21:02:00Z">
        <w:r w:rsidDel="003C7C25">
          <w:delText>uncertainty</w:delText>
        </w:r>
      </w:del>
      <w:ins w:id="18" w:author="Jon Minton" w:date="2014-02-06T21:02:00Z">
        <w:r w:rsidR="003C7C25">
          <w:t>U</w:t>
        </w:r>
        <w:r w:rsidR="003C7C25">
          <w:t>ncertainty</w:t>
        </w:r>
      </w:ins>
    </w:p>
    <w:p w:rsidR="003C7C25" w:rsidRDefault="003C7C25" w:rsidP="0055628C">
      <w:ins w:id="19" w:author="Jon Minton" w:date="2014-02-06T21:02:00Z">
        <w:r>
          <w:t>Stochastic Uncertainty</w:t>
        </w:r>
      </w:ins>
    </w:p>
    <w:p w:rsidR="00EF6A5A" w:rsidDel="003C7C25" w:rsidRDefault="00EF6A5A" w:rsidP="0055628C">
      <w:moveFromRangeStart w:id="20" w:author="Jon Minton" w:date="2014-02-06T21:02:00Z" w:name="move379483849"/>
      <w:moveFrom w:id="21" w:author="Jon Minton" w:date="2014-02-06T21:02:00Z">
        <w:r w:rsidDel="003C7C25">
          <w:t>Monotonicity</w:t>
        </w:r>
      </w:moveFrom>
    </w:p>
    <w:moveFromRangeEnd w:id="20"/>
    <w:p w:rsidR="00EF6A5A" w:rsidRDefault="00EF6A5A" w:rsidP="0055628C"/>
    <w:p w:rsidR="00EF6A5A" w:rsidRDefault="00EF6A5A" w:rsidP="0055628C">
      <w:pPr>
        <w:sectPr w:rsidR="00EF6A5A" w:rsidSect="00047821">
          <w:footerReference w:type="default" r:id="rId10"/>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commentRangeStart w:id="22"/>
      <w:commentRangeStart w:id="23"/>
      <w:r w:rsidRPr="00047821">
        <w:lastRenderedPageBreak/>
        <w:t>Introduction</w:t>
      </w:r>
      <w:commentRangeEnd w:id="22"/>
      <w:r w:rsidR="001B0524">
        <w:rPr>
          <w:rStyle w:val="CommentReference"/>
          <w:rFonts w:asciiTheme="minorHAnsi" w:eastAsiaTheme="minorEastAsia" w:hAnsiTheme="minorHAnsi" w:cstheme="minorBidi"/>
          <w:b w:val="0"/>
          <w:bCs w:val="0"/>
          <w:color w:val="auto"/>
        </w:rPr>
        <w:commentReference w:id="22"/>
      </w:r>
      <w:commentRangeEnd w:id="23"/>
      <w:r w:rsidR="006967AA">
        <w:rPr>
          <w:rStyle w:val="CommentReference"/>
          <w:rFonts w:asciiTheme="minorHAnsi" w:eastAsiaTheme="minorEastAsia" w:hAnsiTheme="minorHAnsi" w:cstheme="minorBidi"/>
          <w:b w:val="0"/>
          <w:bCs w:val="0"/>
          <w:color w:val="auto"/>
        </w:rPr>
        <w:commentReference w:id="23"/>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A000CA">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A000CA">
        <w:fldChar w:fldCharType="separate"/>
      </w:r>
      <w:r w:rsidR="000E7974" w:rsidRPr="000E7974">
        <w:rPr>
          <w:noProof/>
        </w:rPr>
        <w:t>(1,2)</w:t>
      </w:r>
      <w:r w:rsidR="00A000CA">
        <w:fldChar w:fldCharType="end"/>
      </w:r>
      <w:r w:rsidR="00261C32">
        <w:t xml:space="preserve"> </w:t>
      </w:r>
      <w:r w:rsidR="006C119D">
        <w:t>Relationships between parameters should be represented in the PSA</w:t>
      </w:r>
      <w:r>
        <w:t xml:space="preserve">. </w:t>
      </w:r>
      <w:r w:rsidR="00573178">
        <w:t xml:space="preserve">This paper discusses methods for handling one such type of relationship, namely parameters that are known </w:t>
      </w:r>
      <w:del w:id="24" w:author="User" w:date="2014-01-27T15:51:00Z">
        <w:r w:rsidR="00573178" w:rsidDel="00331737">
          <w:delText xml:space="preserve">or </w:delText>
        </w:r>
        <w:r w:rsidR="00293028" w:rsidDel="00331737">
          <w:delText xml:space="preserve">strongly </w:delText>
        </w:r>
        <w:r w:rsidR="00573178" w:rsidDel="00331737">
          <w:delText xml:space="preserve">suspected </w:delText>
        </w:r>
      </w:del>
      <w:r w:rsidR="00573178">
        <w:t>to be monotonically related</w:t>
      </w:r>
      <w:r w:rsidR="00604C6F">
        <w:t>.</w:t>
      </w:r>
      <w:r w:rsidR="00191EA4" w:rsidRPr="00191EA4">
        <w:t xml:space="preserve"> </w:t>
      </w:r>
    </w:p>
    <w:p w:rsidR="006C119D" w:rsidRDefault="00511A95" w:rsidP="00025316">
      <w:pPr>
        <w:spacing w:line="480" w:lineRule="auto"/>
      </w:pPr>
      <w:commentRangeStart w:id="25"/>
      <w:r>
        <w:t>As an example of a monotonic relationship in health economic evaluation, consider a hypothetical disease with two levels of severity: moderate and severe</w:t>
      </w:r>
      <w:commentRangeEnd w:id="25"/>
      <w:r w:rsidR="00331737">
        <w:rPr>
          <w:rStyle w:val="CommentReference"/>
        </w:rPr>
        <w:commentReference w:id="25"/>
      </w:r>
      <w:r>
        <w:t>. Although there may be uncertainty about the health-related quality of life (</w:t>
      </w:r>
      <w:commentRangeStart w:id="26"/>
      <w:proofErr w:type="spellStart"/>
      <w:r w:rsidR="00CA7F55">
        <w:t>HRQ</w:t>
      </w:r>
      <w:ins w:id="27" w:author="Jon Minton" w:date="2014-02-06T21:04:00Z">
        <w:r w:rsidR="003C7C25">
          <w:t>o</w:t>
        </w:r>
      </w:ins>
      <w:r w:rsidR="00CA7F55">
        <w:t>L</w:t>
      </w:r>
      <w:commentRangeEnd w:id="26"/>
      <w:proofErr w:type="spellEnd"/>
      <w:r w:rsidR="00401F39">
        <w:rPr>
          <w:rStyle w:val="CommentReference"/>
        </w:rPr>
        <w:commentReference w:id="26"/>
      </w:r>
      <w:commentRangeStart w:id="28"/>
      <w:r>
        <w:t>)</w:t>
      </w:r>
      <w:commentRangeEnd w:id="28"/>
      <w:r w:rsidR="006967AA">
        <w:rPr>
          <w:rStyle w:val="CommentReference"/>
        </w:rPr>
        <w:commentReference w:id="28"/>
      </w:r>
      <w:r>
        <w:t xml:space="preserve"> associated with being in either state, there is also a strong expectation that a patient will have a lower </w:t>
      </w:r>
      <w:del w:id="29" w:author="Jon Minton" w:date="2014-02-06T21:05:00Z">
        <w:r w:rsidR="00CA7F55" w:rsidDel="003C7C25">
          <w:delText>HRQL</w:delText>
        </w:r>
      </w:del>
      <w:proofErr w:type="spellStart"/>
      <w:ins w:id="30" w:author="Jon Minton" w:date="2014-02-06T21:05:00Z">
        <w:r w:rsidR="003C7C25">
          <w:t>HRQoL</w:t>
        </w:r>
      </w:ins>
      <w:proofErr w:type="spellEnd"/>
      <w:r>
        <w:t xml:space="preserve"> when the disease is in the severe state than the moderate state. If many estimates are produced independently for each health state, then on occasion the monotonicity assumption </w:t>
      </w:r>
      <w:r w:rsidR="00191EA4">
        <w:t>will</w:t>
      </w:r>
      <w:r>
        <w:t xml:space="preserve"> be violated, meaning that some estimates of the </w:t>
      </w:r>
      <w:del w:id="31" w:author="Jon Minton" w:date="2014-02-06T21:05:00Z">
        <w:r w:rsidR="00CA7F55" w:rsidDel="003C7C25">
          <w:delText>HRQL</w:delText>
        </w:r>
      </w:del>
      <w:proofErr w:type="spellStart"/>
      <w:ins w:id="32" w:author="Jon Minton" w:date="2014-02-06T21:05:00Z">
        <w:r w:rsidR="003C7C25">
          <w:t>HRQoL</w:t>
        </w:r>
      </w:ins>
      <w:proofErr w:type="spellEnd"/>
      <w:r>
        <w:t xml:space="preserve"> in the severe state are higher than corresponding estimates of </w:t>
      </w:r>
      <w:r w:rsidR="00191EA4">
        <w:t xml:space="preserve">the </w:t>
      </w:r>
      <w:del w:id="33" w:author="Jon Minton" w:date="2014-02-06T21:05:00Z">
        <w:r w:rsidR="00CA7F55" w:rsidDel="003C7C25">
          <w:delText>HRQL</w:delText>
        </w:r>
      </w:del>
      <w:proofErr w:type="spellStart"/>
      <w:ins w:id="34" w:author="Jon Minton" w:date="2014-02-06T21:05:00Z">
        <w:r w:rsidR="003C7C25">
          <w:t>HRQoL</w:t>
        </w:r>
      </w:ins>
      <w:proofErr w:type="spellEnd"/>
      <w:r w:rsidR="00191EA4">
        <w:t xml:space="preserve"> </w:t>
      </w:r>
      <w:r>
        <w:t xml:space="preserve">in the moderate state. </w:t>
      </w:r>
      <w:r w:rsidR="00604C6F">
        <w:t>Despite this monotonic relationship, the two variables are not simple, analytic derivatives of each other with perfect correlation</w:t>
      </w:r>
      <w:commentRangeStart w:id="35"/>
      <w:r w:rsidR="00401F39">
        <w:rPr>
          <w:rStyle w:val="CommentReference"/>
        </w:rPr>
        <w:commentReference w:id="36"/>
      </w:r>
      <w:commentRangeEnd w:id="35"/>
      <w:r w:rsidR="006967AA">
        <w:rPr>
          <w:rStyle w:val="CommentReference"/>
        </w:rPr>
        <w:commentReference w:id="35"/>
      </w:r>
      <w:r w:rsidR="00604C6F">
        <w:t xml:space="preserve">. Because of this, there is </w:t>
      </w:r>
      <w:r w:rsidR="00CA7F55">
        <w:t xml:space="preserve">also </w:t>
      </w:r>
      <w:r w:rsidR="00604C6F">
        <w:t xml:space="preserve">need to appropriately represent stochastic variation and uncertainty in estimating both </w:t>
      </w:r>
      <w:commentRangeStart w:id="37"/>
      <w:r w:rsidR="00604C6F">
        <w:t>parameters</w:t>
      </w:r>
      <w:commentRangeEnd w:id="37"/>
      <w:r w:rsidR="006C42F2">
        <w:rPr>
          <w:rStyle w:val="CommentReference"/>
        </w:rPr>
        <w:commentReference w:id="37"/>
      </w:r>
      <w:r w:rsidR="00604C6F">
        <w:t>.</w:t>
      </w:r>
    </w:p>
    <w:p w:rsidR="00191EA4" w:rsidRDefault="00573178" w:rsidP="00025316">
      <w:pPr>
        <w:spacing w:line="480" w:lineRule="auto"/>
      </w:pPr>
      <w:r>
        <w:t xml:space="preserve">This paper </w:t>
      </w:r>
      <w:r w:rsidR="002C52B0">
        <w:t xml:space="preserve">uses summary estimates derived from a hypothetical individual patient dataset (IPD) to compare independent sampling with nine other methods </w:t>
      </w:r>
      <w:ins w:id="38" w:author="Matt" w:date="2013-12-28T12:49:00Z">
        <w:r w:rsidR="006967AA">
          <w:t xml:space="preserve">detailed in the methods section, </w:t>
        </w:r>
      </w:ins>
      <w:r w:rsidR="002C52B0">
        <w:t xml:space="preserve">which may be more appropriate for handling the monotonicity assumption. </w:t>
      </w:r>
      <w:r w:rsidR="00CA7F55">
        <w:t xml:space="preserve">Results from each method were compared with the bootstrapped estimates from the IPD. Methods which performed better were assessed tested further using a second hypothetical </w:t>
      </w:r>
      <w:commentRangeStart w:id="39"/>
      <w:r w:rsidR="00CA7F55">
        <w:t>dataset</w:t>
      </w:r>
      <w:commentRangeEnd w:id="39"/>
      <w:r w:rsidR="00331737">
        <w:rPr>
          <w:rStyle w:val="CommentReference"/>
        </w:rPr>
        <w:commentReference w:id="39"/>
      </w:r>
      <w:r w:rsidR="00CA7F55">
        <w:t>.</w:t>
      </w:r>
    </w:p>
    <w:p w:rsidR="007870DB" w:rsidRDefault="007870DB" w:rsidP="007870DB">
      <w:pPr>
        <w:pStyle w:val="Heading2"/>
      </w:pPr>
      <w:commentRangeStart w:id="40"/>
      <w:r>
        <w:t xml:space="preserve">The </w:t>
      </w:r>
      <w:proofErr w:type="spellStart"/>
      <w:r>
        <w:t>Montonicity</w:t>
      </w:r>
      <w:proofErr w:type="spellEnd"/>
      <w:r>
        <w:t xml:space="preserve"> Assumption</w:t>
      </w:r>
      <w:commentRangeEnd w:id="40"/>
      <w:r w:rsidR="00331737">
        <w:rPr>
          <w:rStyle w:val="CommentReference"/>
          <w:rFonts w:asciiTheme="minorHAnsi" w:eastAsiaTheme="minorEastAsia" w:hAnsiTheme="minorHAnsi" w:cstheme="minorBidi"/>
          <w:b w:val="0"/>
          <w:bCs w:val="0"/>
          <w:color w:val="auto"/>
        </w:rPr>
        <w:commentReference w:id="40"/>
      </w:r>
    </w:p>
    <w:p w:rsidR="007870DB" w:rsidRDefault="007870DB" w:rsidP="007870DB">
      <w:pPr>
        <w:spacing w:line="480" w:lineRule="auto"/>
        <w:rPr>
          <w:rFonts w:cstheme="minorHAnsi"/>
        </w:rPr>
      </w:pPr>
      <w:r>
        <w:t>The monotonicity assumption can b</w:t>
      </w:r>
      <w:r w:rsidR="00191EA4">
        <w:t xml:space="preserve">e stated </w:t>
      </w:r>
      <w:r w:rsidR="00F42054">
        <w:t xml:space="preserve">more formally </w:t>
      </w:r>
      <w:r w:rsidR="00191EA4">
        <w:t>as follows.</w:t>
      </w:r>
      <w:r>
        <w:t xml:space="preserve"> </w:t>
      </w:r>
      <w:r w:rsidR="00191EA4">
        <w:t xml:space="preserve">We define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91EA4">
        <w:t xml:space="preserve"> as the </w:t>
      </w:r>
      <w:del w:id="41" w:author="Jon Minton" w:date="2014-02-06T21:05:00Z">
        <w:r w:rsidR="00CA7F55" w:rsidDel="003C7C25">
          <w:delText>HRQL</w:delText>
        </w:r>
      </w:del>
      <w:proofErr w:type="spellStart"/>
      <w:ins w:id="42" w:author="Jon Minton" w:date="2014-02-06T21:05:00Z">
        <w:r w:rsidR="003C7C25">
          <w:t>HRQ</w:t>
        </w:r>
      </w:ins>
      <w:ins w:id="43" w:author="Jon Minton" w:date="2014-02-06T21:06:00Z">
        <w:r w:rsidR="003C7C25">
          <w:t>o</w:t>
        </w:r>
      </w:ins>
      <w:ins w:id="44" w:author="Jon Minton" w:date="2014-02-06T21:05:00Z">
        <w:r w:rsidR="003C7C25">
          <w:t>L</w:t>
        </w:r>
      </w:ins>
      <w:proofErr w:type="spellEnd"/>
      <w:r w:rsidR="00191EA4">
        <w:t xml:space="preserve"> in health state 1, and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191EA4">
        <w:t xml:space="preserve"> as the </w:t>
      </w:r>
      <w:del w:id="45" w:author="Jon Minton" w:date="2014-02-06T21:05:00Z">
        <w:r w:rsidR="00CA7F55" w:rsidDel="003C7C25">
          <w:delText>HRQL</w:delText>
        </w:r>
      </w:del>
      <w:proofErr w:type="spellStart"/>
      <w:ins w:id="46" w:author="Jon Minton" w:date="2014-02-06T21:05:00Z">
        <w:r w:rsidR="003C7C25">
          <w:t>HRQ</w:t>
        </w:r>
      </w:ins>
      <w:ins w:id="47" w:author="Jon Minton" w:date="2014-02-06T21:06:00Z">
        <w:r w:rsidR="003C7C25">
          <w:t>o</w:t>
        </w:r>
      </w:ins>
      <w:ins w:id="48" w:author="Jon Minton" w:date="2014-02-06T21:05:00Z">
        <w:r w:rsidR="003C7C25">
          <w:t>L</w:t>
        </w:r>
      </w:ins>
      <w:proofErr w:type="spellEnd"/>
      <w:r w:rsidR="00191EA4">
        <w:t xml:space="preserve"> in health state 2. Our assumption is that </w:t>
      </w:r>
      <w:r w:rsidR="00191EA4">
        <w:lastRenderedPageBreak/>
        <w:t xml:space="preserve">health state 1 is </w:t>
      </w:r>
      <w:del w:id="49" w:author="User" w:date="2014-01-27T15:54:00Z">
        <w:r w:rsidR="00191EA4" w:rsidDel="00331737">
          <w:delText xml:space="preserve">less </w:delText>
        </w:r>
        <w:commentRangeStart w:id="50"/>
        <w:r w:rsidR="00191EA4" w:rsidDel="00331737">
          <w:delText>severe</w:delText>
        </w:r>
      </w:del>
      <w:ins w:id="51" w:author="User" w:date="2014-01-27T15:54:00Z">
        <w:r w:rsidR="00331737">
          <w:t xml:space="preserve">associated with higher </w:t>
        </w:r>
        <w:del w:id="52" w:author="Jon Minton" w:date="2014-02-06T21:05:00Z">
          <w:r w:rsidR="00331737" w:rsidDel="003C7C25">
            <w:delText>HRQL</w:delText>
          </w:r>
        </w:del>
      </w:ins>
      <w:proofErr w:type="spellStart"/>
      <w:ins w:id="53" w:author="Jon Minton" w:date="2014-02-06T21:05:00Z">
        <w:r w:rsidR="003C7C25">
          <w:t>HRQ</w:t>
        </w:r>
      </w:ins>
      <w:ins w:id="54" w:author="Jon Minton" w:date="2014-02-06T21:06:00Z">
        <w:r w:rsidR="003C7C25">
          <w:t>o</w:t>
        </w:r>
      </w:ins>
      <w:ins w:id="55" w:author="Jon Minton" w:date="2014-02-06T21:05:00Z">
        <w:r w:rsidR="003C7C25">
          <w:t>L</w:t>
        </w:r>
      </w:ins>
      <w:proofErr w:type="spellEnd"/>
      <w:r w:rsidR="00191EA4">
        <w:t xml:space="preserve"> than health state 2, and so our expectation is that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91EA4">
        <w:t xml:space="preserve"> </w:t>
      </w:r>
      <w:proofErr w:type="gramStart"/>
      <w:r w:rsidR="00191EA4">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191EA4">
        <w:rPr>
          <w:rFonts w:cstheme="minorHAnsi"/>
        </w:rPr>
        <w:t xml:space="preserve">. </w:t>
      </w:r>
      <w:commentRangeEnd w:id="50"/>
      <w:r w:rsidR="006967AA">
        <w:rPr>
          <w:rStyle w:val="CommentReference"/>
        </w:rPr>
        <w:commentReference w:id="50"/>
      </w:r>
      <w:r w:rsidR="00191EA4">
        <w:rPr>
          <w:rFonts w:cstheme="minorHAnsi"/>
        </w:rPr>
        <w:t xml:space="preserve">Due to estimation uncertainty, we do not know the true value of either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oMath>
      <w:r w:rsidR="00191EA4">
        <w:rPr>
          <w:rFonts w:cstheme="minorHAnsi"/>
        </w:rPr>
        <w:t xml:space="preserve"> 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191EA4">
        <w:rPr>
          <w:rFonts w:cstheme="minorHAnsi"/>
        </w:rPr>
        <w:t xml:space="preserve">, but instead have a range of estimates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acc>
      </m:oMath>
      <w:r w:rsidR="00191EA4">
        <w:rPr>
          <w:rFonts w:cstheme="minorHAnsi"/>
        </w:rPr>
        <w:t xml:space="preserve"> for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oMath>
      <w:r w:rsidR="00191EA4">
        <w:rPr>
          <w:rFonts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acc>
      </m:oMath>
      <w:r w:rsidR="00F42054">
        <w:rPr>
          <w:rFonts w:cstheme="minorHAnsi"/>
        </w:rPr>
        <w:t xml:space="preserve"> for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F42054">
        <w:rPr>
          <w:rFonts w:cstheme="minorHAnsi"/>
        </w:rPr>
        <w:t xml:space="preserve">, such that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m:t>
                </m:r>
              </m:sub>
            </m:sSub>
          </m:e>
        </m:acc>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r>
          <w:rPr>
            <w:rFonts w:ascii="Cambria Math" w:hAnsi="Cambria Math" w:cstheme="minorHAnsi"/>
          </w:rPr>
          <m:t>)</m:t>
        </m:r>
      </m:oMath>
      <w:r w:rsidR="00F42054">
        <w:rPr>
          <w:rFonts w:cstheme="minorHAnsi"/>
        </w:rPr>
        <w:t xml:space="preserve">, where </w:t>
      </w:r>
      <m:oMath>
        <m:r>
          <w:rPr>
            <w:rFonts w:ascii="Cambria Math" w:hAnsi="Cambria Math" w:cstheme="minorHAnsi"/>
          </w:rPr>
          <m:t>k∈{1, 2}</m:t>
        </m:r>
      </m:oMath>
      <w:r w:rsidR="00F4205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oMath>
      <w:r w:rsidR="00F42054">
        <w:rPr>
          <w:rFonts w:cstheme="minorHAnsi"/>
        </w:rPr>
        <w:t xml:space="preserve"> refers to a stochastic function,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sidR="00131F18">
        <w:rPr>
          <w:rFonts w:cstheme="minorHAnsi"/>
        </w:rPr>
        <w:t xml:space="preserve"> to parameters used within that function. Within PSA, M realisations of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acc>
      </m:oMath>
      <w:r w:rsidR="00131F18">
        <w:rPr>
          <w:rFonts w:cstheme="minorHAnsi"/>
        </w:rPr>
        <w:t xml:space="preserve"> and M realisations of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acc>
      </m:oMath>
      <w:r w:rsidR="00191EA4">
        <w:t xml:space="preserve"> </w:t>
      </w:r>
      <w:r w:rsidR="00131F18">
        <w:t xml:space="preserve">will be generated. If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ki</m:t>
            </m:r>
          </m:sub>
        </m:sSub>
      </m:oMath>
      <w:r w:rsidR="00131F18">
        <w:t xml:space="preserve"> indexes the </w:t>
      </w:r>
      <w:proofErr w:type="spellStart"/>
      <w:r w:rsidR="00131F18">
        <w:t>i</w:t>
      </w:r>
      <w:r w:rsidR="00131F18" w:rsidRPr="006967AA">
        <w:rPr>
          <w:vertAlign w:val="superscript"/>
          <w:rPrChange w:id="56" w:author="Matt" w:date="2013-12-28T12:51:00Z">
            <w:rPr/>
          </w:rPrChange>
        </w:rPr>
        <w:t>th</w:t>
      </w:r>
      <w:proofErr w:type="spellEnd"/>
      <w:r w:rsidR="00131F18">
        <w:t xml:space="preserve"> realisation </w:t>
      </w:r>
      <w:proofErr w:type="gramStart"/>
      <w:r w:rsidR="00131F18">
        <w:t xml:space="preserve">of </w:t>
      </w:r>
      <w:proofErr w:type="gramEnd"/>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m:t>
                </m:r>
              </m:sub>
            </m:sSub>
          </m:e>
        </m:acc>
      </m:oMath>
      <w:r w:rsidR="00131F18">
        <w:t>, then the monotonicity condition requires that</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oMath>
      <w:r w:rsidR="0070471E">
        <w:t xml:space="preserve">, or equivalently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 xml:space="preserve">≥0 </m:t>
        </m:r>
      </m:oMath>
      <w:r w:rsidR="0070471E">
        <w:t xml:space="preserve">, </w:t>
      </w:r>
      <w:r>
        <w:rPr>
          <w:rFonts w:cstheme="minorHAnsi"/>
        </w:rPr>
        <w:t xml:space="preserve">for all </w:t>
      </w:r>
      <w:proofErr w:type="spellStart"/>
      <w:r w:rsidRPr="006967AA">
        <w:rPr>
          <w:rFonts w:cstheme="minorHAnsi"/>
          <w:i/>
          <w:rPrChange w:id="57" w:author="Matt" w:date="2013-12-28T12:51:00Z">
            <w:rPr>
              <w:rFonts w:cstheme="minorHAnsi"/>
            </w:rPr>
          </w:rPrChange>
        </w:rPr>
        <w:t>i</w:t>
      </w:r>
      <w:proofErr w:type="spellEnd"/>
      <w:r>
        <w:rPr>
          <w:rFonts w:cstheme="minorHAnsi"/>
        </w:rPr>
        <w:t xml:space="preserve"> </w:t>
      </w:r>
      <m:oMath>
        <m:r>
          <w:rPr>
            <w:rFonts w:ascii="Cambria Math" w:hAnsi="Cambria Math" w:cstheme="minorHAnsi"/>
          </w:rPr>
          <m:t>={1, 2, …, M}</m:t>
        </m:r>
      </m:oMath>
      <w:r>
        <w:rPr>
          <w:rFonts w:cstheme="minorHAnsi"/>
        </w:rPr>
        <w:t xml:space="preserve">. </w:t>
      </w:r>
    </w:p>
    <w:p w:rsidR="0064679C" w:rsidRPr="0064679C" w:rsidRDefault="004E5985" w:rsidP="00047821">
      <w:pPr>
        <w:pStyle w:val="Heading1"/>
      </w:pPr>
      <w:r>
        <w:t>Method</w:t>
      </w:r>
      <w:r w:rsidR="00293028">
        <w:t>s</w:t>
      </w:r>
    </w:p>
    <w:p w:rsidR="00A7522E" w:rsidRDefault="00A7522E" w:rsidP="00A7522E">
      <w:pPr>
        <w:spacing w:line="480" w:lineRule="auto"/>
      </w:pPr>
      <w:commentRangeStart w:id="58"/>
      <w:r>
        <w:t xml:space="preserve">To test </w:t>
      </w:r>
      <w:r w:rsidR="006C119D">
        <w:t xml:space="preserve">the </w:t>
      </w:r>
      <w:r>
        <w:t>methods</w:t>
      </w:r>
      <w:r w:rsidR="0070471E">
        <w:t>,</w:t>
      </w:r>
      <w:r>
        <w:t xml:space="preserve"> hypothetical IPD were generated from 30 hypothetical patients, in which each individual’s </w:t>
      </w:r>
      <w:del w:id="59" w:author="Jon Minton" w:date="2014-02-06T21:05:00Z">
        <w:r w:rsidR="00CA7F55" w:rsidDel="003C7C25">
          <w:delText>HRQL</w:delText>
        </w:r>
      </w:del>
      <w:proofErr w:type="spellStart"/>
      <w:ins w:id="60" w:author="Jon Minton" w:date="2014-02-06T21:05:00Z">
        <w:r w:rsidR="003C7C25">
          <w:t>HRQ</w:t>
        </w:r>
      </w:ins>
      <w:ins w:id="61" w:author="Jon Minton" w:date="2014-02-06T21:06:00Z">
        <w:r w:rsidR="003C7C25">
          <w:t>o</w:t>
        </w:r>
      </w:ins>
      <w:ins w:id="62" w:author="Jon Minton" w:date="2014-02-06T21:05:00Z">
        <w:r w:rsidR="003C7C25">
          <w:t>L</w:t>
        </w:r>
      </w:ins>
      <w:proofErr w:type="spellEnd"/>
      <w:r>
        <w:t xml:space="preserve"> values were recorded while in a ‘worse’ health state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and a ‘better’ health </w:t>
      </w:r>
      <w:proofErr w:type="gramStart"/>
      <w:r>
        <w:t xml:space="preserve">state </w:t>
      </w:r>
      <w:proofErr w:type="gramEnd"/>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We assume that means and standard errors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would be reported, but the covariance would not</w:t>
      </w:r>
      <w:r w:rsidR="006C119D">
        <w:t xml:space="preserve"> be</w:t>
      </w:r>
      <w:r>
        <w:t>.</w:t>
      </w:r>
    </w:p>
    <w:p w:rsidR="00A7522E" w:rsidRDefault="00A7522E" w:rsidP="00CA7F55">
      <w:pPr>
        <w:spacing w:line="480" w:lineRule="auto"/>
      </w:pPr>
      <w:r>
        <w:t xml:space="preserve">The ‘true’ joint uncertainty of the mean values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was determined</w:t>
      </w:r>
      <w:r w:rsidR="007E74D1">
        <w:t xml:space="preserve"> by bootstrapping: </w:t>
      </w:r>
      <w:r>
        <w:t xml:space="preserve">the pairs of observations from each of the 30 patients in the original dataset are repeatedly resampled with </w:t>
      </w:r>
      <w:proofErr w:type="gramStart"/>
      <w:r>
        <w:t>replacement,</w:t>
      </w:r>
      <w:proofErr w:type="gramEnd"/>
      <w:r>
        <w:t xml:space="preserve"> and the mean values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F63AB4">
        <w:t xml:space="preserve"> </w:t>
      </w:r>
      <w:r>
        <w:t xml:space="preserve"> recorded. Doing this 1,000 times produces a set of</w:t>
      </w:r>
      <w:r w:rsidR="00F63AB4">
        <w:t xml:space="preserve"> IPD-derived </w:t>
      </w:r>
      <w:r>
        <w:t>PSA results</w:t>
      </w:r>
      <w:r w:rsidR="00F63AB4">
        <w:t>. These IPD-derived PSA results were considered</w:t>
      </w:r>
      <w:r>
        <w:t xml:space="preserve"> </w:t>
      </w:r>
      <w:proofErr w:type="spellStart"/>
      <w:r>
        <w:t>considered</w:t>
      </w:r>
      <w:proofErr w:type="spellEnd"/>
      <w:r>
        <w:t xml:space="preserve"> </w:t>
      </w:r>
      <w:r w:rsidR="00F63AB4">
        <w:t>the</w:t>
      </w:r>
      <w:r>
        <w:t xml:space="preserve"> gold standard against which the PSA produced by each of the methods can be compared. </w:t>
      </w:r>
      <w:commentRangeStart w:id="63"/>
      <w:r>
        <w:t>We assume that the more similar the PSA produced by one of the methods is to that produced by the bootstrapping procedure,</w:t>
      </w:r>
      <w:commentRangeEnd w:id="63"/>
      <w:r w:rsidR="00983AE4">
        <w:rPr>
          <w:rStyle w:val="CommentReference"/>
        </w:rPr>
        <w:commentReference w:id="63"/>
      </w:r>
      <w:r>
        <w:t xml:space="preserve"> the more </w:t>
      </w:r>
      <w:r w:rsidR="00983AE4">
        <w:t xml:space="preserve">likely </w:t>
      </w:r>
      <w:r>
        <w:t xml:space="preserve">it should be considered </w:t>
      </w:r>
      <w:r w:rsidR="00983AE4">
        <w:t xml:space="preserve">appropriate </w:t>
      </w:r>
      <w:r>
        <w:t>to be for handling this form of monotonicity. It is assumed that th</w:t>
      </w:r>
      <w:r w:rsidR="006C119D">
        <w:t xml:space="preserve">ere are no missing observations, and so for each patient there is a record </w:t>
      </w:r>
      <w:r w:rsidR="007E74D1">
        <w:t>of their U</w:t>
      </w:r>
      <w:r w:rsidR="007E74D1" w:rsidRPr="003D4C96">
        <w:rPr>
          <w:vertAlign w:val="subscript"/>
        </w:rPr>
        <w:t>1</w:t>
      </w:r>
      <w:r w:rsidR="007E74D1">
        <w:t xml:space="preserve"> state and U</w:t>
      </w:r>
      <w:r w:rsidR="007E74D1" w:rsidRPr="003D4C96">
        <w:rPr>
          <w:vertAlign w:val="subscript"/>
        </w:rPr>
        <w:t>2</w:t>
      </w:r>
      <w:r w:rsidR="007E74D1">
        <w:t xml:space="preserve"> state.</w:t>
      </w:r>
      <w:r>
        <w:t xml:space="preserve"> </w:t>
      </w:r>
      <w:commentRangeEnd w:id="58"/>
      <w:r w:rsidR="00331737">
        <w:rPr>
          <w:rStyle w:val="CommentReference"/>
        </w:rPr>
        <w:commentReference w:id="58"/>
      </w:r>
    </w:p>
    <w:p w:rsidR="006C78E2" w:rsidRDefault="00DD41F7" w:rsidP="00047821">
      <w:pPr>
        <w:spacing w:line="480" w:lineRule="auto"/>
      </w:pPr>
      <w:r>
        <w:t xml:space="preserve">The </w:t>
      </w:r>
      <w:r w:rsidR="001B0524">
        <w:t>IPD</w:t>
      </w:r>
      <w:r w:rsidR="009143A3" w:rsidRPr="000A14E4">
        <w:t xml:space="preserve"> </w:t>
      </w:r>
      <w:r w:rsidRPr="000A14E4">
        <w:t xml:space="preserve">are </w:t>
      </w:r>
      <w:r w:rsidR="0071048C" w:rsidRPr="000A14E4">
        <w:t xml:space="preserve">provided </w:t>
      </w:r>
      <w:r w:rsidR="006C78E2" w:rsidRPr="000A14E4">
        <w:t xml:space="preserve">in the appendix </w:t>
      </w:r>
      <w:proofErr w:type="gramStart"/>
      <w:r w:rsidR="00950C20">
        <w:t>A</w:t>
      </w:r>
      <w:proofErr w:type="gramEnd"/>
      <w:r w:rsidR="00950C20">
        <w:t xml:space="preserve"> </w:t>
      </w:r>
      <w:r w:rsidRPr="000A14E4">
        <w:t xml:space="preserve">in </w:t>
      </w:r>
      <w:r w:rsidR="004D3A56" w:rsidRPr="000A14E4">
        <w:t>Table A1</w:t>
      </w:r>
      <w:r>
        <w:t xml:space="preserve">, and the corresponding scatter plot for these data </w:t>
      </w:r>
      <w:r w:rsidR="0071048C">
        <w:t xml:space="preserve">is </w:t>
      </w:r>
      <w:r>
        <w:t xml:space="preserve">shown in </w:t>
      </w:r>
      <w:r w:rsidR="004D3A56">
        <w:t>Figure 1</w:t>
      </w:r>
      <w:r w:rsidR="003B2A39">
        <w:t xml:space="preserve">. </w:t>
      </w:r>
      <w:r w:rsidR="0071048C">
        <w:t>Note that monotonicity applies in all cases as all points are below the diagonal line</w:t>
      </w:r>
      <w:r w:rsidR="00F7190D">
        <w:t>.</w:t>
      </w:r>
    </w:p>
    <w:p w:rsidR="0028566C" w:rsidRDefault="00F63AB4" w:rsidP="00F63AB4">
      <w:pPr>
        <w:keepNext/>
        <w:spacing w:line="480" w:lineRule="auto"/>
        <w:jc w:val="center"/>
      </w:pPr>
      <w:r>
        <w:rPr>
          <w:noProof/>
        </w:rPr>
        <w:lastRenderedPageBreak/>
        <w:t>[Figure 1 about here]</w:t>
      </w:r>
    </w:p>
    <w:p w:rsidR="006C78E2" w:rsidRDefault="006C78E2" w:rsidP="00D210AA">
      <w:pPr>
        <w:pStyle w:val="Heading2"/>
      </w:pPr>
      <w:r>
        <w:t>Bootstrapped estimates of means</w:t>
      </w:r>
    </w:p>
    <w:p w:rsidR="00DD41F7" w:rsidRDefault="00A7522E" w:rsidP="00047821">
      <w:pPr>
        <w:spacing w:line="480" w:lineRule="auto"/>
      </w:pPr>
      <w:r>
        <w:t xml:space="preserve">In cohort models the distribution used in PSA represent uncertainty around the mean value. </w:t>
      </w:r>
      <w:r w:rsidR="00025316">
        <w:t xml:space="preserve">PSA usually aims to represent uncertainty about the mean value of a parameter, rather than the full distribution of that parameter. </w:t>
      </w:r>
      <w:r w:rsidR="007E74D1">
        <w:t xml:space="preserve">Bootstrapped estimates </w:t>
      </w:r>
      <w:r w:rsidR="008C6FB9">
        <w:t xml:space="preserve">produced the data </w:t>
      </w:r>
      <w:r w:rsidR="00DD41F7">
        <w:t xml:space="preserve">shown in </w:t>
      </w:r>
      <w:r w:rsidR="00130110">
        <w:t>Figure 2</w:t>
      </w:r>
      <w:r w:rsidR="008C6FB9">
        <w:t>.</w:t>
      </w:r>
      <w:r w:rsidR="00573694">
        <w:t xml:space="preserve"> </w:t>
      </w:r>
      <w:r w:rsidR="00022242">
        <w:t>In this figure,</w:t>
      </w:r>
      <w:r w:rsidR="00197741">
        <w:t xml:space="preserve"> no estimate of U</w:t>
      </w:r>
      <w:r w:rsidR="00197741" w:rsidRPr="003D4C96">
        <w:rPr>
          <w:vertAlign w:val="subscript"/>
        </w:rPr>
        <w:t>1</w:t>
      </w:r>
      <w:r w:rsidR="00197741">
        <w:t xml:space="preserve"> is less than t</w:t>
      </w:r>
      <w:r w:rsidR="00022242">
        <w:t>he corresponding estimate of U</w:t>
      </w:r>
      <w:r w:rsidR="00022242" w:rsidRPr="003D4C96">
        <w:rPr>
          <w:vertAlign w:val="subscript"/>
        </w:rPr>
        <w:t>2</w:t>
      </w:r>
      <w:r w:rsidR="00022242">
        <w:t>.</w:t>
      </w:r>
      <w:r w:rsidR="00197741">
        <w:t xml:space="preserv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w:t>
      </w:r>
      <w:r w:rsidR="00197741" w:rsidRPr="009F3A25">
        <w:rPr>
          <w:vertAlign w:val="subscript"/>
        </w:rPr>
        <w:t>1</w:t>
      </w:r>
      <w:r w:rsidR="00197741">
        <w:t xml:space="preserve"> – U</w:t>
      </w:r>
      <w:r w:rsidR="00197741" w:rsidRPr="009F3A25">
        <w:rPr>
          <w:vertAlign w:val="subscript"/>
        </w:rPr>
        <w:t>2</w:t>
      </w:r>
      <w:r w:rsidR="007E74D1">
        <w:t xml:space="preserve">, showing </w:t>
      </w:r>
      <w:r w:rsidR="00197741">
        <w:t xml:space="preserve">that simply </w:t>
      </w:r>
      <w:r w:rsidR="00C51AA6">
        <w:t>adding on the difference in expectations to U</w:t>
      </w:r>
      <w:r w:rsidR="00C51AA6" w:rsidRPr="00C51AA6">
        <w:rPr>
          <w:vertAlign w:val="subscript"/>
        </w:rPr>
        <w:t>2</w:t>
      </w:r>
      <w:r w:rsidR="00C51AA6">
        <w:t xml:space="preserve"> to estimate U</w:t>
      </w:r>
      <w:r w:rsidR="00C51AA6" w:rsidRPr="00C51AA6">
        <w:rPr>
          <w:vertAlign w:val="subscript"/>
        </w:rPr>
        <w:t>1</w:t>
      </w:r>
      <w:r w:rsidR="00C51AA6">
        <w:t xml:space="preserve"> </w:t>
      </w:r>
      <w:commentRangeStart w:id="64"/>
      <w:r w:rsidR="00C51AA6">
        <w:t>would</w:t>
      </w:r>
      <w:commentRangeEnd w:id="64"/>
      <w:r w:rsidR="00671A82">
        <w:rPr>
          <w:rStyle w:val="CommentReference"/>
        </w:rPr>
        <w:commentReference w:id="64"/>
      </w:r>
      <w:r w:rsidR="00C51AA6">
        <w:t xml:space="preserve"> be incorrect</w:t>
      </w:r>
      <w:r w:rsidR="00D24E90">
        <w:t>.</w:t>
      </w:r>
    </w:p>
    <w:p w:rsidR="003D4C96" w:rsidRDefault="003D4C96" w:rsidP="003D4C96">
      <w:pPr>
        <w:spacing w:line="480" w:lineRule="auto"/>
        <w:jc w:val="center"/>
      </w:pPr>
      <w:r>
        <w:t>[Figure 2 about here]</w:t>
      </w:r>
    </w:p>
    <w:p w:rsidR="009143A3" w:rsidRDefault="009143A3" w:rsidP="00D210AA">
      <w:pPr>
        <w:pStyle w:val="Heading2"/>
      </w:pPr>
      <w:r>
        <w:t>Summary statistics</w:t>
      </w:r>
      <w:r w:rsidR="00F7190D">
        <w:t xml:space="preserve"> for main analysis</w:t>
      </w:r>
    </w:p>
    <w:p w:rsidR="00900EF8" w:rsidRDefault="00130110" w:rsidP="00990DA5">
      <w:pPr>
        <w:spacing w:line="480" w:lineRule="auto"/>
      </w:pPr>
      <w:r>
        <w:t xml:space="preserve">Table 1 </w:t>
      </w:r>
      <w:r w:rsidR="00D24E90">
        <w:t>shows the information assumed to be available to the modeller</w:t>
      </w:r>
      <w:r w:rsidR="00DD41F7">
        <w:t xml:space="preserve">. </w:t>
      </w:r>
      <w:r w:rsidR="00022242">
        <w:t>In addition to this</w:t>
      </w:r>
      <w:r w:rsidR="00035E36">
        <w:t xml:space="preserve"> it is assumed that </w:t>
      </w:r>
      <w:r w:rsidR="001B0524" w:rsidRPr="003C7C25">
        <w:rPr>
          <w:i/>
        </w:rPr>
        <w:t>U</w:t>
      </w:r>
      <w:r w:rsidR="001B0524" w:rsidRPr="00C51AA6">
        <w:rPr>
          <w:vertAlign w:val="subscript"/>
        </w:rPr>
        <w:t>1</w:t>
      </w:r>
      <w:r w:rsidR="00035E36">
        <w:t xml:space="preserve"> is greater than </w:t>
      </w:r>
      <w:r w:rsidR="001B0524" w:rsidRPr="003C7C25">
        <w:rPr>
          <w:i/>
        </w:rPr>
        <w:t>U</w:t>
      </w:r>
      <w:r w:rsidR="001B0524" w:rsidRPr="00C51AA6">
        <w:rPr>
          <w:vertAlign w:val="subscript"/>
        </w:rPr>
        <w:t>2</w:t>
      </w:r>
      <w:r w:rsidR="00D24E90">
        <w:t>.</w:t>
      </w:r>
      <w:r w:rsidR="00DD41F7">
        <w:t xml:space="preserve"> </w:t>
      </w:r>
    </w:p>
    <w:p w:rsidR="003D4C96" w:rsidRDefault="003D4C96" w:rsidP="003D4C96">
      <w:pPr>
        <w:spacing w:line="480" w:lineRule="auto"/>
        <w:jc w:val="center"/>
      </w:pPr>
      <w:r>
        <w:t>[Table 1 about here]</w:t>
      </w:r>
    </w:p>
    <w:p w:rsidR="00F7190D" w:rsidRDefault="00F7190D" w:rsidP="009B1933">
      <w:pPr>
        <w:pStyle w:val="Heading2"/>
      </w:pPr>
      <w:r>
        <w:t>Summary statistics of supplementary analysis</w:t>
      </w:r>
    </w:p>
    <w:p w:rsidR="00F7190D" w:rsidRDefault="00F7190D" w:rsidP="00F7190D">
      <w:pPr>
        <w:spacing w:line="480" w:lineRule="auto"/>
      </w:pPr>
      <w:r>
        <w:t>A supplementary analysis was conducted for those methods shown in the primary analysis to produce appropriate results. In this supplementary analysis, it was assumed that estimates for the mean value of U</w:t>
      </w:r>
      <w:r w:rsidRPr="003D4C96">
        <w:rPr>
          <w:vertAlign w:val="subscript"/>
        </w:rPr>
        <w:t>1</w:t>
      </w:r>
      <w:r>
        <w:t xml:space="preserve"> and U</w:t>
      </w:r>
      <w:r w:rsidRPr="003D4C96">
        <w:rPr>
          <w:vertAlign w:val="subscript"/>
        </w:rPr>
        <w:t>2</w:t>
      </w:r>
      <w:r>
        <w:t xml:space="preserve"> were based on different populations. In our example, U</w:t>
      </w:r>
      <w:r w:rsidRPr="003D4C96">
        <w:rPr>
          <w:vertAlign w:val="subscript"/>
        </w:rPr>
        <w:t>1</w:t>
      </w:r>
      <w:r>
        <w:t xml:space="preserve"> is drawn from 80 patients and U</w:t>
      </w:r>
      <w:r w:rsidRPr="003D4C96">
        <w:rPr>
          <w:vertAlign w:val="subscript"/>
        </w:rPr>
        <w:t>2</w:t>
      </w:r>
      <w:r>
        <w:t xml:space="preserve"> is drawn from 15 different patients. For example, all 95 patients may be suffering from the same disease, but the 80 patients used to inform the U</w:t>
      </w:r>
      <w:r w:rsidRPr="003D4C96">
        <w:rPr>
          <w:vertAlign w:val="subscript"/>
        </w:rPr>
        <w:t>1</w:t>
      </w:r>
      <w:r>
        <w:t xml:space="preserve"> estimate are in a non-progressed state, and the 15 patients are in the progressed state. Neither the U</w:t>
      </w:r>
      <w:r w:rsidRPr="003D4C96">
        <w:rPr>
          <w:vertAlign w:val="subscript"/>
        </w:rPr>
        <w:t>1</w:t>
      </w:r>
      <w:r>
        <w:t xml:space="preserve"> values of the 15 patients when they were in the non-progressed state nor the U</w:t>
      </w:r>
      <w:r w:rsidRPr="003D4C96">
        <w:rPr>
          <w:vertAlign w:val="subscript"/>
        </w:rPr>
        <w:t>2</w:t>
      </w:r>
      <w:r>
        <w:t xml:space="preserve"> values of 80 patients when (or if) they will be in the progressed states are known. The summary data available are shown in </w:t>
      </w:r>
      <w:r w:rsidR="00130110">
        <w:t>Table 2</w:t>
      </w:r>
      <w:r>
        <w:t>.</w:t>
      </w:r>
    </w:p>
    <w:p w:rsidR="00F7190D" w:rsidRDefault="003D4C96" w:rsidP="003D4C96">
      <w:pPr>
        <w:spacing w:line="480" w:lineRule="auto"/>
        <w:jc w:val="center"/>
      </w:pPr>
      <w:r>
        <w:lastRenderedPageBreak/>
        <w:t>[Table 2 about here]</w:t>
      </w:r>
      <w:r w:rsidR="00F7190D">
        <w:t xml:space="preserve"> </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430AB7" w:rsidRDefault="003B2A39" w:rsidP="00D210AA">
      <w:pPr>
        <w:pStyle w:val="Heading2"/>
      </w:pPr>
      <w:r>
        <w:t xml:space="preserve">The </w:t>
      </w:r>
      <w:del w:id="65" w:author="Jon Minton" w:date="2014-02-06T21:07:00Z">
        <w:r w:rsidR="001D7B8E" w:rsidDel="003C7C25">
          <w:delText>T</w:delText>
        </w:r>
        <w:r w:rsidDel="003C7C25">
          <w:delText xml:space="preserve">en </w:delText>
        </w:r>
      </w:del>
      <w:commentRangeStart w:id="66"/>
      <w:r w:rsidR="00A53CD0">
        <w:t>Methods</w:t>
      </w:r>
      <w:commentRangeEnd w:id="66"/>
      <w:r w:rsidR="0094479E">
        <w:rPr>
          <w:rStyle w:val="CommentReference"/>
          <w:rFonts w:asciiTheme="minorHAnsi" w:eastAsiaTheme="minorEastAsia" w:hAnsiTheme="minorHAnsi" w:cstheme="minorBidi"/>
          <w:b w:val="0"/>
          <w:bCs w:val="0"/>
          <w:color w:val="auto"/>
        </w:rPr>
        <w:commentReference w:id="66"/>
      </w:r>
    </w:p>
    <w:p w:rsidR="00035E36" w:rsidRDefault="00035E36" w:rsidP="00035E36">
      <w:pPr>
        <w:spacing w:line="480" w:lineRule="auto"/>
      </w:pPr>
      <w:r>
        <w:t xml:space="preserve">A systematic review of methods was not undertaken. Instead, </w:t>
      </w:r>
      <w:r w:rsidR="003D4C96">
        <w:t>we</w:t>
      </w:r>
      <w:r>
        <w:t xml:space="preserve"> compiled a list of methods that </w:t>
      </w:r>
      <w:r w:rsidR="003D4C96">
        <w:t xml:space="preserve">we </w:t>
      </w:r>
      <w:commentRangeStart w:id="67"/>
      <w:r w:rsidR="003D4C96">
        <w:t>have used ourselves, seen others use</w:t>
      </w:r>
      <w:r>
        <w:t>,</w:t>
      </w:r>
      <w:commentRangeEnd w:id="67"/>
      <w:r w:rsidR="00A86DAB">
        <w:rPr>
          <w:rStyle w:val="CommentReference"/>
        </w:rPr>
        <w:commentReference w:id="67"/>
      </w:r>
      <w:r>
        <w:t xml:space="preserve"> or that appeared a </w:t>
      </w:r>
      <w:r w:rsidR="003D4C96">
        <w:t xml:space="preserve">promising </w:t>
      </w:r>
      <w:r>
        <w:t xml:space="preserve">potential solution. This produced a list of </w:t>
      </w:r>
      <w:commentRangeStart w:id="68"/>
      <w:r>
        <w:t>ten methods</w:t>
      </w:r>
      <w:commentRangeEnd w:id="68"/>
      <w:r w:rsidR="00A86DAB">
        <w:rPr>
          <w:rStyle w:val="CommentReference"/>
        </w:rPr>
        <w:commentReference w:id="68"/>
      </w:r>
      <w:ins w:id="69" w:author="Jon Minton" w:date="2014-02-06T21:07:00Z">
        <w:r w:rsidR="003C7C25">
          <w:t xml:space="preserve"> </w:t>
        </w:r>
      </w:ins>
      <w:ins w:id="70" w:author="Jon Minton" w:date="2014-02-06T21:08:00Z">
        <w:r w:rsidR="003C7C25">
          <w:t>including independent sampling</w:t>
        </w:r>
      </w:ins>
      <w:r>
        <w:t>, which fit broadly into one of four classes</w:t>
      </w:r>
      <w:ins w:id="71" w:author="Jon Minton" w:date="2014-02-06T21:08:00Z">
        <w:r w:rsidR="003C7C25">
          <w:t>: Naïve/simple methods; resampling and replacement methods; multivariate model methods; and difference model methods. Each of these four classes of method will be described in more detail below.</w:t>
        </w:r>
      </w:ins>
      <w:del w:id="72" w:author="Jon Minton" w:date="2014-02-06T21:08:00Z">
        <w:r w:rsidDel="003C7C25">
          <w:delText>:</w:delText>
        </w:r>
      </w:del>
    </w:p>
    <w:p w:rsidR="00C51AA6" w:rsidRDefault="009143A3" w:rsidP="003D4C96">
      <w:pPr>
        <w:spacing w:line="480" w:lineRule="auto"/>
      </w:pPr>
      <w:r>
        <w:t xml:space="preserve">The </w:t>
      </w:r>
      <w:r w:rsidR="00131B0D">
        <w:t xml:space="preserve">ten </w:t>
      </w:r>
      <w:r w:rsidR="00A53CD0">
        <w:t xml:space="preserve">methods </w:t>
      </w:r>
      <w:r w:rsidR="00131B0D">
        <w:t xml:space="preserve">considered are described in </w:t>
      </w:r>
      <w:r w:rsidR="00130110">
        <w:t>Table 3</w:t>
      </w:r>
      <w:r w:rsidR="00131B0D">
        <w:t>.</w:t>
      </w:r>
      <w:r w:rsidR="00131B0D" w:rsidRPr="00900EF8">
        <w:t xml:space="preserve"> </w:t>
      </w:r>
      <w:r w:rsidR="00C51AA6">
        <w:t xml:space="preserve">Classes of methods where it is impossible, </w:t>
      </w:r>
      <w:commentRangeStart w:id="73"/>
      <w:r w:rsidR="00C51AA6">
        <w:t>for</w:t>
      </w:r>
      <w:commentRangeEnd w:id="73"/>
      <w:r w:rsidR="0094479E">
        <w:rPr>
          <w:rStyle w:val="CommentReference"/>
        </w:rPr>
        <w:commentReference w:id="73"/>
      </w:r>
      <w:r w:rsidR="00C51AA6">
        <w:t xml:space="preserve"> monotonicity to be violated are marked with a † symbol. All methods were implemented using the R programming language. </w:t>
      </w:r>
      <w:r w:rsidR="00A000CA">
        <w:fldChar w:fldCharType="begin" w:fldLock="1"/>
      </w:r>
      <w:r w:rsidR="00C51AA6">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A000CA">
        <w:fldChar w:fldCharType="separate"/>
      </w:r>
      <w:r w:rsidR="00C51AA6" w:rsidRPr="000E7974">
        <w:rPr>
          <w:noProof/>
        </w:rPr>
        <w:t>(3)</w:t>
      </w:r>
      <w:r w:rsidR="00A000CA">
        <w:fldChar w:fldCharType="end"/>
      </w:r>
      <w:r w:rsidR="00C51AA6">
        <w:t xml:space="preserve"> </w:t>
      </w:r>
      <w:r w:rsidR="00C51AA6" w:rsidRPr="000A14E4">
        <w:t xml:space="preserve">The R code used to perform the analyses is included as appendix </w:t>
      </w:r>
      <w:r w:rsidR="000A14E4" w:rsidRPr="000A14E4">
        <w:t>B</w:t>
      </w:r>
      <w:r w:rsidR="00C51AA6" w:rsidRPr="000A14E4">
        <w:t>. The Difference Model method has also been implemented in Excel, and is included as supplementary material.</w:t>
      </w:r>
      <w:r w:rsidR="00C51AA6">
        <w:t xml:space="preserve">  </w:t>
      </w:r>
    </w:p>
    <w:p w:rsidR="004D3A56" w:rsidRDefault="004D3A56" w:rsidP="003D4C96">
      <w:pPr>
        <w:spacing w:line="480" w:lineRule="auto"/>
      </w:pPr>
      <w:r>
        <w:t xml:space="preserve">It may be useful to consider </w:t>
      </w:r>
      <w:r w:rsidR="00C51AA6">
        <w:t xml:space="preserve">the ten </w:t>
      </w:r>
      <w:r>
        <w:t xml:space="preserve">methods with regard to the distinction </w:t>
      </w:r>
      <w:r w:rsidR="00B0208F">
        <w:t xml:space="preserve">made previously </w:t>
      </w:r>
      <w:r>
        <w:t xml:space="preserve">between </w:t>
      </w:r>
      <w:r w:rsidR="00B0208F">
        <w:t>the functions used to generate the estimates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r>
          <w:rPr>
            <w:rFonts w:ascii="Cambria Math" w:hAnsi="Cambria Math" w:cstheme="minorHAnsi"/>
          </w:rPr>
          <m:t>)</m:t>
        </m:r>
      </m:oMath>
      <w:r>
        <w:t xml:space="preserve"> and </w:t>
      </w:r>
      <w:r w:rsidR="00B0208F">
        <w:t>the parameters passed to those functions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sidR="00B0208F">
        <w:t xml:space="preserve">). For example, the resampling and replacement </w:t>
      </w:r>
      <w:r w:rsidR="009F3A25">
        <w:t xml:space="preserve">methods </w:t>
      </w:r>
      <w:ins w:id="74" w:author="Matt" w:date="2013-12-28T13:07:00Z">
        <w:r w:rsidR="0094479E">
          <w:t xml:space="preserve">(methods three to six) </w:t>
        </w:r>
      </w:ins>
      <w:r w:rsidR="009F3A25">
        <w:t xml:space="preserve">do not introduce any dependence between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9F3A25">
        <w:t xml:space="preserve"> </w:t>
      </w:r>
      <w:proofErr w:type="gramStart"/>
      <w:r w:rsidR="009F3A25">
        <w:t xml:space="preserve">and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9F3A25">
        <w:t xml:space="preserve">, but allow instead allow  </w:t>
      </w:r>
      <m:oMath>
        <m:sSub>
          <m:sSubPr>
            <m:ctrlPr>
              <w:rPr>
                <w:rFonts w:ascii="Cambria Math" w:hAnsi="Cambria Math"/>
                <w:i/>
              </w:rPr>
            </m:ctrlPr>
          </m:sSubPr>
          <m:e>
            <m:r>
              <w:rPr>
                <w:rFonts w:ascii="Cambria Math" w:hAnsi="Cambria Math"/>
              </w:rPr>
              <m:t>U</m:t>
            </m:r>
          </m:e>
          <m:sub>
            <m:r>
              <w:rPr>
                <w:rFonts w:ascii="Cambria Math" w:hAnsi="Cambria Math"/>
              </w:rPr>
              <m:t>ki</m:t>
            </m:r>
          </m:sub>
        </m:sSub>
      </m:oMath>
      <w:r w:rsidR="009F3A25">
        <w:t xml:space="preserve">  to be drawn from either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ki</m:t>
            </m:r>
          </m:sub>
        </m:sSub>
      </m:oMath>
      <w:r w:rsidR="009F3A25">
        <w:t xml:space="preserve"> or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k'i</m:t>
            </m:r>
          </m:sub>
        </m:sSub>
      </m:oMath>
      <w:r w:rsidR="00130110">
        <w:t xml:space="preserve"> (where k’ = 1 if k=2 and vice-</w:t>
      </w:r>
      <w:r w:rsidR="009F3A25">
        <w:t xml:space="preserve">versa). </w:t>
      </w:r>
      <w:r w:rsidR="00E127CB">
        <w:t xml:space="preserve">Conversely, the multivariate methods (methods </w:t>
      </w:r>
      <w:r w:rsidR="00130110">
        <w:t>seven to nine</w:t>
      </w:r>
      <w:r w:rsidR="00E127CB">
        <w:t xml:space="preserve">) link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E127CB">
        <w:t xml:space="preserve">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E127CB">
        <w:t xml:space="preserve"> through a covariance structure, but the choice of covariance parameter is dependent on sampled estimates of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1i</m:t>
            </m:r>
          </m:sub>
        </m:sSub>
      </m:oMath>
      <w:r w:rsidR="00E127CB">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2i</m:t>
            </m:r>
          </m:sub>
        </m:sSub>
      </m:oMath>
      <w:r w:rsidR="00E127CB">
        <w:t xml:space="preserve"> , including the number of samples used, M. Method </w:t>
      </w:r>
      <w:r w:rsidR="00130110">
        <w:lastRenderedPageBreak/>
        <w:t>ten</w:t>
      </w:r>
      <w:r w:rsidR="004B7DBB">
        <w:t xml:space="preserve">, like methods </w:t>
      </w:r>
      <w:r w:rsidR="00130110">
        <w:t>seven to nine</w:t>
      </w:r>
      <w:r w:rsidR="004B7DBB">
        <w:t xml:space="preserve">, also links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4B7DBB">
        <w:t xml:space="preserve">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4B7DBB">
        <w:t xml:space="preserve">, but does not use a covariance structure to do so. </w:t>
      </w:r>
      <w:r w:rsidR="00E127CB">
        <w:t xml:space="preserve">  </w:t>
      </w:r>
      <w:r w:rsidR="009F3A25">
        <w:t xml:space="preserve">    </w:t>
      </w:r>
    </w:p>
    <w:p w:rsidR="00130110" w:rsidDel="003C7C25" w:rsidRDefault="00130110" w:rsidP="00130110">
      <w:pPr>
        <w:pStyle w:val="Heading2"/>
      </w:pPr>
      <w:moveFromRangeStart w:id="75" w:author="Jon Minton" w:date="2014-02-06T21:11:00Z" w:name="move379484416"/>
      <w:moveFrom w:id="76" w:author="Jon Minton" w:date="2014-02-06T21:11:00Z">
        <w:r w:rsidDel="003C7C25">
          <w:t xml:space="preserve">Estimation of Beta </w:t>
        </w:r>
        <w:commentRangeStart w:id="77"/>
        <w:r w:rsidDel="003C7C25">
          <w:t>Distributions</w:t>
        </w:r>
        <w:commentRangeEnd w:id="77"/>
        <w:r w:rsidR="0094479E" w:rsidDel="003C7C25">
          <w:rPr>
            <w:rStyle w:val="CommentReference"/>
            <w:rFonts w:asciiTheme="minorHAnsi" w:eastAsiaTheme="minorEastAsia" w:hAnsiTheme="minorHAnsi" w:cstheme="minorBidi"/>
            <w:b w:val="0"/>
            <w:bCs w:val="0"/>
            <w:color w:val="auto"/>
          </w:rPr>
          <w:commentReference w:id="77"/>
        </w:r>
      </w:moveFrom>
    </w:p>
    <w:p w:rsidR="00131B0D" w:rsidDel="003C7C25" w:rsidRDefault="000444A0" w:rsidP="003D4C96">
      <w:pPr>
        <w:spacing w:line="480" w:lineRule="auto"/>
      </w:pPr>
      <w:moveFrom w:id="78" w:author="Jon Minton" w:date="2014-02-06T21:11:00Z">
        <w:r w:rsidDel="003C7C25">
          <w:t xml:space="preserve">We use beta distributions for all methods except methods </w:t>
        </w:r>
        <w:r w:rsidR="00130110" w:rsidDel="003C7C25">
          <w:t>seven to nine</w:t>
        </w:r>
        <w:r w:rsidDel="003C7C25">
          <w:t xml:space="preserve">, as these methods use the bivariate normal distribution. The parameters of the beta distribution are derived from the summary information in </w:t>
        </w:r>
        <w:r w:rsidR="00130110" w:rsidDel="003C7C25">
          <w:t>Table 1</w:t>
        </w:r>
        <w:r w:rsidDel="003C7C25">
          <w:t xml:space="preserve">. </w:t>
        </w:r>
        <w:r w:rsidR="0031366F" w:rsidDel="003C7C25">
          <w:t xml:space="preserve">This is done by defining the sample mean as </w:t>
        </w:r>
        <m:oMath>
          <m:r>
            <w:rPr>
              <w:rFonts w:ascii="Cambria Math" w:hAnsi="Cambria Math"/>
            </w:rPr>
            <m:t>μ</m:t>
          </m:r>
        </m:oMath>
        <w:r w:rsidR="00024205" w:rsidDel="003C7C2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rsidDel="003C7C2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rsidDel="003C7C25">
          <w:t xml:space="preserve"> respectively, then estimating the sample variance</w:t>
        </w:r>
        <w:r w:rsidR="009B1933" w:rsidDel="003C7C2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273B" w:rsidDel="003C7C25">
          <w:t xml:space="preserve"> as either </w:t>
        </w:r>
        <w:r w:rsidR="00024205" w:rsidDel="003C7C2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rsidDel="003C7C25">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rsidDel="003C7C25">
          <w:t xml:space="preserve">. The two parameters of the beta distribution are then calculated as </w:t>
        </w:r>
        <m:oMath>
          <m:r>
            <w:rPr>
              <w:rFonts w:ascii="Cambria Math" w:hAnsi="Cambria Math"/>
            </w:rPr>
            <m:t xml:space="preserve">a=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rsidDel="003C7C25">
          <w:t xml:space="preserve"> and </w:t>
        </w:r>
        <m:oMath>
          <m:r>
            <w:rPr>
              <w:rFonts w:ascii="Cambria Math" w:hAnsi="Cambria Math"/>
            </w:rPr>
            <m:t>b=a</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rsidDel="003C7C25">
          <w:t>.</w:t>
        </w:r>
        <w:r w:rsidR="00022242" w:rsidDel="003C7C25">
          <w:t xml:space="preserve"> </w:t>
        </w:r>
      </w:moveFrom>
    </w:p>
    <w:moveFromRangeEnd w:id="75"/>
    <w:p w:rsidR="0030364B" w:rsidDel="00A86DAB" w:rsidRDefault="007870DB" w:rsidP="00D210AA">
      <w:pPr>
        <w:pStyle w:val="Heading2"/>
        <w:rPr>
          <w:del w:id="79" w:author="User" w:date="2014-01-27T15:58:00Z"/>
        </w:rPr>
      </w:pPr>
      <w:del w:id="80" w:author="User" w:date="2014-01-27T15:58:00Z">
        <w:r w:rsidDel="00A86DAB">
          <w:delText>Simple and na</w:delText>
        </w:r>
        <w:r w:rsidR="00A53CD0" w:rsidDel="00A86DAB">
          <w:delText>ïve methods</w:delText>
        </w:r>
      </w:del>
    </w:p>
    <w:p w:rsidR="00A86DAB" w:rsidRDefault="00A53CD0" w:rsidP="00047821">
      <w:pPr>
        <w:spacing w:line="480" w:lineRule="auto"/>
        <w:rPr>
          <w:ins w:id="81" w:author="User" w:date="2014-01-27T15:58:00Z"/>
        </w:rPr>
      </w:pPr>
      <w:r w:rsidRPr="00A86DAB">
        <w:rPr>
          <w:b/>
          <w:rPrChange w:id="82" w:author="User" w:date="2014-01-27T15:58:00Z">
            <w:rPr/>
          </w:rPrChange>
        </w:rPr>
        <w:t xml:space="preserve">Method </w:t>
      </w:r>
      <w:r w:rsidR="00EF2C9A" w:rsidRPr="00A86DAB">
        <w:rPr>
          <w:b/>
          <w:rPrChange w:id="83" w:author="User" w:date="2014-01-27T15:58:00Z">
            <w:rPr/>
          </w:rPrChange>
        </w:rPr>
        <w:t>one</w:t>
      </w:r>
      <w:r w:rsidRPr="00A86DAB">
        <w:rPr>
          <w:b/>
          <w:rPrChange w:id="84" w:author="User" w:date="2014-01-27T15:58:00Z">
            <w:rPr/>
          </w:rPrChange>
        </w:rPr>
        <w:t>, independent sampling</w:t>
      </w:r>
      <w:r>
        <w:t xml:space="preserve">, </w:t>
      </w:r>
    </w:p>
    <w:p w:rsidR="00A86DAB" w:rsidRDefault="00A86DAB" w:rsidP="00047821">
      <w:pPr>
        <w:spacing w:line="480" w:lineRule="auto"/>
        <w:rPr>
          <w:ins w:id="85" w:author="User" w:date="2014-01-27T15:58:00Z"/>
        </w:rPr>
      </w:pPr>
      <w:ins w:id="86" w:author="User" w:date="2014-01-27T15:58:00Z">
        <w:r>
          <w:t xml:space="preserve">This </w:t>
        </w:r>
      </w:ins>
      <w:r w:rsidR="00A53CD0">
        <w:t>is the simplest method of all, and does not take the mon</w:t>
      </w:r>
      <w:r w:rsidR="0018273B">
        <w:t>otonicity condition into account</w:t>
      </w:r>
      <w:r w:rsidR="00A53CD0">
        <w:t>. Nevertheless, in cases where the means of U</w:t>
      </w:r>
      <w:r w:rsidR="00A53CD0" w:rsidRPr="004B7DBB">
        <w:rPr>
          <w:vertAlign w:val="subscript"/>
        </w:rPr>
        <w:t>1</w:t>
      </w:r>
      <w:r w:rsidR="00A53CD0">
        <w:t xml:space="preserve"> and U</w:t>
      </w:r>
      <w:r w:rsidR="00A53CD0" w:rsidRPr="004B7DBB">
        <w:rPr>
          <w:vertAlign w:val="subscript"/>
        </w:rPr>
        <w:t>2</w:t>
      </w:r>
      <w:r w:rsidR="00A53CD0">
        <w:t xml:space="preserve"> are far apart and the standard errors of both parameters are small, this method may still produce PSA values which do not violate the monotonicity assumption. </w:t>
      </w:r>
    </w:p>
    <w:p w:rsidR="00A86DAB" w:rsidRPr="00A86DAB" w:rsidRDefault="006B236F" w:rsidP="00047821">
      <w:pPr>
        <w:spacing w:line="480" w:lineRule="auto"/>
        <w:rPr>
          <w:ins w:id="87" w:author="User" w:date="2014-01-27T15:58:00Z"/>
          <w:b/>
          <w:rPrChange w:id="88" w:author="User" w:date="2014-01-27T15:58:00Z">
            <w:rPr>
              <w:ins w:id="89" w:author="User" w:date="2014-01-27T15:58:00Z"/>
            </w:rPr>
          </w:rPrChange>
        </w:rPr>
      </w:pPr>
      <w:commentRangeStart w:id="90"/>
      <w:r w:rsidRPr="00A86DAB">
        <w:rPr>
          <w:b/>
          <w:rPrChange w:id="91" w:author="User" w:date="2014-01-27T15:58:00Z">
            <w:rPr/>
          </w:rPrChange>
        </w:rPr>
        <w:t xml:space="preserve">Method </w:t>
      </w:r>
      <w:r w:rsidR="00EF2C9A" w:rsidRPr="00A86DAB">
        <w:rPr>
          <w:b/>
          <w:rPrChange w:id="92" w:author="User" w:date="2014-01-27T15:58:00Z">
            <w:rPr/>
          </w:rPrChange>
        </w:rPr>
        <w:t>two</w:t>
      </w:r>
      <w:r w:rsidRPr="00A86DAB">
        <w:rPr>
          <w:b/>
          <w:rPrChange w:id="93" w:author="User" w:date="2014-01-27T15:58:00Z">
            <w:rPr/>
          </w:rPrChange>
        </w:rPr>
        <w:t xml:space="preserve"> </w:t>
      </w:r>
      <w:proofErr w:type="spellStart"/>
      <w:ins w:id="94" w:author="User" w:date="2014-01-27T15:58:00Z">
        <w:r w:rsidR="00A86DAB" w:rsidRPr="00A86DAB">
          <w:rPr>
            <w:b/>
            <w:rPrChange w:id="95" w:author="User" w:date="2014-01-27T15:58:00Z">
              <w:rPr/>
            </w:rPrChange>
          </w:rPr>
          <w:t>Quantile</w:t>
        </w:r>
        <w:proofErr w:type="spellEnd"/>
        <w:r w:rsidR="00A86DAB" w:rsidRPr="00A86DAB">
          <w:rPr>
            <w:b/>
            <w:rPrChange w:id="96" w:author="User" w:date="2014-01-27T15:58:00Z">
              <w:rPr/>
            </w:rPrChange>
          </w:rPr>
          <w:t xml:space="preserve"> matching</w:t>
        </w:r>
      </w:ins>
      <w:commentRangeEnd w:id="90"/>
      <w:ins w:id="97" w:author="User" w:date="2014-01-27T16:00:00Z">
        <w:r w:rsidR="00A86DAB">
          <w:rPr>
            <w:rStyle w:val="CommentReference"/>
          </w:rPr>
          <w:commentReference w:id="90"/>
        </w:r>
      </w:ins>
    </w:p>
    <w:p w:rsidR="0030364B" w:rsidRDefault="006B236F" w:rsidP="00047821">
      <w:pPr>
        <w:spacing w:line="480" w:lineRule="auto"/>
      </w:pPr>
      <w:proofErr w:type="gramStart"/>
      <w:r>
        <w:t>involves</w:t>
      </w:r>
      <w:proofErr w:type="gramEnd"/>
      <w:r>
        <w:t xml:space="preserve"> using the same random number when drawing from both the U</w:t>
      </w:r>
      <w:r w:rsidRPr="0041297F">
        <w:rPr>
          <w:vertAlign w:val="subscript"/>
        </w:rPr>
        <w:t>1</w:t>
      </w:r>
      <w:r>
        <w:t xml:space="preserve"> and U</w:t>
      </w:r>
      <w:r w:rsidRPr="0041297F">
        <w:rPr>
          <w:vertAlign w:val="subscript"/>
        </w:rPr>
        <w:t>2</w:t>
      </w:r>
      <w:r>
        <w:t xml:space="preserve"> distributions</w:t>
      </w:r>
      <w:ins w:id="98" w:author="Matt" w:date="2013-12-28T13:08:00Z">
        <w:r w:rsidR="0094479E">
          <w:t xml:space="preserve"> which ensures monotonicity when the overlap between the distributions is confined to the upper tail of one distribution and the lower tail of the second distribution</w:t>
        </w:r>
      </w:ins>
      <w:r>
        <w:t xml:space="preserve">. </w:t>
      </w:r>
    </w:p>
    <w:p w:rsidR="0086407B" w:rsidDel="00A86DAB" w:rsidRDefault="0086407B" w:rsidP="00D210AA">
      <w:pPr>
        <w:pStyle w:val="Heading2"/>
        <w:rPr>
          <w:del w:id="99" w:author="User" w:date="2014-01-27T15:59:00Z"/>
        </w:rPr>
      </w:pPr>
      <w:del w:id="100" w:author="User" w:date="2014-01-27T15:59:00Z">
        <w:r w:rsidDel="00A86DAB">
          <w:delText>Resampling and replacement methods</w:delText>
        </w:r>
      </w:del>
    </w:p>
    <w:p w:rsidR="00A86DAB" w:rsidRDefault="0086407B" w:rsidP="00047821">
      <w:pPr>
        <w:spacing w:line="480" w:lineRule="auto"/>
        <w:rPr>
          <w:ins w:id="101" w:author="User" w:date="2014-01-27T15:59:00Z"/>
        </w:rPr>
      </w:pPr>
      <w:r>
        <w:t>Method</w:t>
      </w:r>
      <w:del w:id="102" w:author="User" w:date="2014-01-27T15:59:00Z">
        <w:r w:rsidDel="00A86DAB">
          <w:delText>s</w:delText>
        </w:r>
      </w:del>
      <w:r>
        <w:t xml:space="preserve"> </w:t>
      </w:r>
      <w:r w:rsidR="00EF2C9A">
        <w:t>three</w:t>
      </w:r>
      <w:r w:rsidR="004B3189">
        <w:t xml:space="preserve"> </w:t>
      </w:r>
      <w:proofErr w:type="gramStart"/>
      <w:ins w:id="103" w:author="User" w:date="2014-01-27T15:59:00Z">
        <w:r w:rsidR="00A86DAB">
          <w:t>Upward</w:t>
        </w:r>
        <w:proofErr w:type="gramEnd"/>
        <w:r w:rsidR="00A86DAB">
          <w:t xml:space="preserve"> replacement and Method four downward replacement</w:t>
        </w:r>
      </w:ins>
    </w:p>
    <w:p w:rsidR="00805B94" w:rsidRDefault="004B3189" w:rsidP="00047821">
      <w:pPr>
        <w:spacing w:line="480" w:lineRule="auto"/>
        <w:rPr>
          <w:ins w:id="104" w:author="User" w:date="2014-01-28T15:17:00Z"/>
        </w:rPr>
      </w:pPr>
      <w:del w:id="105" w:author="User" w:date="2014-01-27T15:59:00Z">
        <w:r w:rsidDel="00A86DAB">
          <w:lastRenderedPageBreak/>
          <w:delText xml:space="preserve">to </w:delText>
        </w:r>
        <w:r w:rsidR="00EF2C9A" w:rsidDel="00A86DAB">
          <w:delText>six</w:delText>
        </w:r>
        <w:r w:rsidR="0086407B" w:rsidDel="00A86DAB">
          <w:delText xml:space="preserve"> are relatively simple to implement. </w:delText>
        </w:r>
      </w:del>
      <w:r w:rsidR="00274456">
        <w:t>They</w:t>
      </w:r>
      <w:r w:rsidR="0086407B">
        <w:t xml:space="preserve"> involve sampling one of the two paired values, </w:t>
      </w:r>
      <w:r w:rsidR="0086407B" w:rsidRPr="0086407B">
        <w:t>U</w:t>
      </w:r>
      <w:r w:rsidR="0086407B" w:rsidRPr="004D3A56">
        <w:rPr>
          <w:vertAlign w:val="subscript"/>
        </w:rPr>
        <w:t>1</w:t>
      </w:r>
      <w:r w:rsidR="0086407B">
        <w:rPr>
          <w:vertAlign w:val="subscript"/>
        </w:rPr>
        <w:t>i</w:t>
      </w:r>
      <w:r w:rsidR="0086407B">
        <w:t xml:space="preserve"> or U</w:t>
      </w:r>
      <w:r w:rsidR="0086407B" w:rsidRPr="004D3A56">
        <w:rPr>
          <w:vertAlign w:val="subscript"/>
        </w:rPr>
        <w:t>2</w:t>
      </w:r>
      <w:r w:rsidR="0086407B">
        <w:rPr>
          <w:vertAlign w:val="subscript"/>
        </w:rPr>
        <w:t>i</w:t>
      </w:r>
      <w:r w:rsidR="0086407B" w:rsidRPr="0086407B">
        <w:t xml:space="preserve">, </w:t>
      </w:r>
      <w:r w:rsidR="0086407B">
        <w:t xml:space="preserve">independently, before sampling the </w:t>
      </w:r>
      <w:r w:rsidR="00274456">
        <w:t xml:space="preserve">corresponding </w:t>
      </w:r>
      <w:r w:rsidR="0086407B">
        <w:t>value</w:t>
      </w:r>
      <w:r w:rsidR="00274456">
        <w:t>s</w:t>
      </w:r>
      <w:r w:rsidR="0086407B">
        <w:t xml:space="preserve"> U</w:t>
      </w:r>
      <w:r w:rsidR="0086407B" w:rsidRPr="004D3A56">
        <w:rPr>
          <w:vertAlign w:val="subscript"/>
        </w:rPr>
        <w:t>2</w:t>
      </w:r>
      <w:r w:rsidR="0086407B">
        <w:rPr>
          <w:vertAlign w:val="subscript"/>
        </w:rPr>
        <w:t>i</w:t>
      </w:r>
      <w:r w:rsidR="0086407B">
        <w:t xml:space="preserve"> or U</w:t>
      </w:r>
      <w:r w:rsidR="0086407B" w:rsidRPr="004D3A56">
        <w:rPr>
          <w:vertAlign w:val="subscript"/>
        </w:rPr>
        <w:t>1</w:t>
      </w:r>
      <w:r w:rsidR="0086407B">
        <w:rPr>
          <w:vertAlign w:val="subscript"/>
        </w:rPr>
        <w:t>i</w:t>
      </w:r>
      <w:r w:rsidR="0086407B">
        <w:t xml:space="preserve">. For methods </w:t>
      </w:r>
      <w:r w:rsidR="00103ED7">
        <w:t>three and four</w:t>
      </w:r>
      <w:r w:rsidR="0086407B">
        <w:t xml:space="preserve">, the second value is then replaced with the first value if it violates the monotonicity assumption. </w:t>
      </w:r>
    </w:p>
    <w:p w:rsidR="00805B94" w:rsidRDefault="00805B94" w:rsidP="00047821">
      <w:pPr>
        <w:spacing w:line="480" w:lineRule="auto"/>
        <w:rPr>
          <w:ins w:id="106" w:author="User" w:date="2014-01-28T15:18:00Z"/>
        </w:rPr>
      </w:pPr>
      <w:ins w:id="107" w:author="User" w:date="2014-01-28T15:18:00Z">
        <w:r>
          <w:t>Method 5 upward resampling and method 6 downward resampling</w:t>
        </w:r>
      </w:ins>
    </w:p>
    <w:p w:rsidR="008E0F30" w:rsidRDefault="0086407B" w:rsidP="00047821">
      <w:pPr>
        <w:spacing w:line="480" w:lineRule="auto"/>
        <w:rPr>
          <w:ins w:id="108" w:author="Jon Minton" w:date="2014-02-06T21:11:00Z"/>
        </w:rPr>
      </w:pPr>
      <w:del w:id="109" w:author="User" w:date="2014-01-28T15:18:00Z">
        <w:r w:rsidDel="00805B94">
          <w:delText xml:space="preserve">For methods </w:delText>
        </w:r>
        <w:r w:rsidR="00EF2C9A" w:rsidDel="00805B94">
          <w:delText>five</w:delText>
        </w:r>
        <w:r w:rsidDel="00805B94">
          <w:delText xml:space="preserve"> and </w:delText>
        </w:r>
        <w:r w:rsidR="00EF2C9A" w:rsidDel="00805B94">
          <w:delText>six</w:delText>
        </w:r>
        <w:r w:rsidDel="00805B94">
          <w:delText xml:space="preserve">, </w:delText>
        </w:r>
      </w:del>
      <w:proofErr w:type="gramStart"/>
      <w:r>
        <w:t>the</w:t>
      </w:r>
      <w:proofErr w:type="gramEnd"/>
      <w:r>
        <w:t xml:space="preserve"> second value is </w:t>
      </w:r>
      <w:r w:rsidR="008E0F30">
        <w:t>retained if it does not violate the monotonicity assumption, and resampled if it does violate the assumption. The second value is resampled until a value which does not violate the monotonicity assumption is drawn.</w:t>
      </w:r>
    </w:p>
    <w:p w:rsidR="003C7C25" w:rsidRDefault="003C7C25" w:rsidP="003C7C25">
      <w:pPr>
        <w:pStyle w:val="Heading2"/>
      </w:pPr>
      <w:moveToRangeStart w:id="110" w:author="Jon Minton" w:date="2014-02-06T21:11:00Z" w:name="move379484416"/>
      <w:moveTo w:id="111" w:author="Jon Minton" w:date="2014-02-06T21:11:00Z">
        <w:r>
          <w:t xml:space="preserve">Estimation of Beta </w:t>
        </w:r>
        <w:commentRangeStart w:id="112"/>
        <w:r>
          <w:t>Distributions</w:t>
        </w:r>
        <w:commentRangeEnd w:id="112"/>
        <w:r>
          <w:rPr>
            <w:rStyle w:val="CommentReference"/>
            <w:rFonts w:asciiTheme="minorHAnsi" w:eastAsiaTheme="minorEastAsia" w:hAnsiTheme="minorHAnsi" w:cstheme="minorBidi"/>
            <w:b w:val="0"/>
            <w:bCs w:val="0"/>
            <w:color w:val="auto"/>
          </w:rPr>
          <w:commentReference w:id="112"/>
        </w:r>
      </w:moveTo>
    </w:p>
    <w:p w:rsidR="003C7C25" w:rsidRDefault="003C7C25" w:rsidP="003C7C25">
      <w:pPr>
        <w:spacing w:line="480" w:lineRule="auto"/>
      </w:pPr>
      <w:moveTo w:id="113" w:author="Jon Minton" w:date="2014-02-06T21:11:00Z">
        <w:r>
          <w:t xml:space="preserve">We use beta distributions for all methods except methods seven to nine, as these methods use the bivariate normal distribution. The parameters of the beta distribution are derived from the summary information in Table 1. This is done by defining the sample mean as </w:t>
        </w:r>
        <m:oMath>
          <m:r>
            <w:rPr>
              <w:rFonts w:ascii="Cambria Math" w:hAnsi="Cambria Math"/>
            </w:rPr>
            <m:t>μ</m:t>
          </m:r>
        </m:oMath>
        <w:r>
          <w:t>, the lower and upper 95% confide</w:t>
        </w:r>
        <w:proofErr w:type="spellStart"/>
        <w:r>
          <w:t>nce</w:t>
        </w:r>
        <w:proofErr w:type="spellEnd"/>
        <w:r>
          <w:t xml:space="preserv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 either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t xml:space="preserve">. The two parameters of the beta distribution are then calculated as </w:t>
        </w:r>
        <m:oMath>
          <m:r>
            <w:rPr>
              <w:rFonts w:ascii="Cambria Math" w:hAnsi="Cambria Math"/>
            </w:rPr>
            <m:t xml:space="preserve">a=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t xml:space="preserve"> </w:t>
        </w:r>
        <w:proofErr w:type="gramStart"/>
        <w:r>
          <w:t xml:space="preserve">and </w:t>
        </w:r>
        <w:proofErr w:type="gramEnd"/>
        <m:oMath>
          <m:r>
            <w:rPr>
              <w:rFonts w:ascii="Cambria Math" w:hAnsi="Cambria Math"/>
            </w:rPr>
            <m:t>b=a</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t xml:space="preserve">. </w:t>
        </w:r>
      </w:moveTo>
    </w:p>
    <w:p w:rsidR="003C7C25" w:rsidRDefault="003C7C25" w:rsidP="00047821">
      <w:pPr>
        <w:spacing w:line="480" w:lineRule="auto"/>
      </w:pPr>
      <w:bookmarkStart w:id="114" w:name="_GoBack"/>
      <w:bookmarkEnd w:id="114"/>
      <w:moveToRangeEnd w:id="110"/>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w:t>
      </w:r>
      <w:ins w:id="115" w:author="Matt" w:date="2013-12-28T13:10:00Z">
        <w:r w:rsidR="0094479E">
          <w:t xml:space="preserve">in this paper </w:t>
        </w:r>
      </w:ins>
      <w:r w:rsidR="00366FEC">
        <w:t xml:space="preserve">to </w:t>
      </w:r>
      <w:r w:rsidR="0018273B">
        <w:t xml:space="preserve">formally highlight </w:t>
      </w:r>
      <w:r w:rsidR="00366FEC">
        <w:t xml:space="preserve">this. </w:t>
      </w:r>
    </w:p>
    <w:p w:rsidR="00F61C10" w:rsidRDefault="004B2A9B" w:rsidP="00D210AA">
      <w:pPr>
        <w:pStyle w:val="Heading2"/>
      </w:pPr>
      <w:r>
        <w:lastRenderedPageBreak/>
        <w:t xml:space="preserve">Multivariate </w:t>
      </w:r>
      <w:r w:rsidRPr="00D210AA">
        <w:t>model</w:t>
      </w:r>
      <w:r>
        <w:t xml:space="preserve"> methods</w:t>
      </w:r>
    </w:p>
    <w:p w:rsidR="00AF7452" w:rsidRDefault="004B2A9B" w:rsidP="00047821">
      <w:pPr>
        <w:spacing w:line="480" w:lineRule="auto"/>
      </w:pPr>
      <w:r>
        <w:t xml:space="preserve">Methods </w:t>
      </w:r>
      <w:r w:rsidR="00EF2C9A">
        <w:t>seven</w:t>
      </w:r>
      <w:r w:rsidR="004B3189">
        <w:t xml:space="preserve"> to </w:t>
      </w:r>
      <w:r w:rsidR="00EF2C9A">
        <w:t>nine</w:t>
      </w:r>
      <w:r w:rsidR="00E36AFD">
        <w:t xml:space="preserve"> </w:t>
      </w:r>
      <w:r w:rsidR="00F61C10">
        <w:t xml:space="preserve">involve selecting </w:t>
      </w:r>
      <w:proofErr w:type="spellStart"/>
      <w:r w:rsidR="00F61C10">
        <w:t>covariances</w:t>
      </w:r>
      <w:proofErr w:type="spellEnd"/>
      <w:r w:rsidR="00F61C10">
        <w:t xml:space="preserve"> </w:t>
      </w:r>
      <w:r w:rsidR="00CD1CDA">
        <w:t xml:space="preserve">on the </w:t>
      </w:r>
      <w:r w:rsidR="00F61C10">
        <w:t>basis either of the variances presented in the summary statistics for U</w:t>
      </w:r>
      <w:r w:rsidR="00F61C10" w:rsidRPr="004B7DBB">
        <w:rPr>
          <w:vertAlign w:val="subscript"/>
        </w:rPr>
        <w:t>1</w:t>
      </w:r>
      <w:r w:rsidR="00F61C10">
        <w:t xml:space="preserve"> and U</w:t>
      </w:r>
      <w:r w:rsidR="00F61C10" w:rsidRPr="004B7DBB">
        <w:rPr>
          <w:vertAlign w:val="subscript"/>
        </w:rPr>
        <w:t>2</w:t>
      </w:r>
      <w:r w:rsidR="00F61C10">
        <w:t xml:space="preserve">, </w:t>
      </w:r>
      <w:r w:rsidR="00A2397C">
        <w:t>or on whether monotonicity is mai</w:t>
      </w:r>
      <w:r w:rsidR="00573694">
        <w:t xml:space="preserve">ntained on all runs of the PSA. Method </w:t>
      </w:r>
      <w:r w:rsidR="00EF2C9A">
        <w:t>seven</w:t>
      </w:r>
      <w:r>
        <w:t xml:space="preserve"> </w:t>
      </w:r>
      <w:r w:rsidR="00573694">
        <w:t>involves setting the covariance between U</w:t>
      </w:r>
      <w:r w:rsidR="00573694" w:rsidRPr="004B7DBB">
        <w:rPr>
          <w:vertAlign w:val="subscript"/>
        </w:rPr>
        <w:t>1</w:t>
      </w:r>
      <w:r w:rsidR="00573694">
        <w:t xml:space="preserve"> and U</w:t>
      </w:r>
      <w:r w:rsidR="00573694" w:rsidRPr="004B7DBB">
        <w:rPr>
          <w:vertAlign w:val="subscript"/>
        </w:rPr>
        <w:t>2</w:t>
      </w:r>
      <w:r w:rsidR="00573694">
        <w:t xml:space="preserve">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less than the AIVM. </w:t>
      </w:r>
    </w:p>
    <w:p w:rsidR="00AF7452" w:rsidRDefault="00AF7452" w:rsidP="00AF7452">
      <w:pPr>
        <w:spacing w:line="480" w:lineRule="auto"/>
      </w:pPr>
      <w:r>
        <w:t xml:space="preserve">A further logical constraint also applies to all three methods. This is that the </w:t>
      </w:r>
      <w:proofErr w:type="spellStart"/>
      <w:r>
        <w:t>covariances</w:t>
      </w:r>
      <w:proofErr w:type="spellEnd"/>
      <w:r>
        <w:t xml:space="preserve"> cannot imply a correlation with a magnitude greater than 1. The correlation of two random variables X and Y is defined as follows:</w:t>
      </w:r>
    </w:p>
    <w:p w:rsidR="00AF7452" w:rsidRDefault="008B41F4" w:rsidP="00AF7452">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w:commentRangeStart w:id="116"/>
              <m:r>
                <w:rPr>
                  <w:rFonts w:ascii="Cambria Math" w:hAnsi="Cambria Math"/>
                </w:rPr>
                <m:t>≡</m:t>
              </m:r>
              <w:commentRangeEnd w:id="116"/>
              <m:r>
                <m:rPr>
                  <m:sty m:val="p"/>
                </m:rPr>
                <w:rPr>
                  <w:rStyle w:val="CommentReference"/>
                </w:rPr>
                <w:commentReference w:id="116"/>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AF7452" w:rsidRDefault="00AF7452" w:rsidP="00AF7452">
      <w:pPr>
        <w:spacing w:line="480" w:lineRule="auto"/>
      </w:pPr>
      <w:r>
        <w:t xml:space="preserve">For this reason, 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t>. For approach seven, this effectively states that the covariance selected is:</w:t>
      </w:r>
    </w:p>
    <w:p w:rsidR="00AF7452" w:rsidRPr="00AE2C7F" w:rsidRDefault="00274456" w:rsidP="00AF7452">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F7452" w:rsidRDefault="00AF7452" w:rsidP="00AF7452">
      <w:pPr>
        <w:spacing w:line="480" w:lineRule="auto"/>
        <w:rPr>
          <w:rFonts w:cstheme="minorHAnsi"/>
        </w:rPr>
      </w:pPr>
      <w:r>
        <w:rPr>
          <w:rFonts w:cstheme="minorHAnsi"/>
        </w:rPr>
        <w:t xml:space="preserve">This constraint also places an upper limit on the range of </w:t>
      </w:r>
      <w:proofErr w:type="spellStart"/>
      <w:r>
        <w:rPr>
          <w:rFonts w:cstheme="minorHAnsi"/>
        </w:rPr>
        <w:t>covariances</w:t>
      </w:r>
      <w:proofErr w:type="spellEnd"/>
      <w:r>
        <w:rPr>
          <w:rFonts w:cstheme="minorHAnsi"/>
        </w:rPr>
        <w:t xml:space="preserve"> which may be considered in methods eight and nine. </w:t>
      </w:r>
    </w:p>
    <w:p w:rsidR="00AA771D" w:rsidRDefault="00C74891" w:rsidP="00047821">
      <w:pPr>
        <w:spacing w:line="480" w:lineRule="auto"/>
      </w:pPr>
      <w:r>
        <w:t xml:space="preserve">Both methods eight and nine involve selecting the most appropriate covariance by generating </w:t>
      </w:r>
      <w:r w:rsidR="00351AD3">
        <w:t xml:space="preserve">a ‘training set’ of </w:t>
      </w:r>
      <w:r>
        <w:t>1,000 PSA draws from a bivariate distribution assuming the smallest acceptable covariance parameter</w:t>
      </w:r>
      <w:r w:rsidR="00351AD3">
        <w:t xml:space="preserve">. If any of the PSA draws violate monotonicity then the covariance parameter is </w:t>
      </w:r>
      <w:commentRangeStart w:id="117"/>
      <w:r w:rsidR="00351AD3">
        <w:t xml:space="preserve">increased slightly </w:t>
      </w:r>
      <w:commentRangeEnd w:id="117"/>
      <w:r w:rsidR="0094479E">
        <w:rPr>
          <w:rStyle w:val="CommentReference"/>
        </w:rPr>
        <w:commentReference w:id="117"/>
      </w:r>
      <w:r w:rsidR="00351AD3">
        <w:t xml:space="preserve">and another training set of 1,000 draws generated. The covariance is selected </w:t>
      </w:r>
      <w:del w:id="118" w:author="Matt" w:date="2013-12-28T13:11:00Z">
        <w:r w:rsidR="00351AD3" w:rsidDel="0094479E">
          <w:delText xml:space="preserve">either </w:delText>
        </w:r>
      </w:del>
      <w:r w:rsidR="00351AD3">
        <w:t xml:space="preserve">if </w:t>
      </w:r>
      <w:ins w:id="119" w:author="Matt" w:date="2013-12-28T13:11:00Z">
        <w:r w:rsidR="0094479E">
          <w:t xml:space="preserve">either </w:t>
        </w:r>
      </w:ins>
      <w:r w:rsidR="00351AD3">
        <w:t xml:space="preserve">none of the draws in the training set violated monotonicity, or if the covariance could </w:t>
      </w:r>
      <w:r w:rsidR="00351AD3">
        <w:lastRenderedPageBreak/>
        <w:t xml:space="preserve">not be increased further without violating the other condition or </w:t>
      </w:r>
      <w:r w:rsidR="00AF7452">
        <w:t xml:space="preserve">the </w:t>
      </w:r>
      <w:r w:rsidR="00351AD3">
        <w:t xml:space="preserve">logical constraint described </w:t>
      </w:r>
      <w:r w:rsidR="00AF7452">
        <w:t>above</w:t>
      </w:r>
      <w:r w:rsidR="00351AD3">
        <w:t>.</w:t>
      </w:r>
      <w:r w:rsidR="004B7DBB">
        <w:t xml:space="preserve"> Because of the use of the training set, the covariance parameter is in theory dependent on the sample size M, because the probability of observing violation of monotonicity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≥0</m:t>
        </m:r>
      </m:oMath>
      <w:r w:rsidR="004B7DBB">
        <w:t xml:space="preserve">) at least once increases with sample size. </w:t>
      </w:r>
      <w:r w:rsidR="000842E3">
        <w:t xml:space="preserve">The implications of this are </w:t>
      </w:r>
      <w:r w:rsidR="00130110">
        <w:t>discussed further in the discussion section.</w:t>
      </w:r>
    </w:p>
    <w:p w:rsidR="00AF7452" w:rsidRDefault="00AF7452" w:rsidP="00047821">
      <w:pPr>
        <w:spacing w:line="480" w:lineRule="auto"/>
        <w:rPr>
          <w:rFonts w:cstheme="minorHAnsi"/>
        </w:rPr>
      </w:pPr>
      <w:r>
        <w:t xml:space="preserve">Unlike the other approaches used here, </w:t>
      </w:r>
      <w:del w:id="120" w:author="Matt" w:date="2013-12-28T13:12:00Z">
        <w:r w:rsidDel="0094479E">
          <w:delText>these three approaches</w:delText>
        </w:r>
      </w:del>
      <w:ins w:id="121" w:author="Matt" w:date="2013-12-28T13:12:00Z">
        <w:r w:rsidR="0094479E">
          <w:t>methods, seven, eight and nine,</w:t>
        </w:r>
      </w:ins>
      <w:r>
        <w:t xml:space="preserve"> involve sampling from bivariate normal distributions rather than beta distributions, which is less appropriate in theory as the normal distribution, unlike the beta distribution, is not bounded to produce values between 0 and 1.</w:t>
      </w:r>
    </w:p>
    <w:p w:rsidR="00D758FB" w:rsidRDefault="00C81A35" w:rsidP="00D210AA">
      <w:pPr>
        <w:pStyle w:val="Heading2"/>
      </w:pPr>
      <w:r>
        <w:t>Difference model method</w:t>
      </w:r>
    </w:p>
    <w:p w:rsidR="00E71475" w:rsidRDefault="00084D3F" w:rsidP="00047821">
      <w:pPr>
        <w:spacing w:line="480" w:lineRule="auto"/>
        <w:rPr>
          <w:lang w:eastAsia="zh-CN"/>
        </w:rPr>
      </w:pPr>
      <w:r>
        <w:t>The concept of this method is to find transformations of U</w:t>
      </w:r>
      <w:r w:rsidRPr="001E5236">
        <w:rPr>
          <w:vertAlign w:val="subscript"/>
        </w:rPr>
        <w:t>1</w:t>
      </w:r>
      <w:r>
        <w:t xml:space="preserve"> and U</w:t>
      </w:r>
      <w:r w:rsidRPr="001E5236">
        <w:rPr>
          <w:vertAlign w:val="subscript"/>
        </w:rPr>
        <w:t>2</w:t>
      </w:r>
      <w:r>
        <w:t xml:space="preserve">, such that the transformed variables are judged to be independent. We introduce </w:t>
      </w:r>
      <w:r w:rsidR="007870DB">
        <w:t xml:space="preserve">a </w:t>
      </w:r>
      <w:r>
        <w:t>variable</w:t>
      </w:r>
      <w:r w:rsidR="001E5236">
        <w:t xml:space="preserve"> (</w:t>
      </w:r>
      <m:oMath>
        <m:r>
          <w:rPr>
            <w:rFonts w:ascii="Cambria Math" w:hAnsi="Cambria Math"/>
          </w:rPr>
          <m:t>∆</m:t>
        </m:r>
      </m:oMath>
      <w:r w:rsidR="001E5236">
        <w:t xml:space="preserve">) </w:t>
      </w:r>
      <w:r>
        <w:t>which is the difference between U</w:t>
      </w:r>
      <w:r w:rsidRPr="001E5236">
        <w:rPr>
          <w:vertAlign w:val="subscript"/>
        </w:rPr>
        <w:t>1</w:t>
      </w:r>
      <w:r>
        <w:t xml:space="preserve"> and U</w:t>
      </w:r>
      <w:r w:rsidRPr="001E5236">
        <w:rPr>
          <w:vertAlign w:val="subscript"/>
        </w:rPr>
        <w:t>2</w:t>
      </w:r>
      <w:r>
        <w:t xml:space="preserve">. We </w:t>
      </w:r>
      <w:r w:rsidR="004B3189">
        <w:t xml:space="preserve">assume </w:t>
      </w:r>
      <w:r>
        <w:t xml:space="preserve">that </w:t>
      </w:r>
      <w:ins w:id="122" w:author="Matt" w:date="2013-12-28T13:13:00Z">
        <w:r w:rsidR="0094479E">
          <w:t xml:space="preserve">both </w:t>
        </w:r>
      </w:ins>
      <w:r>
        <w:t>U</w:t>
      </w:r>
      <w:r w:rsidRPr="001E5236">
        <w:rPr>
          <w:vertAlign w:val="subscript"/>
        </w:rPr>
        <w:t>1</w:t>
      </w:r>
      <w:r>
        <w:t xml:space="preserve"> </w:t>
      </w:r>
      <w:del w:id="123" w:author="Matt" w:date="2013-12-28T13:13:00Z">
        <w:r w:rsidDel="0094479E">
          <w:delText xml:space="preserve">is independent of </w:delText>
        </w:r>
        <m:oMath>
          <m:r>
            <w:rPr>
              <w:rFonts w:ascii="Cambria Math" w:hAnsi="Cambria Math"/>
            </w:rPr>
            <m:t>∆</m:t>
          </m:r>
        </m:oMath>
        <w:r w:rsidDel="0094479E">
          <w:delText xml:space="preserve"> and </w:delText>
        </w:r>
      </w:del>
      <w:r>
        <w:t>U</w:t>
      </w:r>
      <w:r w:rsidR="001E5236">
        <w:softHyphen/>
      </w:r>
      <w:r w:rsidR="0041297F" w:rsidRPr="0041297F">
        <w:rPr>
          <w:vertAlign w:val="subscript"/>
        </w:rPr>
        <w:t>2</w:t>
      </w:r>
      <w:r>
        <w:t xml:space="preserve"> </w:t>
      </w:r>
      <w:del w:id="124" w:author="Matt" w:date="2013-12-28T13:13:00Z">
        <w:r w:rsidDel="0094479E">
          <w:delText>is also</w:delText>
        </w:r>
      </w:del>
      <w:ins w:id="125" w:author="Matt" w:date="2013-12-28T13:13:00Z">
        <w:r w:rsidR="0094479E">
          <w:t>are</w:t>
        </w:r>
      </w:ins>
      <w:r>
        <w:t xml:space="preserve">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w:t>
      </w:r>
      <w:r w:rsidR="00E71475" w:rsidRPr="001E5236">
        <w:rPr>
          <w:rFonts w:hint="eastAsia"/>
          <w:vertAlign w:val="subscript"/>
          <w:lang w:eastAsia="zh-CN"/>
        </w:rPr>
        <w:t>1</w:t>
      </w:r>
      <w:r w:rsidR="00E71475">
        <w:rPr>
          <w:rFonts w:hint="eastAsia"/>
          <w:lang w:eastAsia="zh-CN"/>
        </w:rPr>
        <w:t xml:space="preserve"> and U</w:t>
      </w:r>
      <w:r w:rsidR="00E71475" w:rsidRPr="001E5236">
        <w:rPr>
          <w:rFonts w:hint="eastAsia"/>
          <w:vertAlign w:val="subscript"/>
          <w:lang w:eastAsia="zh-CN"/>
        </w:rPr>
        <w:t>2</w:t>
      </w:r>
      <w:r w:rsidR="00E71475">
        <w:rPr>
          <w:rFonts w:hint="eastAsia"/>
          <w:lang w:eastAsia="zh-CN"/>
        </w:rPr>
        <w:t xml:space="preserve">, we define two different difference models. This is </w:t>
      </w:r>
      <w:r w:rsidR="007870DB">
        <w:rPr>
          <w:lang w:eastAsia="zh-CN"/>
        </w:rPr>
        <w:t xml:space="preserve">required </w:t>
      </w:r>
      <w:r w:rsidR="00E71475">
        <w:rPr>
          <w:rFonts w:hint="eastAsia"/>
          <w:lang w:eastAsia="zh-CN"/>
        </w:rPr>
        <w:t xml:space="preserve">to </w:t>
      </w:r>
      <w:r w:rsidR="007870DB">
        <w:rPr>
          <w:lang w:eastAsia="zh-CN"/>
        </w:rPr>
        <w:t xml:space="preserve">ensure </w:t>
      </w:r>
      <w:r w:rsidR="00E71475">
        <w:rPr>
          <w:rFonts w:hint="eastAsia"/>
          <w:lang w:eastAsia="zh-CN"/>
        </w:rPr>
        <w:t>we will always be a</w:t>
      </w:r>
      <w:r w:rsidR="001E5236">
        <w:rPr>
          <w:rFonts w:hint="eastAsia"/>
          <w:lang w:eastAsia="zh-CN"/>
        </w:rPr>
        <w:t xml:space="preserve">ble to calculate the variance </w:t>
      </w:r>
      <w:proofErr w:type="gramStart"/>
      <w:r w:rsidR="001E5236">
        <w:rPr>
          <w:rFonts w:hint="eastAsia"/>
          <w:lang w:eastAsia="zh-CN"/>
        </w:rPr>
        <w:t>o</w:t>
      </w:r>
      <w:r w:rsidR="001E5236">
        <w:rPr>
          <w:lang w:eastAsia="zh-CN"/>
        </w:rPr>
        <w:t xml:space="preserve">f </w:t>
      </w:r>
      <w:proofErr w:type="gramEnd"/>
      <m:oMath>
        <m:r>
          <w:rPr>
            <w:rFonts w:ascii="Cambria Math" w:hAnsi="Cambria Math"/>
          </w:rPr>
          <m:t>∆</m:t>
        </m:r>
      </m:oMath>
      <w:r w:rsidR="00E71475">
        <w:rPr>
          <w:rFonts w:hint="eastAsia"/>
          <w:lang w:eastAsia="zh-CN"/>
        </w:rPr>
        <w:t>.</w:t>
      </w:r>
    </w:p>
    <w:p w:rsidR="008E1115" w:rsidRPr="008E1115" w:rsidRDefault="00F401A7" w:rsidP="007870DB">
      <w:pPr>
        <w:spacing w:line="480" w:lineRule="auto"/>
        <w:rPr>
          <w:rFonts w:cstheme="minorHAnsi"/>
          <w:lang w:eastAsia="zh-CN"/>
        </w:rPr>
      </w:pPr>
      <w:r>
        <w:t xml:space="preserve">Since </w:t>
      </w:r>
      <w:r w:rsidR="00485010">
        <w:t xml:space="preserve">in our example </w:t>
      </w:r>
      <w:r>
        <w:t>both U</w:t>
      </w:r>
      <w:r w:rsidRPr="001E5236">
        <w:rPr>
          <w:vertAlign w:val="subscript"/>
        </w:rPr>
        <w:t>1</w:t>
      </w:r>
      <w:r>
        <w:t xml:space="preserve"> and U</w:t>
      </w:r>
      <w:r w:rsidRPr="001E5236">
        <w:rPr>
          <w:vertAlign w:val="subscript"/>
        </w:rPr>
        <w:t>2</w:t>
      </w:r>
      <w:r>
        <w:t xml:space="preserve">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w:t>
      </w:r>
      <m:oMath>
        <m:acc>
          <m:accPr>
            <m:chr m:val="̃"/>
            <m:ctrlPr>
              <w:rPr>
                <w:rFonts w:ascii="Cambria Math" w:hAnsi="Cambria Math"/>
                <w:i/>
              </w:rPr>
            </m:ctrlPr>
          </m:accPr>
          <m:e>
            <w:commentRangeStart w:id="126"/>
            <m:r>
              <w:rPr>
                <w:rFonts w:ascii="Cambria Math" w:hAnsi="Cambria Math"/>
              </w:rPr>
              <m:t>∆</m:t>
            </m:r>
            <w:commentRangeEnd w:id="126"/>
            <m:r>
              <m:rPr>
                <m:sty m:val="p"/>
              </m:rPr>
              <w:rPr>
                <w:rStyle w:val="CommentReference"/>
              </w:rPr>
              <w:commentReference w:id="126"/>
            </m:r>
          </m:e>
        </m:acc>
        <m:r>
          <w:rPr>
            <w:rFonts w:ascii="Cambria Math" w:hAnsi="Cambria Math"/>
          </w:rPr>
          <m:t xml:space="preserve"> ~ Beta(a, b)</m:t>
        </m:r>
      </m:oMath>
      <w:r w:rsidR="001E5236">
        <w:t xml:space="preserve"> </w:t>
      </w:r>
      <w:r>
        <w:rPr>
          <w:rFonts w:hint="eastAsia"/>
          <w:lang w:eastAsia="zh-CN"/>
        </w:rPr>
        <w:t xml:space="preserve">so that this condition is met. </w:t>
      </w:r>
      <w:r w:rsidR="00C86CD6">
        <w:rPr>
          <w:rFonts w:hint="eastAsia"/>
          <w:lang w:eastAsia="zh-CN"/>
        </w:rPr>
        <w:t xml:space="preserve">We calculate </w:t>
      </w:r>
      <w:proofErr w:type="gramStart"/>
      <w:r w:rsidR="00C86CD6">
        <w:rPr>
          <w:rFonts w:hint="eastAsia"/>
          <w:lang w:eastAsia="zh-CN"/>
        </w:rPr>
        <w:t>a and</w:t>
      </w:r>
      <w:proofErr w:type="gramEnd"/>
      <w:r w:rsidR="00C86CD6">
        <w:rPr>
          <w:rFonts w:hint="eastAsia"/>
          <w:lang w:eastAsia="zh-CN"/>
        </w:rPr>
        <w:t xml:space="preserve"> b using the mean and variance of U</w:t>
      </w:r>
      <w:r w:rsidR="00C86CD6" w:rsidRPr="001E5236">
        <w:rPr>
          <w:rFonts w:hint="eastAsia"/>
          <w:vertAlign w:val="subscript"/>
          <w:lang w:eastAsia="zh-CN"/>
        </w:rPr>
        <w:t>1</w:t>
      </w:r>
      <w:r w:rsidR="00C86CD6">
        <w:rPr>
          <w:rFonts w:hint="eastAsia"/>
          <w:lang w:eastAsia="zh-CN"/>
        </w:rPr>
        <w:t xml:space="preserve"> and U</w:t>
      </w:r>
      <w:r w:rsidR="00C86CD6" w:rsidRPr="001E5236">
        <w:rPr>
          <w:rFonts w:hint="eastAsia"/>
          <w:vertAlign w:val="subscript"/>
          <w:lang w:eastAsia="zh-CN"/>
        </w:rPr>
        <w:t>2</w:t>
      </w:r>
      <w:r w:rsidR="004B3189">
        <w:rPr>
          <w:lang w:eastAsia="zh-CN"/>
        </w:rPr>
        <w:t xml:space="preserve"> as described </w:t>
      </w:r>
      <w:commentRangeStart w:id="127"/>
      <w:commentRangeStart w:id="128"/>
      <w:r w:rsidR="004B3189">
        <w:rPr>
          <w:lang w:eastAsia="zh-CN"/>
        </w:rPr>
        <w:t>earlier</w:t>
      </w:r>
      <w:commentRangeEnd w:id="127"/>
      <w:r w:rsidR="008F6265">
        <w:rPr>
          <w:rStyle w:val="CommentReference"/>
        </w:rPr>
        <w:commentReference w:id="127"/>
      </w:r>
      <w:commentRangeEnd w:id="128"/>
      <w:r w:rsidR="0094479E">
        <w:rPr>
          <w:rStyle w:val="CommentReference"/>
        </w:rPr>
        <w:commentReference w:id="128"/>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a,b), then draw either U</w:t>
      </w:r>
      <w:r w:rsidR="00E71475" w:rsidRPr="001E5236">
        <w:rPr>
          <w:rFonts w:hint="eastAsia"/>
          <w:vertAlign w:val="subscript"/>
          <w:lang w:eastAsia="zh-CN"/>
        </w:rPr>
        <w:t>1</w:t>
      </w:r>
      <w:r w:rsidR="00E71475">
        <w:rPr>
          <w:rFonts w:hint="eastAsia"/>
          <w:lang w:eastAsia="zh-CN"/>
        </w:rPr>
        <w:t xml:space="preserve"> or U</w:t>
      </w:r>
      <w:r w:rsidR="00E71475" w:rsidRPr="001E5236">
        <w:rPr>
          <w:rFonts w:hint="eastAsia"/>
          <w:vertAlign w:val="subscript"/>
          <w:lang w:eastAsia="zh-CN"/>
        </w:rPr>
        <w:t>2</w:t>
      </w:r>
      <w:r w:rsidR="00E71475">
        <w:rPr>
          <w:rFonts w:hint="eastAsia"/>
          <w:lang w:eastAsia="zh-CN"/>
        </w:rPr>
        <w:t xml:space="preserve"> from its normal distribution depending on the model used. Finally, </w:t>
      </w:r>
      <w:r w:rsidR="00775489">
        <w:rPr>
          <w:lang w:eastAsia="zh-CN"/>
        </w:rPr>
        <w:t xml:space="preserve">we </w:t>
      </w:r>
      <w:r w:rsidR="00E71475">
        <w:rPr>
          <w:rFonts w:hint="eastAsia"/>
          <w:lang w:eastAsia="zh-CN"/>
        </w:rPr>
        <w:t>calculate samples of U</w:t>
      </w:r>
      <w:r w:rsidR="00E71475" w:rsidRPr="001E5236">
        <w:rPr>
          <w:rFonts w:hint="eastAsia"/>
          <w:vertAlign w:val="subscript"/>
          <w:lang w:eastAsia="zh-CN"/>
        </w:rPr>
        <w:t>2</w:t>
      </w:r>
      <w:r w:rsidR="00E71475">
        <w:rPr>
          <w:rFonts w:hint="eastAsia"/>
          <w:lang w:eastAsia="zh-CN"/>
        </w:rPr>
        <w:t xml:space="preserve"> using U</w:t>
      </w:r>
      <w:r w:rsidR="00E71475" w:rsidRPr="001E5236">
        <w:rPr>
          <w:rFonts w:hint="eastAsia"/>
          <w:vertAlign w:val="subscript"/>
          <w:lang w:eastAsia="zh-CN"/>
        </w:rPr>
        <w:t>2</w:t>
      </w:r>
      <w:r w:rsidR="00E71475">
        <w:rPr>
          <w:rFonts w:hint="eastAsia"/>
          <w:lang w:eastAsia="zh-CN"/>
        </w:rPr>
        <w:t>=U</w:t>
      </w:r>
      <w:r w:rsidR="00E71475" w:rsidRPr="001E5236">
        <w:rPr>
          <w:rFonts w:hint="eastAsia"/>
          <w:vertAlign w:val="subscript"/>
          <w:lang w:eastAsia="zh-CN"/>
        </w:rPr>
        <w:t>1</w:t>
      </w:r>
      <w:r w:rsidR="00E71475">
        <w:rPr>
          <w:rFonts w:hint="eastAsia"/>
          <w:lang w:eastAsia="zh-CN"/>
        </w:rPr>
        <w:t>-</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w:t>
      </w:r>
      <w:r w:rsidR="00E71475" w:rsidRPr="0041297F">
        <w:rPr>
          <w:rFonts w:hint="eastAsia"/>
          <w:vertAlign w:val="subscript"/>
          <w:lang w:eastAsia="zh-CN"/>
        </w:rPr>
        <w:t>1</w:t>
      </w:r>
      <w:r w:rsidR="00E71475">
        <w:rPr>
          <w:rFonts w:hint="eastAsia"/>
          <w:lang w:eastAsia="zh-CN"/>
        </w:rPr>
        <w:t xml:space="preserve"> have been drawn, or calculate samples of U</w:t>
      </w:r>
      <w:r w:rsidR="00E71475" w:rsidRPr="001E5236">
        <w:rPr>
          <w:rFonts w:hint="eastAsia"/>
          <w:vertAlign w:val="subscript"/>
          <w:lang w:eastAsia="zh-CN"/>
        </w:rPr>
        <w:t>1</w:t>
      </w:r>
      <w:r w:rsidR="00E71475">
        <w:rPr>
          <w:rFonts w:hint="eastAsia"/>
          <w:lang w:eastAsia="zh-CN"/>
        </w:rPr>
        <w:t xml:space="preserve"> using U</w:t>
      </w:r>
      <w:r w:rsidR="00E71475" w:rsidRPr="001E5236">
        <w:rPr>
          <w:rFonts w:hint="eastAsia"/>
          <w:vertAlign w:val="subscript"/>
          <w:lang w:eastAsia="zh-CN"/>
        </w:rPr>
        <w:t>1</w:t>
      </w:r>
      <w:r w:rsidR="00E71475">
        <w:rPr>
          <w:rFonts w:hint="eastAsia"/>
          <w:lang w:eastAsia="zh-CN"/>
        </w:rPr>
        <w:t>=U</w:t>
      </w:r>
      <w:r w:rsidR="00E71475" w:rsidRPr="0041297F">
        <w:rPr>
          <w:rFonts w:hint="eastAsia"/>
          <w:vertAlign w:val="subscript"/>
          <w:lang w:eastAsia="zh-CN"/>
        </w:rPr>
        <w:t>2</w:t>
      </w:r>
      <w:r w:rsidR="00E71475">
        <w:rPr>
          <w:rFonts w:hint="eastAsia"/>
          <w:lang w:eastAsia="zh-CN"/>
        </w:rPr>
        <w:t>+</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w:t>
      </w:r>
      <w:r w:rsidR="00E71475" w:rsidRPr="001E5236">
        <w:rPr>
          <w:rFonts w:hint="eastAsia"/>
          <w:vertAlign w:val="subscript"/>
          <w:lang w:eastAsia="zh-CN"/>
        </w:rPr>
        <w:t>2</w:t>
      </w:r>
      <w:r w:rsidR="00E71475">
        <w:rPr>
          <w:rFonts w:hint="eastAsia"/>
          <w:lang w:eastAsia="zh-CN"/>
        </w:rPr>
        <w:t xml:space="preserve"> have been drawn.</w:t>
      </w:r>
      <w:r w:rsidR="004B3189">
        <w:rPr>
          <w:lang w:eastAsia="zh-CN"/>
        </w:rPr>
        <w:t xml:space="preserve"> </w:t>
      </w:r>
    </w:p>
    <w:p w:rsidR="00E23BD9" w:rsidRDefault="00D36589" w:rsidP="00D210AA">
      <w:pPr>
        <w:pStyle w:val="Heading2"/>
      </w:pPr>
      <w:r>
        <w:t>Methods where monotonicity cannot be violated</w:t>
      </w:r>
    </w:p>
    <w:p w:rsidR="00D36589" w:rsidRPr="00E2131D" w:rsidRDefault="00D36589" w:rsidP="00047821">
      <w:pPr>
        <w:spacing w:line="480" w:lineRule="auto"/>
      </w:pPr>
      <w:r>
        <w:t xml:space="preserve">For some of the methods, </w:t>
      </w:r>
      <w:r w:rsidR="00AC06DA">
        <w:t xml:space="preserve">monotonicity cannot be </w:t>
      </w:r>
      <w:proofErr w:type="spellStart"/>
      <w:r w:rsidR="00AC06DA">
        <w:t>violoated</w:t>
      </w:r>
      <w:proofErr w:type="spellEnd"/>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w:t>
      </w:r>
      <w:r>
        <w:lastRenderedPageBreak/>
        <w:t xml:space="preserve">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t xml:space="preserve">Comparing between methods </w:t>
      </w:r>
    </w:p>
    <w:p w:rsidR="00E23BD9" w:rsidRDefault="00E23BD9" w:rsidP="00047821">
      <w:pPr>
        <w:spacing w:line="480" w:lineRule="auto"/>
      </w:pPr>
      <w:r>
        <w:t>We use two visual approaches to compare the ten methods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w:t>
      </w:r>
      <w:commentRangeStart w:id="129"/>
      <w:r>
        <w:t>data</w:t>
      </w:r>
      <w:commentRangeEnd w:id="129"/>
      <w:r w:rsidR="00FE13A9">
        <w:rPr>
          <w:rStyle w:val="CommentReference"/>
        </w:rPr>
        <w:commentReference w:id="129"/>
      </w:r>
      <w:r>
        <w:t xml:space="preserve">. </w:t>
      </w:r>
    </w:p>
    <w:p w:rsidR="009A4F6E" w:rsidRDefault="00E23BD9" w:rsidP="00047821">
      <w:pPr>
        <w:spacing w:line="480" w:lineRule="auto"/>
      </w:pPr>
      <w:r>
        <w:t xml:space="preserve">Firstly, we produce </w:t>
      </w:r>
      <w:r w:rsidR="009A4F6E">
        <w:t xml:space="preserve">scatterplots </w:t>
      </w:r>
      <w:r>
        <w:t>of 1,000 joint estimates of U</w:t>
      </w:r>
      <w:r w:rsidRPr="001E5236">
        <w:rPr>
          <w:vertAlign w:val="subscript"/>
        </w:rPr>
        <w:t>1</w:t>
      </w:r>
      <w:r>
        <w:t xml:space="preserve"> and U</w:t>
      </w:r>
      <w:r w:rsidRPr="001E5236">
        <w:rPr>
          <w:vertAlign w:val="subscript"/>
        </w:rPr>
        <w:t>2</w:t>
      </w:r>
      <w:r>
        <w:t xml:space="preserve"> for each of the </w:t>
      </w:r>
      <w:r w:rsidR="009A4F6E">
        <w:t>ten methods</w:t>
      </w:r>
      <w:r>
        <w:t xml:space="preserve">. These are drawn on the same scale </w:t>
      </w:r>
      <w:r w:rsidR="009A4F6E">
        <w:t xml:space="preserve">as the scatterplot shown in </w:t>
      </w:r>
      <w:r w:rsidR="001E5236">
        <w:t>Figure 1</w:t>
      </w:r>
      <w:r>
        <w:t xml:space="preserve">, and so the joint patterns of scatter produced by each method can easily be compared with </w:t>
      </w:r>
      <w:r w:rsidR="001E5236">
        <w:t>Figure 1</w:t>
      </w:r>
      <w:r w:rsidR="009A4F6E">
        <w:t xml:space="preserve">. </w:t>
      </w:r>
    </w:p>
    <w:p w:rsidR="00E23BD9" w:rsidRDefault="00E23BD9" w:rsidP="00047821">
      <w:pPr>
        <w:spacing w:line="480" w:lineRule="auto"/>
      </w:pPr>
      <w:r>
        <w:t>Secondly, we use violin plots to compare the distribution of the quantities U</w:t>
      </w:r>
      <w:r w:rsidRPr="001E5236">
        <w:rPr>
          <w:vertAlign w:val="subscript"/>
        </w:rPr>
        <w:t>1</w:t>
      </w:r>
      <w:r>
        <w:t>, U</w:t>
      </w:r>
      <w:r w:rsidRPr="001E5236">
        <w:rPr>
          <w:vertAlign w:val="subscript"/>
        </w:rPr>
        <w:t>2</w:t>
      </w:r>
      <w:r>
        <w:t>, and U</w:t>
      </w:r>
      <w:r w:rsidRPr="001E5236">
        <w:rPr>
          <w:vertAlign w:val="subscript"/>
        </w:rPr>
        <w:t>1</w:t>
      </w:r>
      <w:r>
        <w:t xml:space="preserve"> - U</w:t>
      </w:r>
      <w:r w:rsidRPr="001E5236">
        <w:rPr>
          <w:vertAlign w:val="subscript"/>
        </w:rPr>
        <w:t>2</w:t>
      </w:r>
      <w:r>
        <w:t xml:space="preserve"> for each of the ten methods with the bootstrapped estimates. </w:t>
      </w:r>
      <w:r w:rsidR="00E31B3F">
        <w:t>V</w:t>
      </w:r>
      <w:r w:rsidR="004B2A9B">
        <w:t xml:space="preserve">iolin plots are similar to box plots but also present kernel density estimates of distributions of the type presented in </w:t>
      </w:r>
      <w:r w:rsidR="001E5236">
        <w:t xml:space="preserve">Figure </w:t>
      </w:r>
      <w:r w:rsidR="0041297F">
        <w:t>3</w:t>
      </w:r>
      <w:r w:rsidR="004B2A9B">
        <w:t>.</w:t>
      </w:r>
      <w:r w:rsidR="00366FEC">
        <w:t xml:space="preserve"> </w:t>
      </w:r>
      <w:r w:rsidR="00A000CA">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A000CA">
        <w:fldChar w:fldCharType="separate"/>
      </w:r>
      <w:r w:rsidR="000E7974" w:rsidRPr="000E7974">
        <w:rPr>
          <w:noProof/>
        </w:rPr>
        <w:t>(4)</w:t>
      </w:r>
      <w:r w:rsidR="00A000CA">
        <w:fldChar w:fldCharType="end"/>
      </w:r>
      <w:r w:rsidR="004B2A9B">
        <w:t xml:space="preserve">  </w:t>
      </w:r>
      <w:r>
        <w:t xml:space="preserve">An appropriate method for representing the monotonic relationship given only the summary data should produce distributions for these quantities which look similar to the bootstrapped values for </w:t>
      </w:r>
      <w:r w:rsidR="00C44D3B">
        <w:t>U</w:t>
      </w:r>
      <w:r w:rsidR="00C44D3B" w:rsidRPr="001E5236">
        <w:rPr>
          <w:vertAlign w:val="subscript"/>
        </w:rPr>
        <w:t>1</w:t>
      </w:r>
      <w:r w:rsidR="00C44D3B">
        <w:t>, U</w:t>
      </w:r>
      <w:r w:rsidR="00C44D3B" w:rsidRPr="001E5236">
        <w:rPr>
          <w:vertAlign w:val="subscript"/>
        </w:rPr>
        <w:t>2</w:t>
      </w:r>
      <w:r w:rsidR="00C44D3B">
        <w:t>, and U</w:t>
      </w:r>
      <w:r w:rsidR="00C44D3B" w:rsidRPr="001E5236">
        <w:rPr>
          <w:vertAlign w:val="subscript"/>
        </w:rPr>
        <w:t>1</w:t>
      </w:r>
      <w:r w:rsidR="00C44D3B">
        <w:t xml:space="preserve"> - U</w:t>
      </w:r>
      <w:r w:rsidR="00C44D3B" w:rsidRPr="001E5236">
        <w:rPr>
          <w:vertAlign w:val="subscript"/>
        </w:rPr>
        <w:t>2</w:t>
      </w:r>
      <w:r>
        <w:t xml:space="preserve">. </w:t>
      </w:r>
    </w:p>
    <w:p w:rsidR="00430AB7" w:rsidRDefault="009A4F6E" w:rsidP="00047821">
      <w:pPr>
        <w:pStyle w:val="Heading1"/>
      </w:pPr>
      <w:r>
        <w:t>Results</w:t>
      </w:r>
    </w:p>
    <w:p w:rsidR="008E4E71" w:rsidRDefault="008E4E71" w:rsidP="00FB0CE9">
      <w:pPr>
        <w:spacing w:line="480" w:lineRule="auto"/>
      </w:pPr>
      <w:commentRangeStart w:id="130"/>
      <w:r>
        <w:t xml:space="preserve">This section is divided into three subsections. The first subsection </w:t>
      </w:r>
      <w:del w:id="131" w:author="Matt" w:date="2013-12-28T13:15:00Z">
        <w:r w:rsidDel="00FE13A9">
          <w:delText xml:space="preserve">will </w:delText>
        </w:r>
        <w:r w:rsidR="00FB0CE9" w:rsidDel="00FE13A9">
          <w:delText>describe the parameter estimates used by some of the</w:delText>
        </w:r>
      </w:del>
      <w:ins w:id="132" w:author="Matt" w:date="2013-12-28T13:15:00Z">
        <w:r w:rsidR="00FE13A9">
          <w:t>details the parameterisation of</w:t>
        </w:r>
      </w:ins>
      <w:r w:rsidR="00FB0CE9">
        <w:t xml:space="preserve"> methods</w:t>
      </w:r>
      <w:ins w:id="133" w:author="Matt" w:date="2013-12-28T13:15:00Z">
        <w:r w:rsidR="00FE13A9">
          <w:t xml:space="preserve"> seven to ten</w:t>
        </w:r>
      </w:ins>
      <w:r w:rsidR="00FB0CE9">
        <w:t xml:space="preserve">. The second subsection </w:t>
      </w:r>
      <w:del w:id="134" w:author="Matt" w:date="2013-12-28T13:15:00Z">
        <w:r w:rsidR="00FB0CE9" w:rsidDel="00FE13A9">
          <w:delText xml:space="preserve">will </w:delText>
        </w:r>
      </w:del>
      <w:r w:rsidR="00FB0CE9">
        <w:t>compare</w:t>
      </w:r>
      <w:ins w:id="135" w:author="Matt" w:date="2013-12-28T13:15:00Z">
        <w:r w:rsidR="00FE13A9">
          <w:t>s</w:t>
        </w:r>
      </w:ins>
      <w:r w:rsidR="00FB0CE9">
        <w:t xml:space="preserve"> the ten methods using the first hypothetical dataset, in which U</w:t>
      </w:r>
      <w:r w:rsidR="00FB0CE9" w:rsidRPr="00FB0CE9">
        <w:rPr>
          <w:vertAlign w:val="subscript"/>
        </w:rPr>
        <w:t>1</w:t>
      </w:r>
      <w:r w:rsidR="00FB0CE9">
        <w:t xml:space="preserve"> and U</w:t>
      </w:r>
      <w:r w:rsidR="00FB0CE9" w:rsidRPr="00FB0CE9">
        <w:rPr>
          <w:vertAlign w:val="subscript"/>
        </w:rPr>
        <w:t>2</w:t>
      </w:r>
      <w:r w:rsidR="00FB0CE9">
        <w:t xml:space="preserve"> </w:t>
      </w:r>
      <w:r w:rsidR="00FB0CE9">
        <w:lastRenderedPageBreak/>
        <w:t xml:space="preserve">are drawn from the same patient population. The third subsection </w:t>
      </w:r>
      <w:del w:id="136" w:author="Matt" w:date="2013-12-28T13:15:00Z">
        <w:r w:rsidR="00FB0CE9" w:rsidDel="00FE13A9">
          <w:delText xml:space="preserve">will </w:delText>
        </w:r>
      </w:del>
      <w:r w:rsidR="00FB0CE9">
        <w:t>compare</w:t>
      </w:r>
      <w:ins w:id="137" w:author="Matt" w:date="2013-12-28T13:15:00Z">
        <w:r w:rsidR="00FE13A9">
          <w:t>s</w:t>
        </w:r>
      </w:ins>
      <w:r w:rsidR="00FB0CE9">
        <w:t xml:space="preserve"> the three most promising methods using the second hypothetical dataset, in which U</w:t>
      </w:r>
      <w:r w:rsidR="00FB0CE9" w:rsidRPr="00FB0CE9">
        <w:rPr>
          <w:vertAlign w:val="subscript"/>
        </w:rPr>
        <w:t>1</w:t>
      </w:r>
      <w:r w:rsidR="00FB0CE9">
        <w:t xml:space="preserve"> and U</w:t>
      </w:r>
      <w:r w:rsidR="00FB0CE9" w:rsidRPr="00FB0CE9">
        <w:rPr>
          <w:vertAlign w:val="subscript"/>
        </w:rPr>
        <w:t>2</w:t>
      </w:r>
      <w:r w:rsidR="00FB0CE9">
        <w:t xml:space="preserve"> are assumed to be derived from different patient populations.  </w:t>
      </w:r>
      <w:commentRangeEnd w:id="130"/>
      <w:r w:rsidR="00805B94">
        <w:rPr>
          <w:rStyle w:val="CommentReference"/>
        </w:rPr>
        <w:commentReference w:id="130"/>
      </w:r>
    </w:p>
    <w:p w:rsidR="00FB0CE9" w:rsidRPr="00FB0CE9" w:rsidRDefault="00FB0CE9" w:rsidP="00FB0CE9">
      <w:pPr>
        <w:pStyle w:val="Heading2"/>
      </w:pPr>
      <w:commentRangeStart w:id="138"/>
      <w:r>
        <w:t>Parameterisation</w:t>
      </w:r>
    </w:p>
    <w:p w:rsidR="0064679C" w:rsidRDefault="00C52573" w:rsidP="00FB0CE9">
      <w:pPr>
        <w:pStyle w:val="Heading3"/>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w:t>
      </w:r>
      <w:ins w:id="139" w:author="Matt" w:date="2013-12-28T13:16:00Z">
        <w:r w:rsidR="00FE13A9">
          <w:rPr>
            <w:noProof/>
          </w:rPr>
          <w:t xml:space="preserve">as </w:t>
        </w:r>
      </w:ins>
      <w:r>
        <w:rPr>
          <w:noProof/>
        </w:rPr>
        <w:t>the product of the two sample standard deviations is 0.000550</w:t>
      </w:r>
      <w:ins w:id="140" w:author="Matt" w:date="2013-12-28T13:16:00Z">
        <w:r w:rsidR="00FE13A9">
          <w:rPr>
            <w:noProof/>
          </w:rPr>
          <w:t xml:space="preserve"> the value is set to 0.000550, </w:t>
        </w:r>
      </w:ins>
      <w:del w:id="141" w:author="Matt" w:date="2013-12-28T13:16:00Z">
        <w:r w:rsidDel="00FE13A9">
          <w:rPr>
            <w:noProof/>
          </w:rPr>
          <w:delText xml:space="preserve">. As the product of the two standard deviations defines the covariance at which the correlation is 1, and the correlation cannot be greater than 1, method seven becomes </w:delText>
        </w:r>
      </w:del>
      <w:r>
        <w:rPr>
          <w:noProof/>
        </w:rPr>
        <w:t>equivalent to assuming perfect correlation between U</w:t>
      </w:r>
      <w:r w:rsidRPr="0041297F">
        <w:rPr>
          <w:noProof/>
          <w:vertAlign w:val="subscript"/>
        </w:rPr>
        <w:t>1</w:t>
      </w:r>
      <w:r>
        <w:rPr>
          <w:noProof/>
        </w:rPr>
        <w:t xml:space="preserve"> and U</w:t>
      </w:r>
      <w:r w:rsidRPr="0041297F">
        <w:rPr>
          <w:noProof/>
          <w:vertAlign w:val="subscript"/>
        </w:rPr>
        <w:t>2</w:t>
      </w:r>
      <w:r w:rsidR="0041297F">
        <w:rPr>
          <w:noProof/>
        </w:rPr>
        <w:t>.</w:t>
      </w:r>
      <w:r>
        <w:rPr>
          <w:noProof/>
        </w:rPr>
        <w:t xml:space="preserve"> In method eight, </w:t>
      </w:r>
      <w:del w:id="142" w:author="Matt" w:date="2013-12-28T13:16:00Z">
        <w:r w:rsidDel="00FE13A9">
          <w:rPr>
            <w:noProof/>
          </w:rPr>
          <w:delText xml:space="preserve">in which the AIVM defines the lower bound of the range of covariance values which may be considered, </w:delText>
        </w:r>
      </w:del>
      <w:r>
        <w:rPr>
          <w:noProof/>
        </w:rPr>
        <w:t xml:space="preserve">a covariance of 0.000504 was identified, implying a correlation of 0.92. For method nine, </w:t>
      </w:r>
      <w:del w:id="143" w:author="Matt" w:date="2013-12-28T13:17:00Z">
        <w:r w:rsidDel="00FE13A9">
          <w:rPr>
            <w:noProof/>
          </w:rPr>
          <w:delText xml:space="preserve">in which the AIVM </w:delText>
        </w:r>
        <w:r w:rsidR="00DA744F" w:rsidDel="00FE13A9">
          <w:rPr>
            <w:noProof/>
          </w:rPr>
          <w:delText xml:space="preserve">defines the upper bound of the range of covariances to search through (except where AIVM is greater than the product of the standard deviations), </w:delText>
        </w:r>
      </w:del>
      <w:r w:rsidR="00DA744F">
        <w:rPr>
          <w:noProof/>
        </w:rPr>
        <w:t xml:space="preserve">a covariance of 0.000360 was identified, implying a correlation of 0.65. </w:t>
      </w:r>
      <w:r>
        <w:rPr>
          <w:noProof/>
        </w:rPr>
        <w:t xml:space="preserve"> </w:t>
      </w:r>
    </w:p>
    <w:p w:rsidR="006F0B1D" w:rsidRDefault="006F0B1D" w:rsidP="00FB0CE9">
      <w:pPr>
        <w:pStyle w:val="Heading3"/>
      </w:pPr>
      <w:r>
        <w:t>Parameterisation of method ten</w:t>
      </w:r>
    </w:p>
    <w:p w:rsidR="00B73EB8" w:rsidRDefault="003C2637" w:rsidP="00047821">
      <w:pPr>
        <w:spacing w:line="480" w:lineRule="auto"/>
      </w:pPr>
      <w:r>
        <w:t>Given the summary statistics of U</w:t>
      </w:r>
      <w:r w:rsidRPr="001E5236">
        <w:rPr>
          <w:vertAlign w:val="subscript"/>
        </w:rPr>
        <w:t>1</w:t>
      </w:r>
      <w:r>
        <w:t xml:space="preserve"> and U</w:t>
      </w:r>
      <w:r w:rsidRPr="001E5236">
        <w:rPr>
          <w:vertAlign w:val="subscript"/>
        </w:rPr>
        <w:t>2</w:t>
      </w:r>
      <w:r>
        <w:t xml:space="preserve"> in Table 2, the beta parameter</w:t>
      </w:r>
      <w:r w:rsidR="00E31B3F">
        <w:t>s are</w:t>
      </w:r>
      <w:r>
        <w:t xml:space="preserve"> a=33.02 and b=536.33.</w:t>
      </w:r>
      <w:r w:rsidR="00B73EB8">
        <w:t xml:space="preserve"> </w:t>
      </w:r>
      <w:r w:rsidR="00353ED3">
        <w:t>Figure 3</w:t>
      </w:r>
      <w:r w:rsidR="00B73EB8">
        <w:t xml:space="preserve"> below shows the distribution of 1000 draws from U</w:t>
      </w:r>
      <w:r w:rsidRPr="001E5236">
        <w:rPr>
          <w:vertAlign w:val="subscript"/>
        </w:rPr>
        <w:t>2</w:t>
      </w:r>
      <w:r>
        <w:t xml:space="preserve"> using U</w:t>
      </w:r>
      <w:r w:rsidRPr="001E5236">
        <w:rPr>
          <w:vertAlign w:val="subscript"/>
        </w:rPr>
        <w:t>2</w:t>
      </w:r>
      <w:r>
        <w:t>=U</w:t>
      </w:r>
      <w:r w:rsidRPr="001E5236">
        <w:rPr>
          <w:vertAlign w:val="subscript"/>
        </w:rPr>
        <w:t>1</w:t>
      </w:r>
      <w:r>
        <w:t>+</w:t>
      </w:r>
      <w:r w:rsidRPr="003C2637">
        <w:rPr>
          <w:rFonts w:cstheme="minorHAnsi"/>
        </w:rPr>
        <w:t xml:space="preserve"> </w:t>
      </w:r>
      <w:r>
        <w:rPr>
          <w:rFonts w:cstheme="minorHAnsi"/>
        </w:rPr>
        <w:t>Δ</w:t>
      </w:r>
      <w:r w:rsidR="00B73EB8">
        <w:t xml:space="preserve"> alongside 1</w:t>
      </w:r>
      <w:r w:rsidR="0018273B">
        <w:t>,</w:t>
      </w:r>
      <w:r w:rsidR="00B73EB8">
        <w:t>000 draws of U</w:t>
      </w:r>
      <w:r w:rsidR="00B73EB8" w:rsidRPr="001E5236">
        <w:rPr>
          <w:vertAlign w:val="subscript"/>
        </w:rPr>
        <w:t>1</w:t>
      </w:r>
      <w:r w:rsidR="00B73EB8">
        <w:t xml:space="preserve"> and U</w:t>
      </w:r>
      <w:r w:rsidR="00B73EB8" w:rsidRPr="001E5236">
        <w:rPr>
          <w:vertAlign w:val="subscript"/>
        </w:rPr>
        <w:t>2</w:t>
      </w:r>
      <w:r w:rsidR="00B73EB8">
        <w:t>. We see that the distribution of U</w:t>
      </w:r>
      <w:r w:rsidRPr="001E5236">
        <w:rPr>
          <w:vertAlign w:val="subscript"/>
        </w:rPr>
        <w:t>2</w:t>
      </w:r>
      <w:r w:rsidR="00B73EB8">
        <w:t xml:space="preserve"> closely matches that of U</w:t>
      </w:r>
      <w:r w:rsidRPr="001E5236">
        <w:rPr>
          <w:vertAlign w:val="subscript"/>
        </w:rPr>
        <w:t>2</w:t>
      </w:r>
      <w:r>
        <w:t xml:space="preserve"> from the data</w:t>
      </w:r>
      <w:r w:rsidR="00B73EB8">
        <w:t xml:space="preserve">. </w:t>
      </w:r>
      <w:r>
        <w:t xml:space="preserve">The variations </w:t>
      </w:r>
      <w:r w:rsidR="00DA744F">
        <w:t xml:space="preserve">are </w:t>
      </w:r>
      <w:r>
        <w:t>due to sampling error</w:t>
      </w:r>
      <w:del w:id="144" w:author="Matt" w:date="2013-12-28T13:17:00Z">
        <w:r w:rsidDel="00FE13A9">
          <w:delText>s</w:delText>
        </w:r>
      </w:del>
      <w:r>
        <w:t>.</w:t>
      </w:r>
      <w:commentRangeEnd w:id="138"/>
      <w:r w:rsidR="00805B94">
        <w:rPr>
          <w:rStyle w:val="CommentReference"/>
        </w:rPr>
        <w:commentReference w:id="138"/>
      </w:r>
    </w:p>
    <w:p w:rsidR="00B73EB8" w:rsidRDefault="00353ED3" w:rsidP="00B04290">
      <w:pPr>
        <w:keepNext/>
        <w:spacing w:line="480" w:lineRule="auto"/>
        <w:jc w:val="center"/>
      </w:pPr>
      <w:commentRangeStart w:id="145"/>
      <w:r>
        <w:rPr>
          <w:noProof/>
        </w:rPr>
        <w:t>[Figure 3 about here]</w:t>
      </w:r>
      <w:commentRangeEnd w:id="145"/>
      <w:r w:rsidR="0038198F">
        <w:rPr>
          <w:rStyle w:val="CommentReference"/>
        </w:rPr>
        <w:commentReference w:id="145"/>
      </w:r>
    </w:p>
    <w:p w:rsidR="00FB0CE9" w:rsidRPr="00FB0CE9" w:rsidDel="00805B94" w:rsidRDefault="00FB0CE9" w:rsidP="00FB0CE9">
      <w:pPr>
        <w:pStyle w:val="Heading2"/>
        <w:rPr>
          <w:del w:id="146" w:author="User" w:date="2014-01-28T15:21:00Z"/>
        </w:rPr>
      </w:pPr>
      <w:del w:id="147" w:author="User" w:date="2014-01-28T15:21:00Z">
        <w:r w:rsidDel="00805B94">
          <w:delText>First hypothetical dataset, all ten methods</w:delText>
        </w:r>
      </w:del>
    </w:p>
    <w:p w:rsidR="00C52573" w:rsidRDefault="008E4E71" w:rsidP="00FB0CE9">
      <w:pPr>
        <w:pStyle w:val="Heading3"/>
      </w:pPr>
      <w:r>
        <w:t>Scatterplot comparison</w:t>
      </w:r>
    </w:p>
    <w:p w:rsidR="00072341" w:rsidRDefault="00DA744F" w:rsidP="00047821">
      <w:pPr>
        <w:spacing w:line="480" w:lineRule="auto"/>
      </w:pPr>
      <w:r>
        <w:t xml:space="preserve">In </w:t>
      </w:r>
      <w:r w:rsidR="00353ED3">
        <w:t>Figure 4</w:t>
      </w:r>
      <w:r w:rsidR="0041297F">
        <w:t xml:space="preserve"> </w:t>
      </w:r>
      <w:r>
        <w:t xml:space="preserve">the scatterplots of </w:t>
      </w:r>
      <w:r w:rsidR="00C279D1">
        <w:t>U</w:t>
      </w:r>
      <w:r w:rsidR="00353ED3" w:rsidRPr="00353ED3">
        <w:rPr>
          <w:vertAlign w:val="subscript"/>
        </w:rPr>
        <w:t>2</w:t>
      </w:r>
      <w:r w:rsidR="00C279D1">
        <w:t xml:space="preserve"> against U</w:t>
      </w:r>
      <w:r w:rsidR="00C279D1" w:rsidRPr="00353ED3">
        <w:rPr>
          <w:vertAlign w:val="subscript"/>
        </w:rPr>
        <w:t>1</w:t>
      </w:r>
      <w:r w:rsidR="00C279D1">
        <w:t xml:space="preserve"> </w:t>
      </w:r>
      <w:r>
        <w:t xml:space="preserve">are shown for each of the </w:t>
      </w:r>
      <w:r w:rsidR="00353ED3">
        <w:t xml:space="preserve">ten </w:t>
      </w:r>
      <w:r>
        <w:t>methods. The scatterplot from bootstrapping the IPD</w:t>
      </w:r>
      <w:r w:rsidR="00341956">
        <w:t xml:space="preserve">, shown in full size in </w:t>
      </w:r>
      <w:r w:rsidR="00353ED3">
        <w:t>Figure 1</w:t>
      </w:r>
      <w:r w:rsidR="00341956">
        <w:t xml:space="preserve">, is </w:t>
      </w:r>
      <w:r>
        <w:t xml:space="preserve">reproduced in </w:t>
      </w:r>
      <w:r w:rsidR="00353ED3">
        <w:t>Figure 4</w:t>
      </w:r>
      <w:r>
        <w:t xml:space="preserve">a for comparison. </w:t>
      </w:r>
      <w:r w:rsidR="003E3177">
        <w:t>The diagonal line indicates parity between corresponding draws of U</w:t>
      </w:r>
      <w:r w:rsidR="003E3177" w:rsidRPr="00353ED3">
        <w:rPr>
          <w:vertAlign w:val="subscript"/>
        </w:rPr>
        <w:t>1</w:t>
      </w:r>
      <w:r w:rsidR="003E3177">
        <w:t xml:space="preserve"> and U</w:t>
      </w:r>
      <w:r w:rsidR="003E3177" w:rsidRPr="00353ED3">
        <w:rPr>
          <w:vertAlign w:val="subscript"/>
        </w:rPr>
        <w:t>2</w:t>
      </w:r>
      <w:r w:rsidR="003E3177">
        <w:t xml:space="preserve">. Scatter above this </w:t>
      </w:r>
      <w:r w:rsidR="003E3177">
        <w:lastRenderedPageBreak/>
        <w:t xml:space="preserve">diagonal line shows that some proportion of the draws produced by the method violate the monotonicity assumption. </w:t>
      </w:r>
      <w:commentRangeStart w:id="148"/>
      <w:r w:rsidR="003E3177">
        <w:t xml:space="preserve">A good method should be able to produce a similar pattern of scatter given the aggregate data as the bootstrapped method is able to produce using the IPD. </w:t>
      </w:r>
      <w:commentRangeEnd w:id="148"/>
      <w:r w:rsidR="00805B94">
        <w:rPr>
          <w:rStyle w:val="CommentReference"/>
        </w:rPr>
        <w:commentReference w:id="148"/>
      </w:r>
    </w:p>
    <w:p w:rsidR="00E2131D" w:rsidRDefault="00353ED3" w:rsidP="00047821">
      <w:pPr>
        <w:spacing w:line="480" w:lineRule="auto"/>
      </w:pPr>
      <w:r>
        <w:t>Figure 4</w:t>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commentRangeStart w:id="149"/>
      <w:r w:rsidR="003C0A89">
        <w:t>A</w:t>
      </w:r>
      <w:r w:rsidR="00E2131D">
        <w:t>ll other approaches appear to produce no estimates which violate the monotonicity assumption.</w:t>
      </w:r>
      <w:commentRangeEnd w:id="149"/>
      <w:r w:rsidR="00FE13A9">
        <w:rPr>
          <w:rStyle w:val="CommentReference"/>
        </w:rPr>
        <w:commentReference w:id="149"/>
      </w:r>
      <w:r w:rsidR="00E2131D">
        <w:t xml:space="preserve"> </w:t>
      </w:r>
    </w:p>
    <w:p w:rsidR="009579A4" w:rsidRDefault="009579A4" w:rsidP="00047821">
      <w:pPr>
        <w:spacing w:line="480" w:lineRule="auto"/>
      </w:pPr>
      <w:r>
        <w:t xml:space="preserve">Methods </w:t>
      </w:r>
      <w:r w:rsidR="00D36589">
        <w:t>three</w:t>
      </w:r>
      <w:del w:id="150" w:author="User" w:date="2014-01-28T15:22:00Z">
        <w:r w:rsidR="00D36589" w:rsidDel="00805B94">
          <w:delText xml:space="preserve"> (</w:delText>
        </w:r>
        <w:r w:rsidR="00353ED3" w:rsidDel="00805B94">
          <w:delText>Figure 4</w:delText>
        </w:r>
        <w:r w:rsidR="008F7A5A" w:rsidDel="00805B94">
          <w:delText>d</w:delText>
        </w:r>
        <w:r w:rsidR="00D36589" w:rsidDel="00805B94">
          <w:delText>)</w:delText>
        </w:r>
      </w:del>
      <w:r>
        <w:t xml:space="preserve">, </w:t>
      </w:r>
      <w:r w:rsidR="00D36589">
        <w:t>four</w:t>
      </w:r>
      <w:del w:id="151" w:author="User" w:date="2014-01-28T15:22:00Z">
        <w:r w:rsidR="00D36589" w:rsidDel="00805B94">
          <w:delText xml:space="preserve"> (</w:delText>
        </w:r>
        <w:r w:rsidR="00353ED3" w:rsidDel="00805B94">
          <w:delText>Figure 4</w:delText>
        </w:r>
        <w:r w:rsidR="008F7A5A" w:rsidDel="00805B94">
          <w:delText>e</w:delText>
        </w:r>
        <w:r w:rsidR="00D36589" w:rsidDel="00805B94">
          <w:delText>)</w:delText>
        </w:r>
      </w:del>
      <w:r>
        <w:t xml:space="preserve">, </w:t>
      </w:r>
      <w:r w:rsidR="00D36589">
        <w:t>five</w:t>
      </w:r>
      <w:del w:id="152" w:author="User" w:date="2014-01-28T15:22:00Z">
        <w:r w:rsidR="00D36589" w:rsidDel="00805B94">
          <w:delText xml:space="preserve"> (</w:delText>
        </w:r>
        <w:r w:rsidR="00353ED3" w:rsidDel="00805B94">
          <w:delText>Figure 4</w:delText>
        </w:r>
        <w:r w:rsidR="008F7A5A" w:rsidDel="00805B94">
          <w:delText>f</w:delText>
        </w:r>
        <w:r w:rsidR="00D36589" w:rsidDel="00805B94">
          <w:delText>)</w:delText>
        </w:r>
      </w:del>
      <w:r>
        <w:t xml:space="preserve"> and </w:t>
      </w:r>
      <w:r w:rsidR="00D36589">
        <w:t>six</w:t>
      </w:r>
      <w:r>
        <w:t xml:space="preserve"> </w:t>
      </w:r>
      <w:del w:id="153" w:author="User" w:date="2014-01-28T15:22:00Z">
        <w:r w:rsidR="00D36589" w:rsidDel="00805B94">
          <w:delText>(</w:delText>
        </w:r>
        <w:r w:rsidR="00353ED3" w:rsidDel="00805B94">
          <w:delText>Figure 4</w:delText>
        </w:r>
        <w:r w:rsidR="008F7A5A" w:rsidDel="00805B94">
          <w:delText>g</w:delText>
        </w:r>
        <w:r w:rsidR="00D36589" w:rsidDel="00805B94">
          <w:delText xml:space="preserve">) </w:delText>
        </w:r>
      </w:del>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Del="00805B94" w:rsidRDefault="00D24E90" w:rsidP="00047821">
      <w:pPr>
        <w:spacing w:line="480" w:lineRule="auto"/>
        <w:rPr>
          <w:del w:id="154" w:author="User" w:date="2014-01-28T15:22:00Z"/>
        </w:rPr>
      </w:pPr>
      <w:r>
        <w:t xml:space="preserve">Most </w:t>
      </w:r>
      <w:r w:rsidR="00E2131D">
        <w:t xml:space="preserve">approaches produce patterns of variance in the scatter </w:t>
      </w:r>
      <w:r w:rsidR="009579A4">
        <w:t xml:space="preserve">dissimilar to the bootstrapped scatter. Methods </w:t>
      </w:r>
      <w:r w:rsidR="00D36589">
        <w:t>one</w:t>
      </w:r>
      <w:del w:id="155" w:author="User" w:date="2014-01-28T15:22:00Z">
        <w:r w:rsidR="00D36589" w:rsidDel="00805B94">
          <w:delText xml:space="preserve"> </w:delText>
        </w:r>
        <w:r w:rsidR="00353ED3" w:rsidDel="00805B94">
          <w:delText>(figure 4</w:delText>
        </w:r>
        <w:r w:rsidR="008F7A5A" w:rsidDel="00805B94">
          <w:delText>b</w:delText>
        </w:r>
        <w:r w:rsidR="00D36589" w:rsidDel="00805B94">
          <w:delText>)</w:delText>
        </w:r>
      </w:del>
      <w:r w:rsidR="009579A4">
        <w:t xml:space="preserve">, </w:t>
      </w:r>
      <w:r w:rsidR="00D36589">
        <w:t>three</w:t>
      </w:r>
      <w:del w:id="156" w:author="User" w:date="2014-01-28T15:22:00Z">
        <w:r w:rsidR="00D36589" w:rsidDel="00805B94">
          <w:delText xml:space="preserve"> </w:delText>
        </w:r>
        <w:r w:rsidR="00353ED3" w:rsidDel="00805B94">
          <w:delText>(figure 4</w:delText>
        </w:r>
        <w:r w:rsidR="008F7A5A" w:rsidDel="00805B94">
          <w:delText>d</w:delText>
        </w:r>
        <w:r w:rsidR="00D36589" w:rsidDel="00805B94">
          <w:delText>)</w:delText>
        </w:r>
      </w:del>
      <w:r w:rsidR="009579A4">
        <w:t xml:space="preserve">, </w:t>
      </w:r>
      <w:r w:rsidR="00D36589">
        <w:t>four</w:t>
      </w:r>
      <w:del w:id="157" w:author="User" w:date="2014-01-28T15:22:00Z">
        <w:r w:rsidR="00610911" w:rsidDel="00805B94">
          <w:delText xml:space="preserve"> </w:delText>
        </w:r>
        <w:r w:rsidR="00353ED3" w:rsidDel="00805B94">
          <w:delText>(Figure 4</w:delText>
        </w:r>
        <w:r w:rsidR="008F7A5A" w:rsidDel="00805B94">
          <w:delText>e</w:delText>
        </w:r>
        <w:r w:rsidR="00D36589" w:rsidDel="00805B94">
          <w:delText>)</w:delText>
        </w:r>
      </w:del>
      <w:r w:rsidR="00D36589">
        <w:t>,</w:t>
      </w:r>
      <w:r w:rsidR="009579A4">
        <w:t xml:space="preserve"> </w:t>
      </w:r>
      <w:r w:rsidR="00D36589">
        <w:t>five</w:t>
      </w:r>
      <w:del w:id="158" w:author="User" w:date="2014-01-28T15:22:00Z">
        <w:r w:rsidR="00D36589" w:rsidDel="00805B94">
          <w:delText xml:space="preserve"> </w:delText>
        </w:r>
        <w:r w:rsidR="00353ED3" w:rsidDel="00805B94">
          <w:delText>(Figure 4</w:delText>
        </w:r>
        <w:r w:rsidR="008F7A5A" w:rsidDel="00805B94">
          <w:delText>f</w:delText>
        </w:r>
        <w:r w:rsidR="00D36589" w:rsidDel="00805B94">
          <w:delText>)</w:delText>
        </w:r>
      </w:del>
      <w:r w:rsidR="00D36589">
        <w:t>,</w:t>
      </w:r>
      <w:r w:rsidR="009579A4">
        <w:t xml:space="preserve"> and </w:t>
      </w:r>
      <w:r w:rsidR="00D36589">
        <w:t>six</w:t>
      </w:r>
      <w:del w:id="159" w:author="User" w:date="2014-01-28T15:22:00Z">
        <w:r w:rsidR="009579A4" w:rsidDel="00805B94">
          <w:delText xml:space="preserve"> </w:delText>
        </w:r>
        <w:r w:rsidR="00353ED3" w:rsidDel="00805B94">
          <w:delText>(Figure 4</w:delText>
        </w:r>
        <w:r w:rsidR="008F7A5A" w:rsidDel="00805B94">
          <w:delText>g</w:delText>
        </w:r>
        <w:r w:rsidR="00D36589" w:rsidDel="00805B94">
          <w:delText>)</w:delText>
        </w:r>
      </w:del>
      <w:r w:rsidR="00D36589">
        <w:t xml:space="preserve"> </w:t>
      </w:r>
      <w:r w:rsidR="009579A4">
        <w:t xml:space="preserve">all produce uncorrelated scatter that is too wide, </w:t>
      </w:r>
      <w:r>
        <w:t xml:space="preserve">showing that the correlation is too </w:t>
      </w:r>
      <w:r w:rsidR="008F7A5A">
        <w:t>low. By contrast method</w:t>
      </w:r>
      <w:r w:rsidR="003C0A89">
        <w:t xml:space="preserve">s two and </w:t>
      </w:r>
      <w:r w:rsidR="00D36589">
        <w:t>seven</w:t>
      </w:r>
      <w:r w:rsidR="00170F06">
        <w:t xml:space="preserve"> </w:t>
      </w:r>
      <w:r w:rsidR="008F7A5A">
        <w:t>produces scatter which is too narrow</w:t>
      </w:r>
      <w:del w:id="160" w:author="Matt" w:date="2013-12-28T13:19:00Z">
        <w:r w:rsidR="008F7A5A" w:rsidDel="00A773EB">
          <w:delText>, as in this case the method is equivalent to assuming perfect correlation between U</w:delText>
        </w:r>
        <w:r w:rsidR="008F7A5A" w:rsidRPr="00353ED3" w:rsidDel="00A773EB">
          <w:rPr>
            <w:vertAlign w:val="subscript"/>
          </w:rPr>
          <w:delText>1</w:delText>
        </w:r>
        <w:r w:rsidR="008F7A5A" w:rsidDel="00A773EB">
          <w:delText xml:space="preserve"> and U</w:delText>
        </w:r>
        <w:r w:rsidR="008F7A5A" w:rsidRPr="00353ED3" w:rsidDel="00A773EB">
          <w:rPr>
            <w:vertAlign w:val="subscript"/>
          </w:rPr>
          <w:delText>2</w:delText>
        </w:r>
      </w:del>
      <w:r w:rsidR="008F7A5A">
        <w:t>.</w:t>
      </w:r>
      <w:r w:rsidR="009579A4">
        <w:t xml:space="preserve"> </w:t>
      </w:r>
    </w:p>
    <w:p w:rsidR="009D6F8F" w:rsidRDefault="00072341" w:rsidP="00047821">
      <w:pPr>
        <w:spacing w:line="480" w:lineRule="auto"/>
      </w:pPr>
      <w:r>
        <w:t xml:space="preserve">We see from the scatter that </w:t>
      </w:r>
      <w:r w:rsidR="008F7A5A">
        <w:t>methods eight</w:t>
      </w:r>
      <w:del w:id="161" w:author="User" w:date="2014-01-28T15:22:00Z">
        <w:r w:rsidR="008F7A5A" w:rsidDel="00805B94">
          <w:delText xml:space="preserve"> </w:delText>
        </w:r>
        <w:r w:rsidR="00353ED3" w:rsidDel="00805B94">
          <w:delText>(Figure 4</w:delText>
        </w:r>
        <w:r w:rsidR="008F7A5A" w:rsidDel="00805B94">
          <w:delText>i)</w:delText>
        </w:r>
      </w:del>
      <w:r w:rsidR="008F7A5A">
        <w:t xml:space="preserve"> and ten</w:t>
      </w:r>
      <w:del w:id="162" w:author="User" w:date="2014-01-28T15:22:00Z">
        <w:r w:rsidR="008F7A5A" w:rsidDel="00805B94">
          <w:delText xml:space="preserve"> </w:delText>
        </w:r>
        <w:r w:rsidR="00353ED3" w:rsidDel="00805B94">
          <w:delText>(Figure 4</w:delText>
        </w:r>
        <w:r w:rsidR="008F7A5A" w:rsidDel="00805B94">
          <w:delText>k)</w:delText>
        </w:r>
      </w:del>
      <w:r>
        <w:t xml:space="preserve"> are closest in appearance to the bootstrapped scatter</w:t>
      </w:r>
      <w:del w:id="163" w:author="User" w:date="2014-01-28T15:22:00Z">
        <w:r w:rsidR="00353ED3" w:rsidDel="00805B94">
          <w:delText xml:space="preserve"> (Figure 4a)</w:delText>
        </w:r>
      </w:del>
      <w:r>
        <w:t xml:space="preserve">. </w:t>
      </w:r>
    </w:p>
    <w:p w:rsidR="009D6F8F" w:rsidRPr="009D6F8F" w:rsidRDefault="00353ED3" w:rsidP="00353ED3">
      <w:pPr>
        <w:spacing w:line="480" w:lineRule="auto"/>
        <w:jc w:val="center"/>
      </w:pPr>
      <w:r>
        <w:t>[Figure 4 about here]</w:t>
      </w:r>
    </w:p>
    <w:p w:rsidR="00072341" w:rsidRPr="00072341" w:rsidRDefault="00072341" w:rsidP="00FB0CE9">
      <w:pPr>
        <w:pStyle w:val="Heading3"/>
      </w:pPr>
      <w:r>
        <w:t>Monotonicity violation</w:t>
      </w:r>
    </w:p>
    <w:p w:rsidR="00C52573" w:rsidRDefault="00103ED7" w:rsidP="00047821">
      <w:pPr>
        <w:spacing w:line="480" w:lineRule="auto"/>
      </w:pPr>
      <w:r>
        <w:t xml:space="preserve">The only approach where there was violation </w:t>
      </w:r>
      <w:r w:rsidR="00BC5A21">
        <w:t>of monotonicity was method one (</w:t>
      </w:r>
      <w:r>
        <w:t>independent sampling</w:t>
      </w:r>
      <w:r w:rsidR="00BC5A21">
        <w:t>)</w:t>
      </w:r>
      <w:r>
        <w:t xml:space="preserve">.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8E4E71" w:rsidP="00FB0CE9">
      <w:pPr>
        <w:pStyle w:val="Heading3"/>
      </w:pPr>
      <w:r>
        <w:lastRenderedPageBreak/>
        <w:t xml:space="preserve">Violin plot comparisons of </w:t>
      </w:r>
      <w:r w:rsidR="00C77F67">
        <w:t>U</w:t>
      </w:r>
      <w:r w:rsidR="00C77F67" w:rsidRPr="00353ED3">
        <w:rPr>
          <w:vertAlign w:val="subscript"/>
        </w:rPr>
        <w:t>1</w:t>
      </w:r>
      <w:r w:rsidR="00C77F67">
        <w:t>, U</w:t>
      </w:r>
      <w:r w:rsidR="00C77F67" w:rsidRPr="00353ED3">
        <w:rPr>
          <w:vertAlign w:val="subscript"/>
        </w:rPr>
        <w:t>2</w:t>
      </w:r>
      <w:r w:rsidR="00C77F67">
        <w:t xml:space="preserve"> and U</w:t>
      </w:r>
      <w:r w:rsidR="00C77F67" w:rsidRPr="00353ED3">
        <w:rPr>
          <w:vertAlign w:val="subscript"/>
        </w:rPr>
        <w:t>1</w:t>
      </w:r>
      <w:r w:rsidR="00C77F67">
        <w:t>-U</w:t>
      </w:r>
      <w:r w:rsidR="00C77F67" w:rsidRPr="00353ED3">
        <w:rPr>
          <w:vertAlign w:val="subscript"/>
        </w:rPr>
        <w:t>2</w:t>
      </w:r>
    </w:p>
    <w:p w:rsidR="00A90C1A" w:rsidRDefault="00A90C1A" w:rsidP="00047821">
      <w:pPr>
        <w:spacing w:line="480" w:lineRule="auto"/>
      </w:pPr>
      <w:del w:id="164" w:author="User" w:date="2014-01-28T15:23:00Z">
        <w:r w:rsidDel="00805B94">
          <w:delText xml:space="preserve">The top and middle subfigures of </w:delText>
        </w:r>
        <w:r w:rsidR="00401F39" w:rsidDel="00805B94">
          <w:fldChar w:fldCharType="begin"/>
        </w:r>
        <w:r w:rsidR="00401F39" w:rsidDel="00805B94">
          <w:delInstrText xml:space="preserve"> REF _Ref340241271 \h  \* MERGEFORMAT </w:delInstrText>
        </w:r>
        <w:r w:rsidR="00401F39" w:rsidDel="00805B94">
          <w:fldChar w:fldCharType="separate"/>
        </w:r>
        <w:r w:rsidR="004D3A56" w:rsidDel="00805B94">
          <w:delText>Figure 4</w:delText>
        </w:r>
        <w:r w:rsidR="00401F39" w:rsidDel="00805B94">
          <w:fldChar w:fldCharType="end"/>
        </w:r>
        <w:r w:rsidDel="00805B94">
          <w:delText xml:space="preserve"> show t</w:delText>
        </w:r>
      </w:del>
      <w:ins w:id="165" w:author="User" w:date="2014-01-28T15:25:00Z">
        <w:r w:rsidR="00805B94">
          <w:t xml:space="preserve"> Figure 5 present the distributions of U1, U2 and U1-U2.</w:t>
        </w:r>
      </w:ins>
      <w:ins w:id="166" w:author="User" w:date="2014-01-28T15:23:00Z">
        <w:r w:rsidR="00805B94">
          <w:t>T</w:t>
        </w:r>
      </w:ins>
      <w:r>
        <w:t>he distributions of estimates of U</w:t>
      </w:r>
      <w:r w:rsidRPr="0008305F">
        <w:rPr>
          <w:vertAlign w:val="subscript"/>
        </w:rPr>
        <w:t>1</w:t>
      </w:r>
      <w:r>
        <w:t xml:space="preserve"> </w:t>
      </w:r>
      <w:del w:id="167" w:author="User" w:date="2014-01-28T15:23:00Z">
        <w:r w:rsidR="0008305F" w:rsidDel="00805B94">
          <w:delText xml:space="preserve">(Figure 4a) </w:delText>
        </w:r>
      </w:del>
      <w:r>
        <w:t>and U</w:t>
      </w:r>
      <w:r w:rsidRPr="0008305F">
        <w:rPr>
          <w:vertAlign w:val="subscript"/>
        </w:rPr>
        <w:t>2</w:t>
      </w:r>
      <w:r>
        <w:t xml:space="preserve"> </w:t>
      </w:r>
      <w:del w:id="168" w:author="User" w:date="2014-01-28T15:23:00Z">
        <w:r w:rsidR="0008305F" w:rsidDel="00805B94">
          <w:delText xml:space="preserve">(Figure 4b) </w:delText>
        </w:r>
        <w:r w:rsidDel="00805B94">
          <w:delText xml:space="preserve">respectively. They </w:delText>
        </w:r>
      </w:del>
      <w:r>
        <w:t xml:space="preserve">show that all methods appear broadly adequate in representing these quantities, </w:t>
      </w:r>
      <w:r w:rsidR="0091764E">
        <w:t xml:space="preserve">in that all distributions </w:t>
      </w:r>
      <w:r w:rsidR="00BC5A21">
        <w:t xml:space="preserve">have </w:t>
      </w:r>
      <w:r w:rsidR="0091764E">
        <w:t xml:space="preserve">similar shapes. There is some indication showing that the resampling and replacement methods, methods three to six, produce biased means, in that the centres of the estimates, indicated by the white dots, do not line up with the </w:t>
      </w:r>
      <w:commentRangeStart w:id="169"/>
      <w:r w:rsidR="0091764E">
        <w:t>bootstrapped centre</w:t>
      </w:r>
      <w:commentRangeEnd w:id="169"/>
      <w:r w:rsidR="00A773EB">
        <w:rPr>
          <w:rStyle w:val="CommentReference"/>
        </w:rPr>
        <w:commentReference w:id="169"/>
      </w:r>
      <w:r w:rsidR="0091764E">
        <w:t>, indicated by the horizontal dashed line. However in our example these differences are relatively small.</w:t>
      </w:r>
    </w:p>
    <w:p w:rsidR="00610911" w:rsidRDefault="0091764E" w:rsidP="00047821">
      <w:pPr>
        <w:spacing w:line="480" w:lineRule="auto"/>
      </w:pPr>
      <w:del w:id="170" w:author="User" w:date="2014-01-28T15:25:00Z">
        <w:r w:rsidDel="00805B94">
          <w:delText xml:space="preserve">The bottom of the three subfigures, </w:delText>
        </w:r>
        <w:r w:rsidR="0008305F" w:rsidDel="00805B94">
          <w:delText>Figure 5</w:delText>
        </w:r>
        <w:r w:rsidDel="00805B94">
          <w:delText>c, shows t</w:delText>
        </w:r>
      </w:del>
      <w:proofErr w:type="gramStart"/>
      <w:ins w:id="171" w:author="User" w:date="2014-01-28T15:25:00Z">
        <w:r w:rsidR="00805B94">
          <w:t>T</w:t>
        </w:r>
      </w:ins>
      <w:r>
        <w:t xml:space="preserve">he </w:t>
      </w:r>
      <w:r w:rsidR="000071B0">
        <w:t xml:space="preserve">distribution of </w:t>
      </w:r>
      <w:r>
        <w:t xml:space="preserve">estimates of </w:t>
      </w:r>
      <w:r w:rsidR="000071B0">
        <w:t>U</w:t>
      </w:r>
      <w:r w:rsidR="000071B0" w:rsidRPr="0008305F">
        <w:rPr>
          <w:vertAlign w:val="subscript"/>
        </w:rPr>
        <w:t>1</w:t>
      </w:r>
      <w:r w:rsidR="000071B0">
        <w:t xml:space="preserve"> – U</w:t>
      </w:r>
      <w:r w:rsidR="000071B0" w:rsidRPr="0008305F">
        <w:rPr>
          <w:vertAlign w:val="subscript"/>
        </w:rPr>
        <w:t>2</w:t>
      </w:r>
      <w:r w:rsidR="000071B0">
        <w:t>, i.e. the difference</w:t>
      </w:r>
      <w:r>
        <w:t>s in paired draws of U</w:t>
      </w:r>
      <w:r w:rsidRPr="0008305F">
        <w:rPr>
          <w:vertAlign w:val="subscript"/>
        </w:rPr>
        <w:t>1</w:t>
      </w:r>
      <w:r>
        <w:t xml:space="preserve"> and U</w:t>
      </w:r>
      <w:r w:rsidRPr="0008305F">
        <w:rPr>
          <w:vertAlign w:val="subscript"/>
        </w:rPr>
        <w:t>2</w:t>
      </w:r>
      <w:r>
        <w:t>.</w:t>
      </w:r>
      <w:proofErr w:type="gramEnd"/>
      <w:r>
        <w:t xml:space="preserve"> </w:t>
      </w:r>
      <w:proofErr w:type="gramStart"/>
      <w:r w:rsidR="00AC06DA">
        <w:t>M</w:t>
      </w:r>
      <w:r w:rsidR="007D2A85">
        <w:t xml:space="preserve">ethod </w:t>
      </w:r>
      <w:r w:rsidR="001463F3">
        <w:t>one</w:t>
      </w:r>
      <w:r w:rsidR="007D2A85">
        <w:t xml:space="preserve">, independent sampling, producing some estimates </w:t>
      </w:r>
      <w:r w:rsidR="0008305F">
        <w:t>which violate monotonicity</w:t>
      </w:r>
      <w:r w:rsidR="00E31B3F">
        <w:t>.</w:t>
      </w:r>
      <w:proofErr w:type="gramEnd"/>
      <w:r w:rsidR="00E31B3F">
        <w:t xml:space="preserve"> M</w:t>
      </w:r>
      <w:r>
        <w:t xml:space="preserve">ethod two </w:t>
      </w:r>
      <w:r w:rsidR="00AC06DA">
        <w:t xml:space="preserve">also produces </w:t>
      </w:r>
      <w:r>
        <w:t xml:space="preserve">some samples where monotonicity is violated, </w:t>
      </w:r>
      <w:r w:rsidR="00AC06DA">
        <w:t xml:space="preserve">but </w:t>
      </w:r>
      <w:r>
        <w:t xml:space="preserve">it is also evident that </w:t>
      </w:r>
      <w:r w:rsidR="00AC06DA">
        <w:t xml:space="preserve">most </w:t>
      </w:r>
      <w:r>
        <w:t xml:space="preserve">estimates produced by this distribution are within a small range,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is a</w:t>
      </w:r>
      <w:ins w:id="172" w:author="Matt" w:date="2013-12-28T13:20:00Z">
        <w:r w:rsidR="00A773EB">
          <w:t>n</w:t>
        </w:r>
      </w:ins>
      <w:r w:rsidR="00610911">
        <w:t xml:space="preserve"> </w:t>
      </w:r>
      <w:del w:id="173" w:author="Matt" w:date="2013-12-28T13:20:00Z">
        <w:r w:rsidR="00610911" w:rsidDel="00A773EB">
          <w:delText xml:space="preserve">severe </w:delText>
        </w:r>
      </w:del>
      <w:r w:rsidR="00610911">
        <w:t>underestimation of the true uncertainty in this quantity, evident most strongly in method</w:t>
      </w:r>
      <w:r w:rsidR="00AC06DA">
        <w:t>s</w:t>
      </w:r>
      <w:r w:rsidR="00610911">
        <w:t xml:space="preserve"> </w:t>
      </w:r>
      <w:ins w:id="174" w:author="Matt" w:date="2013-12-28T13:20:00Z">
        <w:r w:rsidR="00A773EB">
          <w:t xml:space="preserve">two and </w:t>
        </w:r>
      </w:ins>
      <w:r w:rsidR="00610911">
        <w:t>seven</w:t>
      </w:r>
      <w:del w:id="175" w:author="Matt" w:date="2013-12-28T13:20:00Z">
        <w:r w:rsidR="0018273B" w:rsidDel="00A773EB">
          <w:delText xml:space="preserve"> and two</w:delText>
        </w:r>
      </w:del>
      <w:r w:rsidR="00610911">
        <w:t xml:space="preserve">. The second </w:t>
      </w:r>
      <w:r w:rsidR="00AC06DA">
        <w:t xml:space="preserve">problem </w:t>
      </w:r>
      <w:r w:rsidR="00610911">
        <w:t>is evident in method</w:t>
      </w:r>
      <w:ins w:id="176" w:author="Matt" w:date="2013-12-28T13:20:00Z">
        <w:r w:rsidR="00A773EB">
          <w:t>s</w:t>
        </w:r>
      </w:ins>
      <w:r w:rsidR="00610911">
        <w:t xml:space="preserve"> three, four, five and six, which introduce a discontinuity into the distributions at the lower end (U</w:t>
      </w:r>
      <w:r w:rsidR="00610911" w:rsidRPr="0008305F">
        <w:rPr>
          <w:vertAlign w:val="subscript"/>
        </w:rPr>
        <w:t>2</w:t>
      </w:r>
      <w:r w:rsidR="00610911">
        <w:t xml:space="preserve"> – U</w:t>
      </w:r>
      <w:r w:rsidR="00610911" w:rsidRPr="0008305F">
        <w:rPr>
          <w:vertAlign w:val="subscript"/>
        </w:rPr>
        <w:t>1</w:t>
      </w:r>
      <w:r w:rsidR="00610911">
        <w:t xml:space="preserve"> = 0), while showing too wide a distribution at the upper end.</w:t>
      </w:r>
    </w:p>
    <w:p w:rsidR="00264F0F" w:rsidRDefault="0008305F" w:rsidP="0008305F">
      <w:pPr>
        <w:spacing w:line="480" w:lineRule="auto"/>
        <w:jc w:val="center"/>
      </w:pPr>
      <w:commentRangeStart w:id="177"/>
      <w:r>
        <w:t>[Figure 5 about here]</w:t>
      </w:r>
      <w:commentRangeEnd w:id="177"/>
      <w:r w:rsidR="0038198F">
        <w:rPr>
          <w:rStyle w:val="CommentReference"/>
        </w:rPr>
        <w:commentReference w:id="177"/>
      </w:r>
    </w:p>
    <w:p w:rsidR="00FB0CE9" w:rsidRDefault="00FB0CE9" w:rsidP="00FB0CE9">
      <w:pPr>
        <w:pStyle w:val="Heading3"/>
      </w:pPr>
      <w:r>
        <w:t>Conclusion from first comparison</w:t>
      </w:r>
    </w:p>
    <w:p w:rsidR="00FB0CE9" w:rsidRPr="00FB0CE9" w:rsidRDefault="00FB0CE9" w:rsidP="00FB0CE9">
      <w:pPr>
        <w:keepNext/>
        <w:spacing w:line="480" w:lineRule="auto"/>
      </w:pPr>
      <w:r>
        <w:t>Based on the above results, methods eight, nine and ten appeared most promising, and were evaluated further using a second hypothetical dataset.</w:t>
      </w:r>
    </w:p>
    <w:p w:rsidR="00FB0CE9" w:rsidRPr="00FB0CE9" w:rsidRDefault="00FB0CE9" w:rsidP="00FB0CE9">
      <w:pPr>
        <w:pStyle w:val="Heading2"/>
      </w:pPr>
      <w:r>
        <w:t>Second hypothetical dataset, three best methods</w:t>
      </w:r>
    </w:p>
    <w:p w:rsidR="008E5FD4" w:rsidRDefault="00FB0CE9" w:rsidP="00F2589E">
      <w:pPr>
        <w:keepNext/>
        <w:spacing w:line="480" w:lineRule="auto"/>
      </w:pPr>
      <w:commentRangeStart w:id="178"/>
      <w:r>
        <w:t xml:space="preserve">In the second hypothetical dataset </w:t>
      </w:r>
      <w:r w:rsidR="00F2589E">
        <w:t>U</w:t>
      </w:r>
      <w:r w:rsidR="00F2589E" w:rsidRPr="0008305F">
        <w:rPr>
          <w:vertAlign w:val="subscript"/>
        </w:rPr>
        <w:t>1</w:t>
      </w:r>
      <w:r w:rsidR="00F2589E">
        <w:t xml:space="preserve"> and U</w:t>
      </w:r>
      <w:r w:rsidR="00F2589E" w:rsidRPr="0008305F">
        <w:rPr>
          <w:vertAlign w:val="subscript"/>
        </w:rPr>
        <w:t>2</w:t>
      </w:r>
      <w:r w:rsidR="00F2589E">
        <w:t xml:space="preserve"> are derived from different samples of individuals, and </w:t>
      </w:r>
      <w:del w:id="179" w:author="Matt" w:date="2013-12-28T13:21:00Z">
        <w:r w:rsidR="00F2589E" w:rsidDel="00A773EB">
          <w:delText xml:space="preserve">so </w:delText>
        </w:r>
      </w:del>
      <w:ins w:id="180" w:author="Matt" w:date="2013-12-28T13:21:00Z">
        <w:r w:rsidR="00A773EB">
          <w:t xml:space="preserve">again it is assumed that </w:t>
        </w:r>
      </w:ins>
      <w:r w:rsidR="00F2589E">
        <w:t xml:space="preserve">no IPD </w:t>
      </w:r>
      <w:del w:id="181" w:author="Matt" w:date="2013-12-28T13:21:00Z">
        <w:r w:rsidR="00F2589E" w:rsidDel="00A773EB">
          <w:delText xml:space="preserve">is </w:delText>
        </w:r>
      </w:del>
      <w:ins w:id="182" w:author="Matt" w:date="2013-12-28T13:21:00Z">
        <w:r w:rsidR="00A773EB">
          <w:t xml:space="preserve">are </w:t>
        </w:r>
      </w:ins>
      <w:r w:rsidR="00F2589E">
        <w:t xml:space="preserve">available against which the results can be compared. </w:t>
      </w:r>
      <w:commentRangeEnd w:id="178"/>
      <w:r w:rsidR="006C42F2">
        <w:rPr>
          <w:rStyle w:val="CommentReference"/>
        </w:rPr>
        <w:commentReference w:id="178"/>
      </w:r>
      <w:r w:rsidR="00F2589E">
        <w:t xml:space="preserve">The </w:t>
      </w:r>
      <w:r w:rsidR="00F2589E">
        <w:lastRenderedPageBreak/>
        <w:t xml:space="preserve">results of this additional analysis are shown in </w:t>
      </w:r>
      <w:r w:rsidR="0008305F">
        <w:t>Figure 6</w:t>
      </w:r>
      <w:r w:rsidR="00F2589E">
        <w:t xml:space="preserve">. </w:t>
      </w:r>
      <w:r w:rsidR="0008305F">
        <w:t>Figure 6</w:t>
      </w:r>
      <w:r w:rsidR="008E5FD4">
        <w:t xml:space="preserve">a indicates that, unlike the results shown in </w:t>
      </w:r>
      <w:r w:rsidR="0008305F">
        <w:t xml:space="preserve">Figure </w:t>
      </w:r>
      <w:r w:rsidR="00B04290">
        <w:t>3</w:t>
      </w:r>
      <w:r w:rsidR="008E5FD4">
        <w:t>, the densities of the independently sampled estimates of U</w:t>
      </w:r>
      <w:r w:rsidR="008E5FD4" w:rsidRPr="0008305F">
        <w:rPr>
          <w:vertAlign w:val="subscript"/>
        </w:rPr>
        <w:t>2</w:t>
      </w:r>
      <w:r w:rsidR="008E5FD4">
        <w:t xml:space="preserve"> and the estimates of U</w:t>
      </w:r>
      <w:r w:rsidR="008E5FD4" w:rsidRPr="0008305F">
        <w:rPr>
          <w:vertAlign w:val="subscript"/>
        </w:rPr>
        <w:t>2</w:t>
      </w:r>
      <w:r w:rsidR="008E5FD4">
        <w:t xml:space="preserve"> created using the difference method, labelled </w:t>
      </w:r>
      <w:r w:rsidR="008E5FD4" w:rsidRPr="003C7C25">
        <w:rPr>
          <w:i/>
          <w:rPrChange w:id="183" w:author="Jon Minton" w:date="2014-02-06T21:03:00Z">
            <w:rPr/>
          </w:rPrChange>
        </w:rPr>
        <w:t>U</w:t>
      </w:r>
      <w:r w:rsidR="008E5FD4" w:rsidRPr="0008305F">
        <w:rPr>
          <w:vertAlign w:val="subscript"/>
        </w:rPr>
        <w:t>2</w:t>
      </w:r>
      <w:r w:rsidR="008E5FD4">
        <w:t xml:space="preserve">*, are no longer very similar. Instead the distribution of </w:t>
      </w:r>
      <w:r w:rsidR="008E5FD4" w:rsidRPr="003C7C25">
        <w:rPr>
          <w:i/>
          <w:rPrChange w:id="184" w:author="Jon Minton" w:date="2014-02-06T21:03:00Z">
            <w:rPr/>
          </w:rPrChange>
        </w:rPr>
        <w:t>U</w:t>
      </w:r>
      <w:r w:rsidR="008E5FD4" w:rsidRPr="0008305F">
        <w:rPr>
          <w:vertAlign w:val="subscript"/>
        </w:rPr>
        <w:t>2</w:t>
      </w:r>
      <w:r w:rsidR="008E5FD4">
        <w:t xml:space="preserve">* is wider than of </w:t>
      </w:r>
      <w:commentRangeStart w:id="185"/>
      <w:r w:rsidR="008E5FD4" w:rsidRPr="003C7C25">
        <w:rPr>
          <w:i/>
          <w:rPrChange w:id="186" w:author="Jon Minton" w:date="2014-02-06T21:03:00Z">
            <w:rPr/>
          </w:rPrChange>
        </w:rPr>
        <w:t>U</w:t>
      </w:r>
      <w:r w:rsidR="008E5FD4" w:rsidRPr="0008305F">
        <w:rPr>
          <w:vertAlign w:val="subscript"/>
        </w:rPr>
        <w:t>2</w:t>
      </w:r>
      <w:commentRangeEnd w:id="185"/>
      <w:r w:rsidR="00A773EB">
        <w:rPr>
          <w:rStyle w:val="CommentReference"/>
        </w:rPr>
        <w:commentReference w:id="185"/>
      </w:r>
      <w:r w:rsidR="008E5FD4">
        <w:t xml:space="preserve">. </w:t>
      </w:r>
    </w:p>
    <w:p w:rsidR="006B36D8" w:rsidRDefault="0008305F" w:rsidP="00F2589E">
      <w:pPr>
        <w:keepNext/>
        <w:spacing w:line="480" w:lineRule="auto"/>
      </w:pPr>
      <w:r>
        <w:t>Figure 6</w:t>
      </w:r>
      <w:r w:rsidR="008E5FD4">
        <w:t xml:space="preserve">b shows the scatterplot produced by the first variation of the covariance methods, method </w:t>
      </w:r>
      <w:r>
        <w:t>eight</w:t>
      </w:r>
      <w:r w:rsidR="008E5FD4">
        <w:t xml:space="preserve">. The distribution of scatter over this bivariate surface is narrow, and is unlike any of the subfigures in </w:t>
      </w:r>
      <w:r>
        <w:t>Figure 4</w:t>
      </w:r>
      <w:r w:rsidR="008E5FD4">
        <w:t xml:space="preserve"> in that it does not run parallel to the diagonal line indicating parity. </w:t>
      </w:r>
      <w:r w:rsidR="006B36D8">
        <w:t xml:space="preserve">Instead, there is greater variation along the </w:t>
      </w:r>
      <w:r>
        <w:t>U</w:t>
      </w:r>
      <w:r w:rsidR="006B36D8" w:rsidRPr="0008305F">
        <w:rPr>
          <w:vertAlign w:val="subscript"/>
        </w:rPr>
        <w:t>2</w:t>
      </w:r>
      <w:r w:rsidR="006B36D8">
        <w:t xml:space="preserve"> axis than the </w:t>
      </w:r>
      <w:r>
        <w:t>U</w:t>
      </w:r>
      <w:r w:rsidR="006B36D8" w:rsidRPr="0008305F">
        <w:rPr>
          <w:vertAlign w:val="subscript"/>
        </w:rPr>
        <w:t>1</w:t>
      </w:r>
      <w:r w:rsidR="006B36D8">
        <w:t xml:space="preserve"> axis, as should be expected given that </w:t>
      </w:r>
      <w:r>
        <w:t>U</w:t>
      </w:r>
      <w:r w:rsidRPr="0008305F">
        <w:rPr>
          <w:vertAlign w:val="subscript"/>
        </w:rPr>
        <w:t>2</w:t>
      </w:r>
      <w:r w:rsidR="006B36D8">
        <w:t xml:space="preserve"> has a greater standard error in this example. </w:t>
      </w:r>
      <w:r>
        <w:t>Figure 6</w:t>
      </w:r>
      <w:r w:rsidR="006B36D8">
        <w:t xml:space="preserve">c show the equivalent results for the other variation of the covariance method, method </w:t>
      </w:r>
      <w:r>
        <w:t>nine</w:t>
      </w:r>
      <w:r w:rsidR="006B36D8">
        <w:t xml:space="preserve">. This is similar to the scatterplot for method </w:t>
      </w:r>
      <w:r>
        <w:t>eight</w:t>
      </w:r>
      <w:r w:rsidR="006B36D8">
        <w:t>, but appears slightly narrower. It also has at least one point which is above the diagonal line, indicating that this method has violated the monotonicity assumption</w:t>
      </w:r>
      <w:del w:id="187" w:author="Matt" w:date="2013-12-28T13:24:00Z">
        <w:r w:rsidR="006B36D8" w:rsidDel="00A773EB">
          <w:delText xml:space="preserve"> in this example</w:delText>
        </w:r>
      </w:del>
      <w:r w:rsidR="006B36D8">
        <w:t xml:space="preserve">. </w:t>
      </w:r>
    </w:p>
    <w:p w:rsidR="008E5FD4" w:rsidRDefault="006B36D8" w:rsidP="00F2589E">
      <w:pPr>
        <w:keepNext/>
        <w:spacing w:line="480" w:lineRule="auto"/>
      </w:pPr>
      <w:r>
        <w:t xml:space="preserve">The scatterplot for method </w:t>
      </w:r>
      <w:r w:rsidR="0008305F">
        <w:t>ten</w:t>
      </w:r>
      <w:r>
        <w:t xml:space="preserve"> is shown in </w:t>
      </w:r>
      <w:r w:rsidR="0008305F">
        <w:t>Figure 6</w:t>
      </w:r>
      <w:r>
        <w:t>d. The pattern of scatter appears</w:t>
      </w:r>
      <w:r w:rsidR="00BC5A21">
        <w:t xml:space="preserve"> slightly asymmetrical, and to </w:t>
      </w:r>
      <w:r>
        <w:t xml:space="preserve">vary more along the </w:t>
      </w:r>
      <w:r w:rsidR="0008305F">
        <w:t>U</w:t>
      </w:r>
      <w:r w:rsidR="0008305F" w:rsidRPr="00A773EB">
        <w:rPr>
          <w:vertAlign w:val="subscript"/>
          <w:rPrChange w:id="188" w:author="Matt" w:date="2013-12-28T13:24:00Z">
            <w:rPr/>
          </w:rPrChange>
        </w:rPr>
        <w:t>1</w:t>
      </w:r>
      <w:r>
        <w:t xml:space="preserve"> dimension for smaller values of </w:t>
      </w:r>
      <w:r w:rsidR="0008305F">
        <w:t>U</w:t>
      </w:r>
      <w:r w:rsidR="0008305F" w:rsidRPr="00A773EB">
        <w:rPr>
          <w:vertAlign w:val="subscript"/>
          <w:rPrChange w:id="189" w:author="Matt" w:date="2013-12-28T13:24:00Z">
            <w:rPr/>
          </w:rPrChange>
        </w:rPr>
        <w:t>2</w:t>
      </w:r>
      <w:r>
        <w:t>. No obvious discontinuities are introduced, and no violation of the monotonicity assumption can occur.</w:t>
      </w:r>
      <w:r w:rsidR="008E5FD4">
        <w:t xml:space="preserve"> </w:t>
      </w:r>
    </w:p>
    <w:p w:rsidR="00F2589E" w:rsidRPr="00F2589E" w:rsidRDefault="00274456" w:rsidP="00274456">
      <w:pPr>
        <w:jc w:val="center"/>
      </w:pPr>
      <w:r>
        <w:t>[Figure 6 about here]</w:t>
      </w:r>
    </w:p>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w:t>
      </w:r>
      <w:commentRangeStart w:id="190"/>
      <w:r>
        <w:t xml:space="preserve"> It confirmed that independent sampling is liable to produce violations of the monotonicity assumption</w:t>
      </w:r>
      <w:commentRangeEnd w:id="190"/>
      <w:r w:rsidR="006C42F2">
        <w:rPr>
          <w:rStyle w:val="CommentReference"/>
        </w:rPr>
        <w:commentReference w:id="190"/>
      </w:r>
      <w:r>
        <w:t xml:space="preserve">, and </w:t>
      </w:r>
      <w:commentRangeStart w:id="191"/>
      <w:r>
        <w:t>so should not be adopted where it is important to incorporate this assumption within the PSA</w:t>
      </w:r>
      <w:commentRangeEnd w:id="191"/>
      <w:r w:rsidR="006C42F2">
        <w:rPr>
          <w:rStyle w:val="CommentReference"/>
        </w:rPr>
        <w:commentReference w:id="191"/>
      </w:r>
      <w:r>
        <w:t xml:space="preserve">. It also found that a number of other commonly used methods for </w:t>
      </w:r>
      <w:r w:rsidR="009F309A">
        <w:t xml:space="preserve">incorporating the monotonicity can effectively discard or misrepresent an important form of uncertainty: i.e. uncertainty about the </w:t>
      </w:r>
      <w:r w:rsidR="009F309A">
        <w:lastRenderedPageBreak/>
        <w:t xml:space="preserve">difference between </w:t>
      </w:r>
      <w:ins w:id="192" w:author="Kate Ren" w:date="2013-12-19T13:29:00Z">
        <w:r w:rsidR="008F6265">
          <w:t>U</w:t>
        </w:r>
        <w:r w:rsidR="008F6265" w:rsidRPr="0008305F">
          <w:rPr>
            <w:vertAlign w:val="subscript"/>
          </w:rPr>
          <w:t>1</w:t>
        </w:r>
      </w:ins>
      <w:del w:id="193" w:author="Kate Ren" w:date="2013-12-19T13:29:00Z">
        <w:r w:rsidR="009F309A" w:rsidDel="008F6265">
          <w:delText>U1</w:delText>
        </w:r>
      </w:del>
      <w:r w:rsidR="009F309A">
        <w:t xml:space="preserve"> and </w:t>
      </w:r>
      <w:proofErr w:type="gramStart"/>
      <w:ins w:id="194" w:author="Kate Ren" w:date="2013-12-19T13:29:00Z">
        <w:r w:rsidR="008F6265">
          <w:t>U</w:t>
        </w:r>
        <w:r w:rsidR="008F6265" w:rsidRPr="0008305F">
          <w:rPr>
            <w:vertAlign w:val="subscript"/>
          </w:rPr>
          <w:t>2</w:t>
        </w:r>
        <w:r w:rsidR="008F6265">
          <w:t xml:space="preserve"> </w:t>
        </w:r>
      </w:ins>
      <w:proofErr w:type="gramEnd"/>
      <w:del w:id="195" w:author="Kate Ren" w:date="2013-12-19T13:29:00Z">
        <w:r w:rsidR="009F309A" w:rsidDel="008F6265">
          <w:delText>U2</w:delText>
        </w:r>
      </w:del>
      <w:r w:rsidR="009F309A">
        <w:t xml:space="preserve">. </w:t>
      </w:r>
      <w:r w:rsidR="002F55D5">
        <w:t xml:space="preserve">Methods </w:t>
      </w:r>
      <w:del w:id="196" w:author="User" w:date="2014-01-28T16:15:00Z">
        <w:r w:rsidR="002F55D5" w:rsidDel="006C42F2">
          <w:delText>three</w:delText>
        </w:r>
        <w:r w:rsidR="009F309A" w:rsidDel="006C42F2">
          <w:delText xml:space="preserve">, </w:delText>
        </w:r>
        <w:r w:rsidR="002F55D5" w:rsidDel="006C42F2">
          <w:delText>four</w:delText>
        </w:r>
        <w:r w:rsidR="009F309A" w:rsidDel="006C42F2">
          <w:delText xml:space="preserve">, </w:delText>
        </w:r>
        <w:r w:rsidR="002F55D5" w:rsidDel="006C42F2">
          <w:delText>five</w:delText>
        </w:r>
        <w:r w:rsidR="009F309A" w:rsidDel="006C42F2">
          <w:delText xml:space="preserve">, </w:delText>
        </w:r>
        <w:r w:rsidR="002F55D5" w:rsidDel="006C42F2">
          <w:delText>and six</w:delText>
        </w:r>
      </w:del>
      <w:ins w:id="197" w:author="User" w:date="2014-01-28T16:15:00Z">
        <w:r w:rsidR="006C42F2">
          <w:t>using resampling or replacement(3-6)</w:t>
        </w:r>
      </w:ins>
      <w:r w:rsidR="009F309A">
        <w:t xml:space="preserve"> introduce implausible discontinuities into the distribution of differences between values</w:t>
      </w:r>
      <w:ins w:id="198" w:author="User" w:date="2014-01-28T16:16:00Z">
        <w:r w:rsidR="006C42F2">
          <w:t xml:space="preserve"> (the inter-distribution?)</w:t>
        </w:r>
      </w:ins>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r w:rsidR="00401F39">
        <w:fldChar w:fldCharType="begin"/>
      </w:r>
      <w:r w:rsidR="00401F39">
        <w:instrText xml:space="preserve"> REF _Ref340241271 \h  \* MERGEFORMAT </w:instrText>
      </w:r>
      <w:r w:rsidR="00401F39">
        <w:fldChar w:fldCharType="separate"/>
      </w:r>
      <w:r w:rsidR="004D3A56">
        <w:t>Figure 4</w:t>
      </w:r>
      <w:r w:rsidR="00401F39">
        <w:fldChar w:fldCharType="end"/>
      </w:r>
      <w:r>
        <w:t xml:space="preserve">c, only methods eight, nine and ten appeared to </w:t>
      </w:r>
      <w:r w:rsidR="009D6FBB">
        <w:t xml:space="preserve">be </w:t>
      </w:r>
      <w:r>
        <w:t xml:space="preserve">broadly appropriate </w:t>
      </w:r>
      <w:r w:rsidR="009D6FBB">
        <w:t xml:space="preserve">in </w:t>
      </w:r>
      <w:r>
        <w:t xml:space="preserve">their representation of both intra-distribution uncertainty </w:t>
      </w:r>
      <w:del w:id="199" w:author="User" w:date="2014-01-28T16:15:00Z">
        <w:r w:rsidDel="006C42F2">
          <w:delText>(</w:delText>
        </w:r>
      </w:del>
      <w:ins w:id="200" w:author="Kate Ren" w:date="2013-12-19T13:29:00Z">
        <w:del w:id="201" w:author="User" w:date="2014-01-28T16:15:00Z">
          <w:r w:rsidR="008F6265" w:rsidDel="006C42F2">
            <w:delText>U</w:delText>
          </w:r>
          <w:r w:rsidR="008F6265" w:rsidRPr="0008305F" w:rsidDel="006C42F2">
            <w:rPr>
              <w:vertAlign w:val="subscript"/>
            </w:rPr>
            <w:delText>1</w:delText>
          </w:r>
        </w:del>
      </w:ins>
      <w:del w:id="202" w:author="User" w:date="2014-01-28T16:15:00Z">
        <w:r w:rsidDel="006C42F2">
          <w:delText xml:space="preserve">U1, </w:delText>
        </w:r>
      </w:del>
      <w:ins w:id="203" w:author="Kate Ren" w:date="2013-12-19T13:29:00Z">
        <w:del w:id="204" w:author="User" w:date="2014-01-28T16:15:00Z">
          <w:r w:rsidR="008F6265" w:rsidDel="006C42F2">
            <w:delText>U</w:delText>
          </w:r>
          <w:r w:rsidR="008F6265" w:rsidRPr="0008305F" w:rsidDel="006C42F2">
            <w:rPr>
              <w:vertAlign w:val="subscript"/>
            </w:rPr>
            <w:delText>2</w:delText>
          </w:r>
        </w:del>
      </w:ins>
      <w:del w:id="205" w:author="User" w:date="2014-01-28T16:15:00Z">
        <w:r w:rsidDel="006C42F2">
          <w:delText xml:space="preserve">U2) </w:delText>
        </w:r>
      </w:del>
      <w:r>
        <w:t xml:space="preserve">and inter-distribution </w:t>
      </w:r>
      <w:del w:id="206" w:author="User" w:date="2014-01-28T16:15:00Z">
        <w:r w:rsidDel="006C42F2">
          <w:delText>uncertainty (</w:delText>
        </w:r>
      </w:del>
      <w:ins w:id="207" w:author="Kate Ren" w:date="2013-12-19T13:29:00Z">
        <w:del w:id="208" w:author="User" w:date="2014-01-28T16:15:00Z">
          <w:r w:rsidR="008F6265" w:rsidDel="006C42F2">
            <w:delText>U</w:delText>
          </w:r>
          <w:r w:rsidR="008F6265" w:rsidRPr="0008305F" w:rsidDel="006C42F2">
            <w:rPr>
              <w:vertAlign w:val="subscript"/>
            </w:rPr>
            <w:delText>2</w:delText>
          </w:r>
        </w:del>
      </w:ins>
      <w:del w:id="209" w:author="User" w:date="2014-01-28T16:15:00Z">
        <w:r w:rsidDel="006C42F2">
          <w:delText xml:space="preserve">U2 – </w:delText>
        </w:r>
      </w:del>
      <w:ins w:id="210" w:author="Kate Ren" w:date="2013-12-19T13:29:00Z">
        <w:del w:id="211" w:author="User" w:date="2014-01-28T16:15:00Z">
          <w:r w:rsidR="008F6265" w:rsidDel="006C42F2">
            <w:delText>U</w:delText>
          </w:r>
          <w:r w:rsidR="008F6265" w:rsidRPr="0008305F" w:rsidDel="006C42F2">
            <w:rPr>
              <w:vertAlign w:val="subscript"/>
            </w:rPr>
            <w:delText>1</w:delText>
          </w:r>
        </w:del>
      </w:ins>
      <w:del w:id="212" w:author="User" w:date="2014-01-28T16:15:00Z">
        <w:r w:rsidDel="006C42F2">
          <w:delText xml:space="preserve">U1). </w:delText>
        </w:r>
      </w:del>
    </w:p>
    <w:p w:rsidR="000842E3" w:rsidRDefault="000842E3" w:rsidP="00047821">
      <w:pPr>
        <w:spacing w:line="480" w:lineRule="auto"/>
      </w:pPr>
      <w:r>
        <w:t xml:space="preserve">However, in theory the multivariate model methods (seven to nine) may all be inappropriate, because of the dependence on the covariance parameters used on the sample sizes of the training sets used to estimate them. As normal distributions are not bounded, for </w:t>
      </w:r>
      <w:del w:id="213" w:author="Matt" w:date="2013-12-28T13:24:00Z">
        <w:r w:rsidDel="00A773EB">
          <w:delText>a large enough</w:delText>
        </w:r>
      </w:del>
      <w:ins w:id="214" w:author="Matt" w:date="2013-12-28T13:24:00Z">
        <w:r w:rsidR="00A773EB">
          <w:t>infinitely sized</w:t>
        </w:r>
      </w:ins>
      <w:r>
        <w:t xml:space="preserve"> sample</w:t>
      </w:r>
      <w:ins w:id="215" w:author="Matt" w:date="2013-12-28T13:25:00Z">
        <w:r w:rsidR="00A773EB">
          <w:t>s</w:t>
        </w:r>
      </w:ins>
      <w:r>
        <w:t xml:space="preserve"> the probability that monotonicity becomes violated at least once becomes a certainty, and so the covariance parameter which implies a correlation of 1 always becomes selected. In doing this, either U</w:t>
      </w:r>
      <w:r w:rsidRPr="000842E3">
        <w:rPr>
          <w:vertAlign w:val="subscript"/>
        </w:rPr>
        <w:t>1</w:t>
      </w:r>
      <w:r>
        <w:t xml:space="preserve"> becomes an analytic derivation of U</w:t>
      </w:r>
      <w:r w:rsidRPr="000842E3">
        <w:rPr>
          <w:vertAlign w:val="subscript"/>
        </w:rPr>
        <w:t>2</w:t>
      </w:r>
      <w:r>
        <w:t xml:space="preserve"> or vice-versa. Information about the standard error of the derived paramet</w:t>
      </w:r>
      <w:r w:rsidR="00B434BD">
        <w:t>er therefore becomes disregarded</w:t>
      </w:r>
      <w:ins w:id="216" w:author="Matt" w:date="2013-12-28T13:25:00Z">
        <w:r w:rsidR="00A773EB">
          <w:t xml:space="preserve"> and one</w:t>
        </w:r>
      </w:ins>
      <w:del w:id="217" w:author="Matt" w:date="2013-12-28T13:25:00Z">
        <w:r w:rsidDel="00A773EB">
          <w:delText>.</w:delText>
        </w:r>
      </w:del>
      <w:r w:rsidR="00B434BD">
        <w:t xml:space="preserve"> </w:t>
      </w:r>
      <w:proofErr w:type="spellStart"/>
      <w:r w:rsidR="00B434BD">
        <w:t>One</w:t>
      </w:r>
      <w:proofErr w:type="spellEnd"/>
      <w:r w:rsidR="00B434BD">
        <w:t xml:space="preserve"> of the few sample summary statistics available to the modeller is therefore </w:t>
      </w:r>
      <w:ins w:id="218" w:author="Matt" w:date="2013-12-28T13:25:00Z">
        <w:r w:rsidR="00A773EB">
          <w:t>discarded</w:t>
        </w:r>
      </w:ins>
      <w:del w:id="219" w:author="Matt" w:date="2013-12-28T13:25:00Z">
        <w:r w:rsidR="00B434BD" w:rsidDel="00A773EB">
          <w:delText xml:space="preserve">‘thrown away’, and so the approach may lead to important information becoming </w:delText>
        </w:r>
        <w:commentRangeStart w:id="220"/>
        <w:r w:rsidR="00B434BD" w:rsidDel="00A773EB">
          <w:delText>ignored</w:delText>
        </w:r>
      </w:del>
      <w:commentRangeEnd w:id="220"/>
      <w:r w:rsidR="00A773EB">
        <w:rPr>
          <w:rStyle w:val="CommentReference"/>
        </w:rPr>
        <w:commentReference w:id="220"/>
      </w:r>
      <w:del w:id="221" w:author="Matt" w:date="2013-12-28T13:25:00Z">
        <w:r w:rsidR="00B434BD" w:rsidDel="00A773EB">
          <w:delText>.</w:delText>
        </w:r>
      </w:del>
      <w:r w:rsidR="00B434BD">
        <w:t xml:space="preserve"> </w:t>
      </w:r>
      <w:r>
        <w:t xml:space="preserve">  </w:t>
      </w:r>
    </w:p>
    <w:p w:rsidR="00F26302" w:rsidRDefault="009B5207" w:rsidP="00047821">
      <w:pPr>
        <w:spacing w:line="480" w:lineRule="auto"/>
      </w:pPr>
      <w:r>
        <w:t xml:space="preserve">Of the three methods that appeared appropriate, method ten has </w:t>
      </w:r>
      <w:commentRangeStart w:id="222"/>
      <w:r>
        <w:t>three</w:t>
      </w:r>
      <w:commentRangeEnd w:id="222"/>
      <w:r w:rsidR="00A773EB">
        <w:rPr>
          <w:rStyle w:val="CommentReference"/>
        </w:rPr>
        <w:commentReference w:id="222"/>
      </w:r>
      <w:r>
        <w:t xml:space="preserve"> clear advantages over methods eight and</w:t>
      </w:r>
      <w:r w:rsidR="0082301F">
        <w:t xml:space="preserve"> nine. Firstly, it uses statistical distributions (beta distributions) which are more appropriate for representing utility values than </w:t>
      </w:r>
      <w:r w:rsidR="00AB0860">
        <w:t>bivariate normal distributions</w:t>
      </w:r>
      <w:ins w:id="223" w:author="Matt" w:date="2013-12-28T13:26:00Z">
        <w:r w:rsidR="00A773EB">
          <w:t>;</w:t>
        </w:r>
      </w:ins>
      <w:r w:rsidR="00AB0860">
        <w:t xml:space="preserve"> </w:t>
      </w:r>
      <w:del w:id="224" w:author="Matt" w:date="2013-12-28T13:27:00Z">
        <w:r w:rsidR="00AB0860" w:rsidDel="00A773EB">
          <w:delText xml:space="preserve">used in methods </w:delText>
        </w:r>
        <w:r w:rsidR="0082301F" w:rsidDel="00A773EB">
          <w:delText xml:space="preserve">eight and nine. Secondly, </w:delText>
        </w:r>
      </w:del>
      <w:r w:rsidR="0082301F">
        <w:t xml:space="preserve">it is </w:t>
      </w:r>
      <w:proofErr w:type="spellStart"/>
      <w:ins w:id="225" w:author="Matt" w:date="2013-12-28T13:27:00Z">
        <w:r w:rsidR="00A773EB">
          <w:t>thus</w:t>
        </w:r>
      </w:ins>
      <w:r w:rsidR="0082301F">
        <w:t>analytically</w:t>
      </w:r>
      <w:proofErr w:type="spellEnd"/>
      <w:r w:rsidR="0082301F">
        <w:t xml:space="preserve"> impossible that method ten will produce any pairs of estimates which violate the monotonicity assumption</w:t>
      </w:r>
      <w:del w:id="226" w:author="Matt" w:date="2013-12-28T13:27:00Z">
        <w:r w:rsidR="0082301F" w:rsidDel="00A773EB">
          <w:delText>, whereas occasional violation is possible with estimates produced by methods eight and nine</w:delText>
        </w:r>
      </w:del>
      <w:r w:rsidR="0082301F">
        <w:t xml:space="preserve">. </w:t>
      </w:r>
      <w:del w:id="227" w:author="Matt" w:date="2013-12-28T13:27:00Z">
        <w:r w:rsidR="0082301F" w:rsidDel="00A773EB">
          <w:delText>Thirdly</w:delText>
        </w:r>
      </w:del>
      <w:ins w:id="228" w:author="Matt" w:date="2013-12-28T13:27:00Z">
        <w:r w:rsidR="00A773EB">
          <w:t>Secondly</w:t>
        </w:r>
      </w:ins>
      <w:r w:rsidR="0082301F">
        <w:t>,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 xml:space="preserve">in an automated way, and produce estimates which are affected both by simulation uncertainty and the size of the training </w:t>
      </w:r>
      <w:r w:rsidR="008F57EA">
        <w:lastRenderedPageBreak/>
        <w:t>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w:t>
      </w:r>
      <w:r w:rsidR="00CD1CDA">
        <w:t xml:space="preserve">which is available to download from the Health Economics and Decision </w:t>
      </w:r>
      <w:commentRangeStart w:id="229"/>
      <w:r w:rsidR="00CD1CDA">
        <w:t>Sciences</w:t>
      </w:r>
      <w:commentRangeEnd w:id="229"/>
      <w:r w:rsidR="006C42F2">
        <w:rPr>
          <w:rStyle w:val="CommentReference"/>
        </w:rPr>
        <w:commentReference w:id="229"/>
      </w:r>
      <w:r w:rsidR="00CD1CDA">
        <w:t xml:space="preserve"> (HEDS) </w:t>
      </w:r>
      <w:commentRangeStart w:id="230"/>
      <w:r w:rsidR="00CD1CDA">
        <w:t>website</w:t>
      </w:r>
      <w:commentRangeEnd w:id="230"/>
      <w:r w:rsidR="00A773EB">
        <w:rPr>
          <w:rStyle w:val="CommentReference"/>
        </w:rPr>
        <w:commentReference w:id="230"/>
      </w:r>
      <w:r w:rsidR="00CD1CDA">
        <w:t xml:space="preserve">, </w:t>
      </w:r>
      <w:r w:rsidR="008F57EA">
        <w:t xml:space="preserve">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t>
      </w:r>
      <w:del w:id="231" w:author="Matt" w:date="2013-12-28T13:27:00Z">
        <w:r w:rsidDel="00A773EB">
          <w:delText xml:space="preserve">will </w:delText>
        </w:r>
      </w:del>
      <w:r>
        <w:t>describe</w:t>
      </w:r>
      <w:ins w:id="232" w:author="Matt" w:date="2013-12-28T13:27:00Z">
        <w:r w:rsidR="00A773EB">
          <w:t>s</w:t>
        </w:r>
      </w:ins>
      <w:r>
        <w:t xml:space="preserve"> limitations with the current analysis. Th</w:t>
      </w:r>
      <w:ins w:id="233" w:author="Matt" w:date="2013-12-28T13:27:00Z">
        <w:r w:rsidR="00A773EB">
          <w:t>e</w:t>
        </w:r>
      </w:ins>
      <w:del w:id="234" w:author="Matt" w:date="2013-12-28T13:27:00Z">
        <w:r w:rsidDel="00A773EB">
          <w:delText>i</w:delText>
        </w:r>
      </w:del>
      <w:r>
        <w:t>s</w:t>
      </w:r>
      <w:ins w:id="235" w:author="Matt" w:date="2013-12-28T13:27:00Z">
        <w:r w:rsidR="00A773EB">
          <w:t>e</w:t>
        </w:r>
      </w:ins>
      <w:r>
        <w:t xml:space="preserve"> include</w:t>
      </w:r>
      <w:del w:id="236" w:author="Matt" w:date="2013-12-28T13:28:00Z">
        <w:r w:rsidDel="00A773EB">
          <w:delText>s</w:delText>
        </w:r>
      </w:del>
      <w:r>
        <w:t xml:space="preserve">: not </w:t>
      </w:r>
      <w:r w:rsidR="00631984">
        <w:t xml:space="preserve">looking at results for a range of hypothetical datasets; not presenting a hypothetical example with three or more </w:t>
      </w:r>
      <w:commentRangeStart w:id="237"/>
      <w:r w:rsidR="00631984">
        <w:t>states</w:t>
      </w:r>
      <w:commentRangeEnd w:id="237"/>
      <w:r w:rsidR="006C42F2">
        <w:rPr>
          <w:rStyle w:val="CommentReference"/>
        </w:rPr>
        <w:commentReference w:id="237"/>
      </w:r>
      <w:r w:rsidR="00631984">
        <w:t xml:space="preserve">; not </w:t>
      </w:r>
      <w:r w:rsidR="008C6930">
        <w:t xml:space="preserve">investigating </w:t>
      </w:r>
      <w:r w:rsidR="003D49B8">
        <w:t xml:space="preserve">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xml:space="preserve">. Each of these limitations </w:t>
      </w:r>
      <w:del w:id="238" w:author="Matt" w:date="2013-12-28T13:28:00Z">
        <w:r w:rsidR="00631984" w:rsidDel="00A773EB">
          <w:delText>will be</w:delText>
        </w:r>
      </w:del>
      <w:ins w:id="239" w:author="Matt" w:date="2013-12-28T13:28:00Z">
        <w:r w:rsidR="00A773EB">
          <w:t>is</w:t>
        </w:r>
      </w:ins>
      <w:r w:rsidR="00631984">
        <w:t xml:space="preserv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w:t>
      </w:r>
      <w:commentRangeStart w:id="240"/>
      <w:r w:rsidR="004155F1">
        <w:t xml:space="preserve">a range of different hypothetical datasets </w:t>
      </w:r>
      <w:commentRangeEnd w:id="240"/>
      <w:r w:rsidR="006C42F2">
        <w:rPr>
          <w:rStyle w:val="CommentReference"/>
        </w:rPr>
        <w:commentReference w:id="240"/>
      </w:r>
      <w:r w:rsidR="004155F1">
        <w:t xml:space="preserve">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w:t>
      </w:r>
      <w:ins w:id="241" w:author="Kate Ren" w:date="2013-12-19T13:31:00Z">
        <w:r w:rsidR="008F6265">
          <w:t>U</w:t>
        </w:r>
        <w:r w:rsidR="008F6265">
          <w:rPr>
            <w:vertAlign w:val="subscript"/>
          </w:rPr>
          <w:t>1</w:t>
        </w:r>
      </w:ins>
      <w:del w:id="242" w:author="Kate Ren" w:date="2013-12-19T13:31:00Z">
        <w:r w:rsidR="004155F1" w:rsidDel="008F6265">
          <w:delText>U1</w:delText>
        </w:r>
      </w:del>
      <w:r w:rsidR="004155F1">
        <w:t xml:space="preserve"> and the standard error of </w:t>
      </w:r>
      <w:ins w:id="243" w:author="Kate Ren" w:date="2013-12-19T13:31:00Z">
        <w:r w:rsidR="008F6265">
          <w:t>U</w:t>
        </w:r>
        <w:r w:rsidR="008F6265" w:rsidRPr="0008305F">
          <w:rPr>
            <w:vertAlign w:val="subscript"/>
          </w:rPr>
          <w:t>2</w:t>
        </w:r>
      </w:ins>
      <w:del w:id="244" w:author="Kate Ren" w:date="2013-12-19T13:31:00Z">
        <w:r w:rsidR="004155F1" w:rsidDel="008F6265">
          <w:delText>U2</w:delText>
        </w:r>
      </w:del>
      <w:r w:rsidR="004155F1">
        <w:t xml:space="preserve"> are </w:t>
      </w:r>
      <w:r w:rsidR="008F57EA">
        <w:t>similar</w:t>
      </w:r>
      <w:r w:rsidR="00B1466A">
        <w:t xml:space="preserve">, and this factor may have affected the results comparing each of the methods. </w:t>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w:t>
      </w:r>
      <w:r w:rsidRPr="00274456">
        <w:rPr>
          <w:vertAlign w:val="subscript"/>
        </w:rPr>
        <w:t>1</w:t>
      </w:r>
      <w:r>
        <w:t xml:space="preserve"> and U</w:t>
      </w:r>
      <w:r w:rsidRPr="00274456">
        <w:rPr>
          <w:vertAlign w:val="subscript"/>
        </w:rPr>
        <w:t>2</w:t>
      </w:r>
      <w:r>
        <w:t>, rather than three states such as U</w:t>
      </w:r>
      <w:r w:rsidRPr="00274456">
        <w:rPr>
          <w:vertAlign w:val="subscript"/>
        </w:rPr>
        <w:t>0</w:t>
      </w:r>
      <w:r>
        <w:t>, U</w:t>
      </w:r>
      <w:r w:rsidRPr="00274456">
        <w:rPr>
          <w:vertAlign w:val="subscript"/>
        </w:rPr>
        <w:t>1</w:t>
      </w:r>
      <w:r>
        <w:t>, and U</w:t>
      </w:r>
      <w:r w:rsidRPr="00274456">
        <w:rPr>
          <w:vertAlign w:val="subscript"/>
        </w:rPr>
        <w:t>2</w:t>
      </w:r>
      <w:r>
        <w:t xml:space="preserve">, where </w:t>
      </w:r>
      <w:r w:rsidR="00274456">
        <w:t xml:space="preserve">the monotonicity condition becomes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274456">
        <w:t xml:space="preserve">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t xml:space="preserve">. </w:t>
      </w:r>
      <w:r w:rsidR="000B14B7">
        <w:t xml:space="preserve">Introducing further states would lead to </w:t>
      </w:r>
      <w:ins w:id="245" w:author="Matt" w:date="2013-12-28T13:28:00Z">
        <w:r w:rsidR="00405516">
          <w:t xml:space="preserve">additional complexity </w:t>
        </w:r>
      </w:ins>
      <w:del w:id="246" w:author="Matt" w:date="2013-12-28T13:28:00Z">
        <w:r w:rsidR="000B14B7" w:rsidDel="00405516">
          <w:delText xml:space="preserve">complications </w:delText>
        </w:r>
      </w:del>
      <w:r w:rsidR="000B14B7">
        <w:t xml:space="preserve">for methods seven, eight and nine, for example, as we would have to </w:t>
      </w:r>
      <w:r w:rsidR="00382855">
        <w:t xml:space="preserve">estimate three </w:t>
      </w:r>
      <w:proofErr w:type="spellStart"/>
      <w:r w:rsidR="00382855">
        <w:t>covariances</w:t>
      </w:r>
      <w:proofErr w:type="spellEnd"/>
      <w:r w:rsidR="00382855">
        <w:t xml:space="preserve"> (i.e. </w:t>
      </w:r>
      <w:proofErr w:type="spellStart"/>
      <w:proofErr w:type="gramStart"/>
      <w:r w:rsidR="00382855">
        <w:t>cov</w:t>
      </w:r>
      <w:proofErr w:type="spellEnd"/>
      <w:r w:rsidR="00382855">
        <w:t>(</w:t>
      </w:r>
      <w:proofErr w:type="gramEnd"/>
      <w:r w:rsidR="00382855">
        <w:t>U</w:t>
      </w:r>
      <w:r w:rsidR="00382855" w:rsidRPr="00382855">
        <w:rPr>
          <w:vertAlign w:val="subscript"/>
        </w:rPr>
        <w:t>0</w:t>
      </w:r>
      <w:r w:rsidR="00382855">
        <w:t>, U</w:t>
      </w:r>
      <w:r w:rsidR="00382855" w:rsidRPr="00382855">
        <w:rPr>
          <w:vertAlign w:val="subscript"/>
        </w:rPr>
        <w:t>2</w:t>
      </w:r>
      <w:r w:rsidR="00382855">
        <w:t xml:space="preserve">), </w:t>
      </w:r>
      <w:proofErr w:type="spellStart"/>
      <w:r w:rsidR="00382855">
        <w:t>cov</w:t>
      </w:r>
      <w:proofErr w:type="spellEnd"/>
      <w:r w:rsidR="00382855">
        <w:t>(U</w:t>
      </w:r>
      <w:r w:rsidR="00382855" w:rsidRPr="00382855">
        <w:rPr>
          <w:vertAlign w:val="subscript"/>
        </w:rPr>
        <w:t>0</w:t>
      </w:r>
      <w:r w:rsidR="00382855">
        <w:t>, U</w:t>
      </w:r>
      <w:r w:rsidR="00382855" w:rsidRPr="00382855">
        <w:rPr>
          <w:vertAlign w:val="subscript"/>
        </w:rPr>
        <w:t>1</w:t>
      </w:r>
      <w:r w:rsidR="00382855">
        <w:t xml:space="preserve">) and </w:t>
      </w:r>
      <w:proofErr w:type="spellStart"/>
      <w:r w:rsidR="00382855">
        <w:t>cov</w:t>
      </w:r>
      <w:proofErr w:type="spellEnd"/>
      <w:r w:rsidR="00382855">
        <w:t>(U</w:t>
      </w:r>
      <w:r w:rsidR="00382855" w:rsidRPr="00382855">
        <w:rPr>
          <w:vertAlign w:val="subscript"/>
        </w:rPr>
        <w:t>1</w:t>
      </w:r>
      <w:r w:rsidR="00382855">
        <w:t>,U</w:t>
      </w:r>
      <w:r w:rsidR="00382855" w:rsidRPr="00382855">
        <w:rPr>
          <w:vertAlign w:val="subscript"/>
        </w:rPr>
        <w:t>2</w:t>
      </w:r>
      <w:r w:rsidR="00382855">
        <w:t>) ) rather than just one</w:t>
      </w:r>
      <w:r w:rsidR="000B14B7">
        <w:t>.</w:t>
      </w:r>
      <w:r w:rsidR="005C4B18">
        <w:t xml:space="preserve"> This provides further justification for </w:t>
      </w:r>
      <w:r w:rsidR="00382855">
        <w:t xml:space="preserve">favouring </w:t>
      </w:r>
      <w:r w:rsidR="005C4B18">
        <w:t>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w:t>
      </w:r>
      <w:r w:rsidR="000B14B7">
        <w:lastRenderedPageBreak/>
        <w:t xml:space="preserve">and so we should expect the covariance selected to depend partly on the size of the training sample used. </w:t>
      </w:r>
    </w:p>
    <w:p w:rsidR="00017FFA" w:rsidRDefault="00017FFA" w:rsidP="00047821">
      <w:pPr>
        <w:spacing w:line="480" w:lineRule="auto"/>
      </w:pPr>
      <w:r>
        <w:t xml:space="preserve">The final limitation </w:t>
      </w:r>
      <w:del w:id="247" w:author="Matt" w:date="2013-12-28T13:28:00Z">
        <w:r w:rsidDel="00405516">
          <w:delText>is relatively simple to address. Because</w:delText>
        </w:r>
      </w:del>
      <w:ins w:id="248" w:author="Matt" w:date="2013-12-28T13:28:00Z">
        <w:r w:rsidR="00405516">
          <w:t>relates to the existence of</w:t>
        </w:r>
      </w:ins>
      <w:r>
        <w:t xml:space="preserve"> worse-than-death health states exist </w:t>
      </w:r>
      <w:del w:id="249" w:author="Matt" w:date="2013-12-28T13:29:00Z">
        <w:r w:rsidDel="00405516">
          <w:delText>and are evaluated in some economic evaluations,</w:delText>
        </w:r>
      </w:del>
      <w:ins w:id="250" w:author="Matt" w:date="2013-12-28T13:29:00Z">
        <w:r w:rsidR="00405516">
          <w:t>where negative values are recorded and where</w:t>
        </w:r>
      </w:ins>
      <w:r>
        <w:t xml:space="preserve"> it </w:t>
      </w:r>
      <w:del w:id="251" w:author="Matt" w:date="2013-12-28T13:29:00Z">
        <w:r w:rsidDel="00917E7B">
          <w:delText xml:space="preserve">may </w:delText>
        </w:r>
      </w:del>
      <w:ins w:id="252" w:author="Matt" w:date="2013-12-28T13:29:00Z">
        <w:r w:rsidR="00917E7B">
          <w:t xml:space="preserve">would </w:t>
        </w:r>
      </w:ins>
      <w:r>
        <w:t xml:space="preserve">be inappropriate to use </w:t>
      </w:r>
      <w:del w:id="253" w:author="Matt" w:date="2013-12-28T13:29:00Z">
        <w:r w:rsidDel="00917E7B">
          <w:delText xml:space="preserve">estimates directly from a </w:delText>
        </w:r>
      </w:del>
      <w:r>
        <w:t>Beta distribution</w:t>
      </w:r>
      <w:ins w:id="254" w:author="Matt" w:date="2013-12-28T13:29:00Z">
        <w:r w:rsidR="00917E7B">
          <w:t>s</w:t>
        </w:r>
      </w:ins>
      <w:r>
        <w:t xml:space="preserve"> </w:t>
      </w:r>
      <w:del w:id="255" w:author="Matt" w:date="2013-12-28T13:29:00Z">
        <w:r w:rsidDel="00917E7B">
          <w:delText xml:space="preserve">which is </w:delText>
        </w:r>
      </w:del>
      <w:r>
        <w:t>bounded within the range 0 to 1. This problem could be addressed by rescaling the output from the Beta distributions from the range 0 to 1 to the ra</w:t>
      </w:r>
      <w:r w:rsidR="00103ED7">
        <w:t xml:space="preserve">nge -0.594 to 1, for example, if representing </w:t>
      </w:r>
      <w:del w:id="256" w:author="Jon Minton" w:date="2014-02-06T21:05:00Z">
        <w:r w:rsidR="00CA7F55" w:rsidDel="003C7C25">
          <w:delText>HRQL</w:delText>
        </w:r>
      </w:del>
      <w:ins w:id="257" w:author="Jon Minton" w:date="2014-02-06T21:05:00Z">
        <w:r w:rsidR="003C7C25">
          <w:t>HRQOLHRQOL</w:t>
        </w:r>
      </w:ins>
      <w:r w:rsidR="00103ED7">
        <w:t xml:space="preserve"> scores using the </w:t>
      </w:r>
      <w:proofErr w:type="spellStart"/>
      <w:r w:rsidR="00103ED7">
        <w:t>EuroQol</w:t>
      </w:r>
      <w:proofErr w:type="spellEnd"/>
      <w:r w:rsidR="00103ED7">
        <w:t xml:space="preserve"> Quality of Life (EQ-5D) scale.</w:t>
      </w:r>
      <w:r w:rsidR="0038052F">
        <w:t xml:space="preserve"> </w:t>
      </w:r>
      <w:r w:rsidR="00A000CA">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A000CA">
        <w:fldChar w:fldCharType="separate"/>
      </w:r>
      <w:r w:rsidR="0038052F" w:rsidRPr="0038052F">
        <w:rPr>
          <w:noProof/>
        </w:rPr>
        <w:t>(5,6)</w:t>
      </w:r>
      <w:r w:rsidR="00A000CA">
        <w:fldChar w:fldCharType="end"/>
      </w:r>
      <w:r>
        <w:t xml:space="preserve"> </w:t>
      </w:r>
    </w:p>
    <w:p w:rsidR="00430AB7" w:rsidRDefault="00430AB7" w:rsidP="00D210AA">
      <w:pPr>
        <w:pStyle w:val="Heading2"/>
      </w:pPr>
      <w:r>
        <w:t>Implications for Research</w:t>
      </w:r>
      <w:r w:rsidR="00FB0CE9">
        <w:t xml:space="preserve"> and </w:t>
      </w:r>
      <w:commentRangeStart w:id="258"/>
      <w:r w:rsidR="00FB0CE9">
        <w:t>Practice</w:t>
      </w:r>
      <w:commentRangeEnd w:id="258"/>
      <w:r w:rsidR="006C42F2">
        <w:rPr>
          <w:rStyle w:val="CommentReference"/>
          <w:rFonts w:asciiTheme="minorHAnsi" w:eastAsiaTheme="minorEastAsia" w:hAnsiTheme="minorHAnsi" w:cstheme="minorBidi"/>
          <w:b w:val="0"/>
          <w:bCs w:val="0"/>
          <w:color w:val="auto"/>
        </w:rPr>
        <w:commentReference w:id="258"/>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w:t>
      </w:r>
      <w:del w:id="259" w:author="Matt" w:date="2013-12-28T13:30:00Z">
        <w:r w:rsidR="00485010" w:rsidDel="00917E7B">
          <w:delText xml:space="preserve">happened to </w:delText>
        </w:r>
      </w:del>
      <w:r w:rsidR="00485010">
        <w:t>report</w:t>
      </w:r>
      <w:ins w:id="260" w:author="Matt" w:date="2013-12-28T13:30:00Z">
        <w:r w:rsidR="00917E7B">
          <w:t>ed</w:t>
        </w:r>
      </w:ins>
      <w:r w:rsidR="00485010">
        <w:t xml:space="preserve"> a higher </w:t>
      </w:r>
      <w:del w:id="261" w:author="Kate Ren" w:date="2013-12-19T13:33:00Z">
        <w:r w:rsidR="00485010" w:rsidDel="00046E2D">
          <w:delText xml:space="preserve">HrQoL </w:delText>
        </w:r>
      </w:del>
      <w:commentRangeStart w:id="262"/>
      <w:proofErr w:type="spellStart"/>
      <w:ins w:id="263" w:author="Kate Ren" w:date="2013-12-19T13:33:00Z">
        <w:r w:rsidR="00046E2D">
          <w:t>HRQoL</w:t>
        </w:r>
        <w:proofErr w:type="spellEnd"/>
        <w:r w:rsidR="00046E2D">
          <w:t xml:space="preserve"> </w:t>
        </w:r>
        <w:commentRangeEnd w:id="262"/>
        <w:r w:rsidR="00046E2D">
          <w:rPr>
            <w:rStyle w:val="CommentReference"/>
          </w:rPr>
          <w:commentReference w:id="262"/>
        </w:r>
      </w:ins>
      <w:r w:rsidR="00485010">
        <w:t xml:space="preserve">score in the </w:t>
      </w:r>
      <w:del w:id="264" w:author="Matt" w:date="2013-12-28T13:30:00Z">
        <w:r w:rsidR="00485010" w:rsidDel="00917E7B">
          <w:delText xml:space="preserve">worse </w:delText>
        </w:r>
      </w:del>
      <w:ins w:id="265" w:author="Matt" w:date="2013-12-28T13:30:00Z">
        <w:r w:rsidR="00917E7B">
          <w:t xml:space="preserve">more severe </w:t>
        </w:r>
      </w:ins>
      <w:r w:rsidR="00485010">
        <w:t xml:space="preserve">state than </w:t>
      </w:r>
      <w:ins w:id="266" w:author="Matt" w:date="2013-12-28T13:30:00Z">
        <w:r w:rsidR="00917E7B">
          <w:t xml:space="preserve">in </w:t>
        </w:r>
      </w:ins>
      <w:r w:rsidR="00485010">
        <w:t xml:space="preserve">the </w:t>
      </w:r>
      <w:del w:id="267" w:author="Matt" w:date="2013-12-28T13:30:00Z">
        <w:r w:rsidR="00485010" w:rsidDel="00917E7B">
          <w:delText>bet</w:delText>
        </w:r>
        <w:r w:rsidR="00F26302" w:rsidDel="00917E7B">
          <w:delText xml:space="preserve">ter </w:delText>
        </w:r>
      </w:del>
      <w:ins w:id="268" w:author="Matt" w:date="2013-12-28T13:30:00Z">
        <w:r w:rsidR="00917E7B">
          <w:t xml:space="preserve">less severe </w:t>
        </w:r>
      </w:ins>
      <w:r w:rsidR="00F26302">
        <w:t xml:space="preserve">state. </w:t>
      </w:r>
      <w:r w:rsidR="0058112C">
        <w:t xml:space="preserve">Research could also consider the choice of statistical distribution on the results produced. </w:t>
      </w:r>
      <w:r w:rsidR="003A14BB">
        <w:t xml:space="preserve">Further research </w:t>
      </w:r>
      <w:r w:rsidR="0058112C">
        <w:t xml:space="preserve">should also consider the generalisation of these methods to three or more </w:t>
      </w:r>
      <w:ins w:id="269" w:author="Matt" w:date="2013-12-28T13:30:00Z">
        <w:r w:rsidR="00917E7B">
          <w:t xml:space="preserve">health </w:t>
        </w:r>
      </w:ins>
      <w:r w:rsidR="0058112C">
        <w:t>state</w:t>
      </w:r>
      <w:ins w:id="270" w:author="Matt" w:date="2013-12-28T13:30:00Z">
        <w:r w:rsidR="00917E7B">
          <w:t>s</w:t>
        </w:r>
      </w:ins>
      <w:r w:rsidR="0058112C">
        <w:t xml:space="preserve">. For the difference method, this can be done by using the method iteratively. </w:t>
      </w:r>
      <w:commentRangeStart w:id="271"/>
      <w:r w:rsidR="0058112C">
        <w:t xml:space="preserve">Additionally, further empirical research could be conducted to investigate the influence of the choice of method on decision uncertainty within the technology appraisal process. </w:t>
      </w:r>
      <w:commentRangeEnd w:id="271"/>
      <w:r w:rsidR="006C42F2">
        <w:rPr>
          <w:rStyle w:val="CommentReference"/>
        </w:rPr>
        <w:commentReference w:id="271"/>
      </w:r>
    </w:p>
    <w:p w:rsidR="00DA1E02" w:rsidRDefault="007E74D1" w:rsidP="00047821">
      <w:pPr>
        <w:spacing w:line="480" w:lineRule="auto"/>
      </w:pPr>
      <w:r>
        <w:t xml:space="preserve">The decision to use </w:t>
      </w:r>
      <w:r w:rsidR="00DA1E02">
        <w:t xml:space="preserve">a method which forces </w:t>
      </w:r>
      <w:r>
        <w:t xml:space="preserve">monotonicity needs </w:t>
      </w:r>
      <w:r w:rsidR="00DA1E02">
        <w:t xml:space="preserve">to be </w:t>
      </w:r>
      <w:r>
        <w:t xml:space="preserve">based on </w:t>
      </w:r>
      <w:r w:rsidR="00DA1E02">
        <w:t>good clinical evidence and in consultation with clinical experts.</w:t>
      </w:r>
      <w:r w:rsidR="007F7436">
        <w:t xml:space="preserve">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produce biased estimates of the means and variances of the distributions, shifting the centres of these </w:t>
      </w:r>
      <w:r>
        <w:lastRenderedPageBreak/>
        <w:t xml:space="preserve">distributions by introducing discontinuities. </w:t>
      </w:r>
      <w:r w:rsidR="007E74D1">
        <w:t>T</w:t>
      </w:r>
      <w:r>
        <w:t xml:space="preserve">hey produce estimates which do not adequately represent the summary information </w:t>
      </w:r>
      <w:r w:rsidR="000E7974">
        <w:t xml:space="preserve">used in their construction. </w:t>
      </w:r>
      <w:r w:rsidR="007E74D1">
        <w:t xml:space="preserve">We </w:t>
      </w:r>
      <w:r w:rsidR="000E7974">
        <w:t xml:space="preserve">warn against the use of these methods even where there is strong belief in the clinical relationship between variables. </w:t>
      </w:r>
      <w:r w:rsidR="00B434BD">
        <w:t>As described above, there are theoretical reasons to be cautious about the use of methods seven to nine, although in practice estimates produced by these methods may be reasonable.</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or the difference method. As described in the findings section above, of these two approaches, the difference method has a number of advantages, and we have produced an easy-to-use Excel workbook to facilitate its use. </w:t>
      </w:r>
    </w:p>
    <w:p w:rsidR="00430AB7" w:rsidRDefault="00DF6C54" w:rsidP="00D210AA">
      <w:pPr>
        <w:pStyle w:val="Heading2"/>
      </w:pPr>
      <w:r>
        <w:t>Conclusion</w:t>
      </w:r>
    </w:p>
    <w:p w:rsidR="00485010" w:rsidRDefault="00B04290" w:rsidP="00047821">
      <w:pPr>
        <w:spacing w:line="480" w:lineRule="auto"/>
      </w:pPr>
      <w:r>
        <w:t>Our comparison between methods suggests the difference method is preferable to the other methods considered.</w:t>
      </w:r>
      <w:r w:rsidR="00DF6C54">
        <w:t xml:space="preserve"> F</w:t>
      </w:r>
      <w:r>
        <w:t>or this reason, we recommend this</w:t>
      </w:r>
      <w:r w:rsidR="00DF6C54">
        <w:t xml:space="preserve"> method be adopted within health technology </w:t>
      </w:r>
      <w:r w:rsidR="006B36D8">
        <w:t>appraisals</w:t>
      </w:r>
      <w:r w:rsidR="008C6930">
        <w:t xml:space="preserve"> where monotonicity </w:t>
      </w:r>
      <w:r w:rsidR="00351AD3">
        <w:t xml:space="preserve">between parameters is believed </w:t>
      </w:r>
      <w:r w:rsidR="008C6930">
        <w:t>to exist</w:t>
      </w:r>
      <w:r w:rsidR="00DF6C54">
        <w:t xml:space="preserve">. </w:t>
      </w:r>
      <w:r w:rsidR="00FB0CE9">
        <w:t xml:space="preserve">The R code for implementing all ten methods is included as an appendix, and an Excel worksheet implementing the difference method </w:t>
      </w:r>
      <w:del w:id="272" w:author="Matt" w:date="2013-12-28T13:31:00Z">
        <w:r w:rsidR="00FB0CE9" w:rsidDel="00917E7B">
          <w:delText xml:space="preserve">is available from the </w:delText>
        </w:r>
        <w:commentRangeStart w:id="273"/>
        <w:r w:rsidR="00FB0CE9" w:rsidDel="00917E7B">
          <w:delText>authors</w:delText>
        </w:r>
      </w:del>
      <w:ins w:id="274" w:author="Matt" w:date="2013-12-28T13:31:00Z">
        <w:r w:rsidR="00917E7B">
          <w:t>online</w:t>
        </w:r>
      </w:ins>
      <w:commentRangeEnd w:id="273"/>
      <w:r w:rsidR="006C42F2">
        <w:rPr>
          <w:rStyle w:val="CommentReference"/>
        </w:rPr>
        <w:commentReference w:id="273"/>
      </w:r>
      <w:r w:rsidR="00FB0CE9">
        <w:t>.</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A000CA" w:rsidP="00047821">
      <w:pPr>
        <w:pStyle w:val="NormalWeb"/>
        <w:spacing w:line="480" w:lineRule="auto"/>
        <w:ind w:left="640" w:hanging="640"/>
        <w:rPr>
          <w:rFonts w:ascii="Calibri" w:eastAsiaTheme="minorEastAsia" w:hAnsi="Calibri"/>
          <w:noProof/>
          <w:sz w:val="22"/>
        </w:rPr>
      </w:pPr>
      <w:r>
        <w:fldChar w:fldCharType="begin" w:fldLock="1"/>
      </w:r>
      <w:r w:rsidR="000E7974">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990DA5" w:rsidRDefault="00A000CA" w:rsidP="00047821">
      <w:pPr>
        <w:pStyle w:val="NormalWeb"/>
        <w:spacing w:line="480" w:lineRule="auto"/>
        <w:ind w:left="640" w:hanging="640"/>
        <w:divId w:val="1364210312"/>
      </w:pPr>
      <w:r>
        <w:fldChar w:fldCharType="end"/>
      </w:r>
    </w:p>
    <w:p w:rsidR="00990DA5" w:rsidRDefault="00990DA5">
      <w:pPr>
        <w:rPr>
          <w:rFonts w:ascii="Times New Roman" w:eastAsia="Times New Roman" w:hAnsi="Times New Roman" w:cs="Times New Roman"/>
          <w:sz w:val="24"/>
          <w:szCs w:val="24"/>
        </w:rPr>
      </w:pPr>
      <w:r>
        <w:br w:type="page"/>
      </w:r>
    </w:p>
    <w:p w:rsidR="00485010" w:rsidRDefault="00990DA5" w:rsidP="00990DA5">
      <w:pPr>
        <w:pStyle w:val="Heading1"/>
        <w:divId w:val="1364210312"/>
      </w:pPr>
      <w:r>
        <w:lastRenderedPageBreak/>
        <w:t>Tables</w:t>
      </w:r>
    </w:p>
    <w:p w:rsidR="00990DA5" w:rsidRPr="003A0530" w:rsidRDefault="00990DA5" w:rsidP="00990DA5">
      <w:pPr>
        <w:spacing w:line="480" w:lineRule="auto"/>
        <w:divId w:val="1364210312"/>
      </w:pPr>
    </w:p>
    <w:tbl>
      <w:tblPr>
        <w:tblStyle w:val="TableGrid"/>
        <w:tblW w:w="0" w:type="auto"/>
        <w:tblLook w:val="04A0" w:firstRow="1" w:lastRow="0" w:firstColumn="1" w:lastColumn="0" w:noHBand="0" w:noVBand="1"/>
      </w:tblPr>
      <w:tblGrid>
        <w:gridCol w:w="2093"/>
        <w:gridCol w:w="1559"/>
        <w:gridCol w:w="1559"/>
      </w:tblGrid>
      <w:tr w:rsidR="00990DA5" w:rsidTr="00990DA5">
        <w:trPr>
          <w:divId w:val="1364210312"/>
        </w:trPr>
        <w:tc>
          <w:tcPr>
            <w:tcW w:w="2093" w:type="dxa"/>
          </w:tcPr>
          <w:p w:rsidR="00990DA5" w:rsidRDefault="00990DA5" w:rsidP="004D3A56">
            <w:pPr>
              <w:spacing w:line="480" w:lineRule="auto"/>
            </w:pPr>
          </w:p>
        </w:tc>
        <w:tc>
          <w:tcPr>
            <w:tcW w:w="1559" w:type="dxa"/>
          </w:tcPr>
          <w:p w:rsidR="00990DA5" w:rsidRPr="00900EF8" w:rsidRDefault="00990DA5" w:rsidP="004D3A56">
            <w:pPr>
              <w:spacing w:line="480" w:lineRule="auto"/>
              <w:rPr>
                <w:b/>
              </w:rPr>
            </w:pPr>
            <w:r w:rsidRPr="00900EF8">
              <w:rPr>
                <w:b/>
              </w:rPr>
              <w:t>U</w:t>
            </w:r>
            <w:r w:rsidRPr="00D00506">
              <w:rPr>
                <w:b/>
                <w:vertAlign w:val="subscript"/>
              </w:rPr>
              <w:t>1</w:t>
            </w:r>
          </w:p>
        </w:tc>
        <w:tc>
          <w:tcPr>
            <w:tcW w:w="1559" w:type="dxa"/>
          </w:tcPr>
          <w:p w:rsidR="00990DA5" w:rsidRPr="00900EF8" w:rsidRDefault="00990DA5" w:rsidP="004D3A56">
            <w:pPr>
              <w:spacing w:line="480" w:lineRule="auto"/>
              <w:rPr>
                <w:b/>
              </w:rPr>
            </w:pPr>
            <w:r w:rsidRPr="00900EF8">
              <w:rPr>
                <w:b/>
              </w:rPr>
              <w:t>U</w:t>
            </w:r>
            <w:r w:rsidRPr="00D00506">
              <w:rPr>
                <w:b/>
                <w:vertAlign w:val="subscript"/>
              </w:rPr>
              <w:t>2</w:t>
            </w:r>
          </w:p>
        </w:tc>
      </w:tr>
      <w:tr w:rsidR="00990DA5" w:rsidTr="00990DA5">
        <w:trPr>
          <w:divId w:val="1364210312"/>
        </w:trPr>
        <w:tc>
          <w:tcPr>
            <w:tcW w:w="2093" w:type="dxa"/>
          </w:tcPr>
          <w:p w:rsidR="00990DA5" w:rsidRDefault="00990DA5" w:rsidP="004D3A56">
            <w:pPr>
              <w:spacing w:line="480" w:lineRule="auto"/>
            </w:pPr>
            <w:r>
              <w:t>Sample mean</w:t>
            </w:r>
          </w:p>
        </w:tc>
        <w:tc>
          <w:tcPr>
            <w:tcW w:w="1559" w:type="dxa"/>
          </w:tcPr>
          <w:p w:rsidR="00990DA5" w:rsidRDefault="00990DA5" w:rsidP="004D3A56">
            <w:pPr>
              <w:spacing w:line="480" w:lineRule="auto"/>
            </w:pPr>
            <w:r>
              <w:t>0.600</w:t>
            </w:r>
          </w:p>
        </w:tc>
        <w:tc>
          <w:tcPr>
            <w:tcW w:w="1559" w:type="dxa"/>
          </w:tcPr>
          <w:p w:rsidR="00990DA5" w:rsidRDefault="00990DA5" w:rsidP="004D3A56">
            <w:pPr>
              <w:spacing w:line="480" w:lineRule="auto"/>
            </w:pPr>
            <w:r>
              <w:t>0.542</w:t>
            </w:r>
          </w:p>
        </w:tc>
      </w:tr>
      <w:tr w:rsidR="00990DA5" w:rsidTr="00990DA5">
        <w:trPr>
          <w:divId w:val="1364210312"/>
        </w:trPr>
        <w:tc>
          <w:tcPr>
            <w:tcW w:w="2093" w:type="dxa"/>
          </w:tcPr>
          <w:p w:rsidR="00990DA5" w:rsidRDefault="00990DA5" w:rsidP="004D3A56">
            <w:pPr>
              <w:spacing w:line="480" w:lineRule="auto"/>
            </w:pPr>
            <w:r>
              <w:t>95% confidence interval of mean</w:t>
            </w:r>
          </w:p>
        </w:tc>
        <w:tc>
          <w:tcPr>
            <w:tcW w:w="1559" w:type="dxa"/>
          </w:tcPr>
          <w:p w:rsidR="00990DA5" w:rsidRDefault="00990DA5" w:rsidP="004D3A56">
            <w:pPr>
              <w:spacing w:line="480" w:lineRule="auto"/>
            </w:pPr>
            <w:r>
              <w:t>0.555 to 0.644</w:t>
            </w:r>
          </w:p>
        </w:tc>
        <w:tc>
          <w:tcPr>
            <w:tcW w:w="1559" w:type="dxa"/>
          </w:tcPr>
          <w:p w:rsidR="00990DA5" w:rsidRDefault="00990DA5" w:rsidP="004D3A56">
            <w:pPr>
              <w:keepNext/>
              <w:spacing w:line="480" w:lineRule="auto"/>
            </w:pPr>
            <w:r>
              <w:t>0.494 to 0.590</w:t>
            </w:r>
          </w:p>
        </w:tc>
      </w:tr>
    </w:tbl>
    <w:p w:rsidR="00990DA5" w:rsidRDefault="00990DA5" w:rsidP="00990DA5">
      <w:pPr>
        <w:pStyle w:val="Caption"/>
        <w:spacing w:line="480" w:lineRule="auto"/>
        <w:divId w:val="1364210312"/>
      </w:pPr>
      <w:bookmarkStart w:id="275" w:name="_Ref323290936"/>
      <w:r>
        <w:t xml:space="preserve">Table </w:t>
      </w:r>
      <w:fldSimple w:instr=" SEQ Table \* ARABIC ">
        <w:r w:rsidR="004D3A56">
          <w:rPr>
            <w:noProof/>
          </w:rPr>
          <w:t>1</w:t>
        </w:r>
      </w:fldSimple>
      <w:bookmarkEnd w:id="275"/>
      <w:r>
        <w:t xml:space="preserve"> </w:t>
      </w:r>
      <w:proofErr w:type="gramStart"/>
      <w:r>
        <w:t>The</w:t>
      </w:r>
      <w:proofErr w:type="gramEnd"/>
      <w:r>
        <w:t xml:space="preserve"> assumed available summary data. This is assumed to be the only information available to the modeller</w:t>
      </w:r>
    </w:p>
    <w:p w:rsidR="003D4C96" w:rsidRDefault="003D4C96" w:rsidP="003D4C96">
      <w:pPr>
        <w:spacing w:line="480" w:lineRule="auto"/>
        <w:jc w:val="center"/>
        <w:divId w:val="1364210312"/>
      </w:pPr>
    </w:p>
    <w:tbl>
      <w:tblPr>
        <w:tblStyle w:val="TableGrid"/>
        <w:tblW w:w="0" w:type="auto"/>
        <w:tblLook w:val="04A0" w:firstRow="1" w:lastRow="0" w:firstColumn="1" w:lastColumn="0" w:noHBand="0" w:noVBand="1"/>
      </w:tblPr>
      <w:tblGrid>
        <w:gridCol w:w="2093"/>
        <w:gridCol w:w="1559"/>
        <w:gridCol w:w="1559"/>
      </w:tblGrid>
      <w:tr w:rsidR="003D4C96" w:rsidTr="003D4C96">
        <w:trPr>
          <w:divId w:val="1364210312"/>
        </w:trPr>
        <w:tc>
          <w:tcPr>
            <w:tcW w:w="2093" w:type="dxa"/>
          </w:tcPr>
          <w:p w:rsidR="003D4C96" w:rsidRDefault="003D4C96" w:rsidP="004D3A56"/>
        </w:tc>
        <w:tc>
          <w:tcPr>
            <w:tcW w:w="1559" w:type="dxa"/>
          </w:tcPr>
          <w:p w:rsidR="003D4C96" w:rsidRPr="00900EF8" w:rsidRDefault="003D4C96" w:rsidP="004D3A56">
            <w:pPr>
              <w:rPr>
                <w:b/>
              </w:rPr>
            </w:pPr>
            <w:r w:rsidRPr="00900EF8">
              <w:rPr>
                <w:b/>
              </w:rPr>
              <w:t>U</w:t>
            </w:r>
            <w:r w:rsidRPr="00D00506">
              <w:rPr>
                <w:b/>
                <w:vertAlign w:val="subscript"/>
              </w:rPr>
              <w:t>1</w:t>
            </w:r>
          </w:p>
        </w:tc>
        <w:tc>
          <w:tcPr>
            <w:tcW w:w="1559" w:type="dxa"/>
          </w:tcPr>
          <w:p w:rsidR="003D4C96" w:rsidRPr="00900EF8" w:rsidRDefault="003D4C96" w:rsidP="004D3A56">
            <w:pPr>
              <w:rPr>
                <w:b/>
              </w:rPr>
            </w:pPr>
            <w:r w:rsidRPr="00900EF8">
              <w:rPr>
                <w:b/>
              </w:rPr>
              <w:t>U</w:t>
            </w:r>
            <w:r w:rsidRPr="00D00506">
              <w:rPr>
                <w:b/>
                <w:vertAlign w:val="subscript"/>
              </w:rPr>
              <w:t>2</w:t>
            </w:r>
          </w:p>
        </w:tc>
      </w:tr>
      <w:tr w:rsidR="003D4C96" w:rsidTr="003D4C96">
        <w:trPr>
          <w:divId w:val="1364210312"/>
        </w:trPr>
        <w:tc>
          <w:tcPr>
            <w:tcW w:w="2093" w:type="dxa"/>
          </w:tcPr>
          <w:p w:rsidR="003D4C96" w:rsidRDefault="003D4C96" w:rsidP="004D3A56">
            <w:r>
              <w:t>Sample size</w:t>
            </w:r>
          </w:p>
        </w:tc>
        <w:tc>
          <w:tcPr>
            <w:tcW w:w="1559" w:type="dxa"/>
          </w:tcPr>
          <w:p w:rsidR="003D4C96" w:rsidRDefault="003D4C96" w:rsidP="004D3A56">
            <w:r>
              <w:t>80</w:t>
            </w:r>
          </w:p>
        </w:tc>
        <w:tc>
          <w:tcPr>
            <w:tcW w:w="1559" w:type="dxa"/>
          </w:tcPr>
          <w:p w:rsidR="003D4C96" w:rsidRDefault="003D4C96" w:rsidP="004D3A56">
            <w:r>
              <w:t>15</w:t>
            </w:r>
          </w:p>
        </w:tc>
      </w:tr>
      <w:tr w:rsidR="003D4C96" w:rsidTr="003D4C96">
        <w:trPr>
          <w:divId w:val="1364210312"/>
        </w:trPr>
        <w:tc>
          <w:tcPr>
            <w:tcW w:w="2093" w:type="dxa"/>
          </w:tcPr>
          <w:p w:rsidR="003D4C96" w:rsidRDefault="003D4C96" w:rsidP="004D3A56">
            <w:r>
              <w:t>Sample mean</w:t>
            </w:r>
          </w:p>
        </w:tc>
        <w:tc>
          <w:tcPr>
            <w:tcW w:w="1559" w:type="dxa"/>
          </w:tcPr>
          <w:p w:rsidR="003D4C96" w:rsidRDefault="003D4C96" w:rsidP="004D3A56">
            <w:r>
              <w:t>0.600</w:t>
            </w:r>
          </w:p>
        </w:tc>
        <w:tc>
          <w:tcPr>
            <w:tcW w:w="1559" w:type="dxa"/>
          </w:tcPr>
          <w:p w:rsidR="003D4C96" w:rsidRDefault="003D4C96" w:rsidP="004D3A56">
            <w:r>
              <w:t>0.542</w:t>
            </w:r>
          </w:p>
        </w:tc>
      </w:tr>
      <w:tr w:rsidR="003D4C96" w:rsidTr="003D4C96">
        <w:trPr>
          <w:divId w:val="1364210312"/>
          <w:trHeight w:val="211"/>
        </w:trPr>
        <w:tc>
          <w:tcPr>
            <w:tcW w:w="2093" w:type="dxa"/>
          </w:tcPr>
          <w:p w:rsidR="003D4C96" w:rsidRDefault="003D4C96" w:rsidP="004D3A56">
            <w:r>
              <w:t>Standard deviation</w:t>
            </w:r>
          </w:p>
        </w:tc>
        <w:tc>
          <w:tcPr>
            <w:tcW w:w="1559" w:type="dxa"/>
          </w:tcPr>
          <w:p w:rsidR="003D4C96" w:rsidRDefault="003D4C96" w:rsidP="004D3A56">
            <w:r>
              <w:t>0.100</w:t>
            </w:r>
          </w:p>
        </w:tc>
        <w:tc>
          <w:tcPr>
            <w:tcW w:w="1559" w:type="dxa"/>
          </w:tcPr>
          <w:p w:rsidR="003D4C96" w:rsidRDefault="003D4C96" w:rsidP="004D3A56">
            <w:pPr>
              <w:keepNext/>
            </w:pPr>
            <w:r>
              <w:t>0.120</w:t>
            </w:r>
          </w:p>
        </w:tc>
      </w:tr>
      <w:tr w:rsidR="003D4C96" w:rsidTr="003D4C96">
        <w:trPr>
          <w:divId w:val="1364210312"/>
        </w:trPr>
        <w:tc>
          <w:tcPr>
            <w:tcW w:w="2093" w:type="dxa"/>
          </w:tcPr>
          <w:p w:rsidR="003D4C96" w:rsidRDefault="003D4C96" w:rsidP="004D3A56">
            <w:r>
              <w:t>Standard error</w:t>
            </w:r>
          </w:p>
        </w:tc>
        <w:tc>
          <w:tcPr>
            <w:tcW w:w="1559" w:type="dxa"/>
          </w:tcPr>
          <w:p w:rsidR="003D4C96" w:rsidRDefault="003D4C96" w:rsidP="004D3A56">
            <w:r>
              <w:t>0.011</w:t>
            </w:r>
          </w:p>
        </w:tc>
        <w:tc>
          <w:tcPr>
            <w:tcW w:w="1559" w:type="dxa"/>
          </w:tcPr>
          <w:p w:rsidR="003D4C96" w:rsidRDefault="003D4C96" w:rsidP="004D3A56">
            <w:pPr>
              <w:keepNext/>
            </w:pPr>
            <w:r>
              <w:t>0.038</w:t>
            </w:r>
          </w:p>
        </w:tc>
      </w:tr>
      <w:tr w:rsidR="003D4C96" w:rsidTr="003D4C96">
        <w:trPr>
          <w:divId w:val="1364210312"/>
        </w:trPr>
        <w:tc>
          <w:tcPr>
            <w:tcW w:w="2093" w:type="dxa"/>
          </w:tcPr>
          <w:p w:rsidR="003D4C96" w:rsidRDefault="003D4C96" w:rsidP="004D3A56">
            <w:r>
              <w:t>95% confidence interval of mean</w:t>
            </w:r>
          </w:p>
        </w:tc>
        <w:tc>
          <w:tcPr>
            <w:tcW w:w="1559" w:type="dxa"/>
          </w:tcPr>
          <w:p w:rsidR="003D4C96" w:rsidRDefault="003D4C96" w:rsidP="004D3A56">
            <w:r>
              <w:t>0.578 to 0.622</w:t>
            </w:r>
          </w:p>
        </w:tc>
        <w:tc>
          <w:tcPr>
            <w:tcW w:w="1559" w:type="dxa"/>
          </w:tcPr>
          <w:p w:rsidR="003D4C96" w:rsidRDefault="003D4C96" w:rsidP="004D3A56">
            <w:pPr>
              <w:keepNext/>
            </w:pPr>
            <w:r>
              <w:t>0.481 to 0.603</w:t>
            </w:r>
          </w:p>
        </w:tc>
      </w:tr>
    </w:tbl>
    <w:p w:rsidR="003D4C96" w:rsidRDefault="003D4C96" w:rsidP="003D4C96">
      <w:pPr>
        <w:pStyle w:val="Caption"/>
        <w:divId w:val="1364210312"/>
      </w:pPr>
      <w:bookmarkStart w:id="276" w:name="_Ref343527672"/>
      <w:r>
        <w:t xml:space="preserve">Table </w:t>
      </w:r>
      <w:fldSimple w:instr=" SEQ Table \* ARABIC ">
        <w:r w:rsidR="004D3A56">
          <w:rPr>
            <w:noProof/>
          </w:rPr>
          <w:t>2</w:t>
        </w:r>
      </w:fldSimple>
      <w:bookmarkEnd w:id="276"/>
      <w:r>
        <w:t xml:space="preserve"> Assumed summary data available in supplementary analysis. </w:t>
      </w:r>
    </w:p>
    <w:p w:rsidR="003D4C96" w:rsidRDefault="003D4C96" w:rsidP="003D4C96">
      <w:pPr>
        <w:spacing w:line="480" w:lineRule="auto"/>
        <w:divId w:val="1364210312"/>
      </w:pPr>
    </w:p>
    <w:tbl>
      <w:tblPr>
        <w:tblStyle w:val="TableGrid"/>
        <w:tblW w:w="0" w:type="auto"/>
        <w:tblLook w:val="04A0" w:firstRow="1" w:lastRow="0" w:firstColumn="1" w:lastColumn="0" w:noHBand="0" w:noVBand="1"/>
      </w:tblPr>
      <w:tblGrid>
        <w:gridCol w:w="1351"/>
        <w:gridCol w:w="1390"/>
        <w:gridCol w:w="1417"/>
        <w:gridCol w:w="5084"/>
      </w:tblGrid>
      <w:tr w:rsidR="003D4C96" w:rsidTr="003D4C96">
        <w:trPr>
          <w:divId w:val="1364210312"/>
        </w:trPr>
        <w:tc>
          <w:tcPr>
            <w:tcW w:w="1351" w:type="dxa"/>
          </w:tcPr>
          <w:p w:rsidR="003D4C96" w:rsidRPr="00284FC4" w:rsidRDefault="003D4C96" w:rsidP="004D3A56">
            <w:pPr>
              <w:spacing w:line="480" w:lineRule="auto"/>
              <w:rPr>
                <w:b/>
              </w:rPr>
            </w:pPr>
            <w:r>
              <w:rPr>
                <w:b/>
              </w:rPr>
              <w:t>Class</w:t>
            </w:r>
          </w:p>
        </w:tc>
        <w:tc>
          <w:tcPr>
            <w:tcW w:w="1390" w:type="dxa"/>
          </w:tcPr>
          <w:p w:rsidR="003D4C96" w:rsidRPr="00284FC4" w:rsidRDefault="003D4C96" w:rsidP="004D3A56">
            <w:pPr>
              <w:spacing w:line="480" w:lineRule="auto"/>
              <w:rPr>
                <w:b/>
              </w:rPr>
            </w:pPr>
            <w:r w:rsidRPr="00284FC4">
              <w:rPr>
                <w:b/>
              </w:rPr>
              <w:t>Method Number</w:t>
            </w:r>
          </w:p>
        </w:tc>
        <w:tc>
          <w:tcPr>
            <w:tcW w:w="1417" w:type="dxa"/>
          </w:tcPr>
          <w:p w:rsidR="003D4C96" w:rsidRPr="00284FC4" w:rsidRDefault="003D4C96" w:rsidP="004D3A56">
            <w:pPr>
              <w:spacing w:line="480" w:lineRule="auto"/>
              <w:rPr>
                <w:b/>
              </w:rPr>
            </w:pPr>
            <w:r>
              <w:rPr>
                <w:b/>
              </w:rPr>
              <w:t>Name</w:t>
            </w:r>
          </w:p>
        </w:tc>
        <w:tc>
          <w:tcPr>
            <w:tcW w:w="5084" w:type="dxa"/>
          </w:tcPr>
          <w:p w:rsidR="003D4C96" w:rsidRDefault="003D4C96" w:rsidP="004D3A56">
            <w:pPr>
              <w:spacing w:line="480" w:lineRule="auto"/>
              <w:rPr>
                <w:b/>
              </w:rPr>
            </w:pPr>
            <w:r w:rsidRPr="00284FC4">
              <w:rPr>
                <w:b/>
              </w:rPr>
              <w:t>Method Description</w:t>
            </w:r>
          </w:p>
          <w:p w:rsidR="003D4C96" w:rsidRPr="00035E36" w:rsidRDefault="003D4C96" w:rsidP="004D3A56">
            <w:pPr>
              <w:spacing w:line="480" w:lineRule="auto"/>
            </w:pPr>
            <w:r w:rsidRPr="00035E36">
              <w:t>For each of the PSA runs…</w:t>
            </w:r>
          </w:p>
        </w:tc>
      </w:tr>
      <w:tr w:rsidR="003D4C96" w:rsidTr="003D4C96">
        <w:trPr>
          <w:divId w:val="1364210312"/>
        </w:trPr>
        <w:tc>
          <w:tcPr>
            <w:tcW w:w="1351" w:type="dxa"/>
            <w:vMerge w:val="restart"/>
          </w:tcPr>
          <w:p w:rsidR="003D4C96" w:rsidRDefault="003D4C96" w:rsidP="004D3A56">
            <w:pPr>
              <w:spacing w:line="480" w:lineRule="auto"/>
            </w:pPr>
            <w:r>
              <w:t>Naïve Methods</w:t>
            </w:r>
          </w:p>
        </w:tc>
        <w:tc>
          <w:tcPr>
            <w:tcW w:w="1390" w:type="dxa"/>
          </w:tcPr>
          <w:p w:rsidR="003D4C96" w:rsidRDefault="003D4C96" w:rsidP="004D3A56">
            <w:pPr>
              <w:spacing w:line="480" w:lineRule="auto"/>
            </w:pPr>
            <w:r>
              <w:t>1</w:t>
            </w:r>
          </w:p>
        </w:tc>
        <w:tc>
          <w:tcPr>
            <w:tcW w:w="1417" w:type="dxa"/>
          </w:tcPr>
          <w:p w:rsidR="003D4C96" w:rsidRDefault="003D4C96" w:rsidP="004D3A56">
            <w:pPr>
              <w:spacing w:line="480" w:lineRule="auto"/>
            </w:pPr>
            <w:r>
              <w:t>Independent Sampling</w:t>
            </w:r>
          </w:p>
        </w:tc>
        <w:tc>
          <w:tcPr>
            <w:tcW w:w="5084" w:type="dxa"/>
          </w:tcPr>
          <w:p w:rsidR="003D4C96" w:rsidRDefault="003D4C96" w:rsidP="004D3A56">
            <w:pPr>
              <w:spacing w:line="480" w:lineRule="auto"/>
            </w:pPr>
            <w:r>
              <w:t>… take one draw from U</w:t>
            </w:r>
            <w:r w:rsidRPr="003D4C96">
              <w:rPr>
                <w:vertAlign w:val="subscript"/>
              </w:rPr>
              <w:t>1</w:t>
            </w:r>
            <w:r>
              <w:t xml:space="preserve"> and one draw from U</w:t>
            </w:r>
            <w:r w:rsidRPr="003D4C96">
              <w:rPr>
                <w:vertAlign w:val="subscript"/>
              </w:rPr>
              <w:t>2</w:t>
            </w:r>
            <w:r>
              <w:t xml:space="preserve"> independently (i.e. assume no covariance between U</w:t>
            </w:r>
            <w:r w:rsidRPr="003D4C96">
              <w:rPr>
                <w:vertAlign w:val="subscript"/>
              </w:rPr>
              <w:t>1</w:t>
            </w:r>
            <w:r>
              <w:t xml:space="preserve"> and U</w:t>
            </w:r>
            <w:r w:rsidRPr="003D4C96">
              <w:rPr>
                <w:vertAlign w:val="subscript"/>
              </w:rPr>
              <w:t>2</w:t>
            </w:r>
            <w:r>
              <w:t>)</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2</w:t>
            </w:r>
          </w:p>
        </w:tc>
        <w:tc>
          <w:tcPr>
            <w:tcW w:w="1417" w:type="dxa"/>
          </w:tcPr>
          <w:p w:rsidR="003D4C96" w:rsidRDefault="003D4C96" w:rsidP="004D3A56">
            <w:pPr>
              <w:spacing w:line="480" w:lineRule="auto"/>
            </w:pPr>
            <w:proofErr w:type="spellStart"/>
            <w:r>
              <w:t>Quantile</w:t>
            </w:r>
            <w:proofErr w:type="spellEnd"/>
            <w:r>
              <w:t xml:space="preserve"> Matching/</w:t>
            </w:r>
          </w:p>
          <w:p w:rsidR="003D4C96" w:rsidRDefault="003D4C96" w:rsidP="004D3A56">
            <w:pPr>
              <w:spacing w:line="480" w:lineRule="auto"/>
            </w:pPr>
            <w:r>
              <w:t>Number Seed Recycling</w:t>
            </w:r>
          </w:p>
        </w:tc>
        <w:tc>
          <w:tcPr>
            <w:tcW w:w="5084" w:type="dxa"/>
          </w:tcPr>
          <w:p w:rsidR="003D4C96" w:rsidRDefault="003D4C96" w:rsidP="004D3A56">
            <w:pPr>
              <w:spacing w:line="480" w:lineRule="auto"/>
            </w:pPr>
            <w:r>
              <w:t xml:space="preserve">… </w:t>
            </w:r>
            <w:proofErr w:type="gramStart"/>
            <w:r>
              <w:t>use</w:t>
            </w:r>
            <w:proofErr w:type="gramEnd"/>
            <w:r>
              <w:t xml:space="preserve"> the same random number seed when drawing a sample from U</w:t>
            </w:r>
            <w:r w:rsidRPr="003D4C96">
              <w:rPr>
                <w:vertAlign w:val="subscript"/>
              </w:rPr>
              <w:t>2</w:t>
            </w:r>
            <w:r>
              <w:t xml:space="preserve"> and U</w:t>
            </w:r>
            <w:r w:rsidRPr="003D4C96">
              <w:rPr>
                <w:vertAlign w:val="subscript"/>
              </w:rPr>
              <w:t>1</w:t>
            </w:r>
            <w:r>
              <w:t xml:space="preserve">. (This is similar to selecting the same </w:t>
            </w:r>
            <w:proofErr w:type="spellStart"/>
            <w:r>
              <w:t>quantile</w:t>
            </w:r>
            <w:proofErr w:type="spellEnd"/>
            <w:r>
              <w:t xml:space="preserve"> from both distributions.)</w:t>
            </w:r>
          </w:p>
        </w:tc>
      </w:tr>
      <w:tr w:rsidR="003D4C96" w:rsidTr="003D4C96">
        <w:trPr>
          <w:divId w:val="1364210312"/>
        </w:trPr>
        <w:tc>
          <w:tcPr>
            <w:tcW w:w="1351" w:type="dxa"/>
            <w:vMerge w:val="restart"/>
          </w:tcPr>
          <w:p w:rsidR="003D4C96" w:rsidRDefault="003D4C96" w:rsidP="004D3A56">
            <w:pPr>
              <w:spacing w:line="480" w:lineRule="auto"/>
            </w:pPr>
            <w:r>
              <w:t xml:space="preserve">Resampling </w:t>
            </w:r>
            <w:r>
              <w:lastRenderedPageBreak/>
              <w:t>and replacement methods†</w:t>
            </w:r>
          </w:p>
        </w:tc>
        <w:tc>
          <w:tcPr>
            <w:tcW w:w="1390" w:type="dxa"/>
          </w:tcPr>
          <w:p w:rsidR="003D4C96" w:rsidRDefault="003D4C96" w:rsidP="004D3A56">
            <w:pPr>
              <w:spacing w:line="480" w:lineRule="auto"/>
            </w:pPr>
            <w:r>
              <w:lastRenderedPageBreak/>
              <w:t>3</w:t>
            </w:r>
          </w:p>
        </w:tc>
        <w:tc>
          <w:tcPr>
            <w:tcW w:w="1417" w:type="dxa"/>
          </w:tcPr>
          <w:p w:rsidR="003D4C96" w:rsidRDefault="003D4C96" w:rsidP="004D3A56">
            <w:pPr>
              <w:spacing w:line="480" w:lineRule="auto"/>
            </w:pPr>
            <w:r>
              <w:t xml:space="preserve">Upward </w:t>
            </w:r>
            <w:r>
              <w:lastRenderedPageBreak/>
              <w:t>Replacement</w:t>
            </w:r>
          </w:p>
        </w:tc>
        <w:tc>
          <w:tcPr>
            <w:tcW w:w="5084" w:type="dxa"/>
          </w:tcPr>
          <w:p w:rsidR="003D4C96" w:rsidRDefault="003D4C96" w:rsidP="004D3A56">
            <w:pPr>
              <w:spacing w:line="480" w:lineRule="auto"/>
            </w:pPr>
            <w:r>
              <w:lastRenderedPageBreak/>
              <w:t>Stage 1: draw a sample from U</w:t>
            </w:r>
            <w:r w:rsidRPr="003D4C96">
              <w:rPr>
                <w:vertAlign w:val="subscript"/>
              </w:rPr>
              <w:t>2</w:t>
            </w:r>
          </w:p>
          <w:p w:rsidR="003D4C96" w:rsidRDefault="003D4C96" w:rsidP="004D3A56">
            <w:pPr>
              <w:spacing w:line="480" w:lineRule="auto"/>
            </w:pPr>
            <w:r>
              <w:lastRenderedPageBreak/>
              <w:t>Stage 2: draw a sample from U</w:t>
            </w:r>
            <w:r w:rsidRPr="003D4C96">
              <w:rPr>
                <w:vertAlign w:val="subscript"/>
              </w:rPr>
              <w:t>1</w:t>
            </w:r>
            <w:r>
              <w:t xml:space="preserve"> </w:t>
            </w:r>
          </w:p>
          <w:p w:rsidR="003D4C96" w:rsidRDefault="003D4C96" w:rsidP="004D3A56">
            <w:pPr>
              <w:spacing w:line="480" w:lineRule="auto"/>
            </w:pPr>
            <w:r>
              <w:t>Stage 3: Check if the value of U</w:t>
            </w:r>
            <w:r w:rsidRPr="003D4C96">
              <w:rPr>
                <w:vertAlign w:val="subscript"/>
              </w:rPr>
              <w:t>1</w:t>
            </w:r>
            <w:r>
              <w:t xml:space="preserve"> drawn is less than the corresponding value of U</w:t>
            </w:r>
            <w:r w:rsidRPr="003D4C96">
              <w:rPr>
                <w:vertAlign w:val="subscript"/>
              </w:rPr>
              <w:t>2</w:t>
            </w:r>
            <w:r>
              <w:t xml:space="preserve"> drawn. If it is, then replace the value of U</w:t>
            </w:r>
            <w:r w:rsidRPr="003D4C96">
              <w:rPr>
                <w:vertAlign w:val="subscript"/>
              </w:rPr>
              <w:t>1</w:t>
            </w:r>
            <w:r>
              <w:t xml:space="preserve"> with the U</w:t>
            </w:r>
            <w:r w:rsidRPr="003D4C96">
              <w:rPr>
                <w:vertAlign w:val="subscript"/>
              </w:rPr>
              <w:t>2</w:t>
            </w:r>
            <w:r>
              <w:t xml:space="preserve"> value.</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4</w:t>
            </w:r>
          </w:p>
        </w:tc>
        <w:tc>
          <w:tcPr>
            <w:tcW w:w="1417" w:type="dxa"/>
          </w:tcPr>
          <w:p w:rsidR="003D4C96" w:rsidRDefault="003D4C96" w:rsidP="004D3A56">
            <w:pPr>
              <w:spacing w:line="480" w:lineRule="auto"/>
            </w:pPr>
            <w:r>
              <w:t>Downward Replacement</w:t>
            </w:r>
          </w:p>
        </w:tc>
        <w:tc>
          <w:tcPr>
            <w:tcW w:w="5084" w:type="dxa"/>
          </w:tcPr>
          <w:p w:rsidR="003D4C96" w:rsidRDefault="003D4C96" w:rsidP="004D3A56">
            <w:pPr>
              <w:spacing w:line="480" w:lineRule="auto"/>
            </w:pPr>
            <w:r>
              <w:t>Stage 1: draw a sample from U</w:t>
            </w:r>
            <w:r w:rsidRPr="003D4C96">
              <w:rPr>
                <w:vertAlign w:val="subscript"/>
              </w:rPr>
              <w:t>1</w:t>
            </w:r>
          </w:p>
          <w:p w:rsidR="003D4C96" w:rsidRDefault="003D4C96" w:rsidP="004D3A56">
            <w:pPr>
              <w:spacing w:line="480" w:lineRule="auto"/>
            </w:pPr>
            <w:r>
              <w:t>Stage 2: draw a sample from U</w:t>
            </w:r>
            <w:r w:rsidRPr="003D4C96">
              <w:rPr>
                <w:vertAlign w:val="subscript"/>
              </w:rPr>
              <w:t>2</w:t>
            </w:r>
            <w:r>
              <w:t xml:space="preserve">. </w:t>
            </w:r>
          </w:p>
          <w:p w:rsidR="003D4C96" w:rsidRDefault="003D4C96" w:rsidP="004D3A56">
            <w:pPr>
              <w:spacing w:line="480" w:lineRule="auto"/>
            </w:pPr>
            <w:r>
              <w:t>Stage 3: Check if the value of U</w:t>
            </w:r>
            <w:r w:rsidRPr="003D4C96">
              <w:rPr>
                <w:vertAlign w:val="subscript"/>
              </w:rPr>
              <w:t>2</w:t>
            </w:r>
            <w:r>
              <w:t xml:space="preserve"> drawn is greater than the corresponding value of U</w:t>
            </w:r>
            <w:r w:rsidRPr="003D4C96">
              <w:rPr>
                <w:vertAlign w:val="subscript"/>
              </w:rPr>
              <w:t>1</w:t>
            </w:r>
            <w:r>
              <w:t xml:space="preserve"> drawn. If it is, then replace the value of U</w:t>
            </w:r>
            <w:r w:rsidRPr="003D4C96">
              <w:rPr>
                <w:vertAlign w:val="subscript"/>
              </w:rPr>
              <w:t>2</w:t>
            </w:r>
            <w:r>
              <w:t xml:space="preserve"> with the U</w:t>
            </w:r>
            <w:r w:rsidRPr="003D4C96">
              <w:rPr>
                <w:vertAlign w:val="subscript"/>
              </w:rPr>
              <w:t>1</w:t>
            </w:r>
            <w:r>
              <w:t xml:space="preserve"> value.</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5</w:t>
            </w:r>
          </w:p>
        </w:tc>
        <w:tc>
          <w:tcPr>
            <w:tcW w:w="1417" w:type="dxa"/>
          </w:tcPr>
          <w:p w:rsidR="003D4C96" w:rsidRDefault="003D4C96" w:rsidP="004D3A56">
            <w:pPr>
              <w:spacing w:line="480" w:lineRule="auto"/>
            </w:pPr>
            <w:r>
              <w:t>Upward Resampling</w:t>
            </w:r>
          </w:p>
        </w:tc>
        <w:tc>
          <w:tcPr>
            <w:tcW w:w="5084" w:type="dxa"/>
            <w:tcBorders>
              <w:right w:val="single" w:sz="4" w:space="0" w:color="auto"/>
            </w:tcBorders>
          </w:tcPr>
          <w:p w:rsidR="003D4C96" w:rsidRDefault="003D4C96" w:rsidP="004D3A56">
            <w:pPr>
              <w:spacing w:line="480" w:lineRule="auto"/>
            </w:pPr>
            <w:r>
              <w:t>Stage 1: draw first from U</w:t>
            </w:r>
            <w:r w:rsidRPr="003D4C96">
              <w:rPr>
                <w:vertAlign w:val="subscript"/>
              </w:rPr>
              <w:t>1</w:t>
            </w:r>
            <w:r>
              <w:t xml:space="preserve">. </w:t>
            </w:r>
          </w:p>
          <w:p w:rsidR="003D4C96" w:rsidRDefault="003D4C96" w:rsidP="004D3A56">
            <w:pPr>
              <w:spacing w:line="480" w:lineRule="auto"/>
            </w:pPr>
            <w:r>
              <w:t>Stage 2: draw from U</w:t>
            </w:r>
            <w:r w:rsidRPr="003D4C96">
              <w:rPr>
                <w:vertAlign w:val="subscript"/>
              </w:rPr>
              <w:t>2</w:t>
            </w:r>
            <w:r>
              <w:t xml:space="preserve">. </w:t>
            </w:r>
          </w:p>
          <w:p w:rsidR="003D4C96" w:rsidRDefault="003D4C96" w:rsidP="004D3A56">
            <w:pPr>
              <w:spacing w:line="480" w:lineRule="auto"/>
            </w:pPr>
            <w:r>
              <w:t>Stage 3: Check if the value of U</w:t>
            </w:r>
            <w:r w:rsidRPr="003D4C96">
              <w:rPr>
                <w:vertAlign w:val="subscript"/>
              </w:rPr>
              <w:t>1</w:t>
            </w:r>
            <w:r>
              <w:t xml:space="preserve"> is less than U</w:t>
            </w:r>
            <w:r w:rsidRPr="003D4C96">
              <w:rPr>
                <w:vertAlign w:val="subscript"/>
              </w:rPr>
              <w:t>2</w:t>
            </w:r>
            <w:r>
              <w:t>. If it is, then go back to Stage 2. If not, then stop.</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6</w:t>
            </w:r>
          </w:p>
        </w:tc>
        <w:tc>
          <w:tcPr>
            <w:tcW w:w="1417" w:type="dxa"/>
          </w:tcPr>
          <w:p w:rsidR="003D4C96" w:rsidRDefault="003D4C96" w:rsidP="004D3A56">
            <w:pPr>
              <w:spacing w:line="480" w:lineRule="auto"/>
            </w:pPr>
            <w:r>
              <w:t>Downward Resampling</w:t>
            </w:r>
          </w:p>
        </w:tc>
        <w:tc>
          <w:tcPr>
            <w:tcW w:w="5084" w:type="dxa"/>
          </w:tcPr>
          <w:p w:rsidR="003D4C96" w:rsidRDefault="003D4C96" w:rsidP="004D3A56">
            <w:pPr>
              <w:spacing w:line="480" w:lineRule="auto"/>
            </w:pPr>
            <w:r>
              <w:t>Stage 1: draw first from U</w:t>
            </w:r>
            <w:r w:rsidRPr="003D4C96">
              <w:rPr>
                <w:vertAlign w:val="subscript"/>
              </w:rPr>
              <w:t>2</w:t>
            </w:r>
            <w:r>
              <w:t xml:space="preserve">. </w:t>
            </w:r>
          </w:p>
          <w:p w:rsidR="003D4C96" w:rsidRDefault="003D4C96" w:rsidP="004D3A56">
            <w:pPr>
              <w:spacing w:line="480" w:lineRule="auto"/>
            </w:pPr>
            <w:r>
              <w:t>Stage 2: draw from U</w:t>
            </w:r>
            <w:r w:rsidRPr="003D4C96">
              <w:rPr>
                <w:vertAlign w:val="subscript"/>
              </w:rPr>
              <w:t>1</w:t>
            </w:r>
            <w:r>
              <w:t xml:space="preserve">. </w:t>
            </w:r>
          </w:p>
          <w:p w:rsidR="003D4C96" w:rsidRDefault="003D4C96" w:rsidP="004D3A56">
            <w:pPr>
              <w:spacing w:line="480" w:lineRule="auto"/>
            </w:pPr>
            <w:r>
              <w:t>Stage 3: Check if the value of U</w:t>
            </w:r>
            <w:r w:rsidRPr="003D4C96">
              <w:rPr>
                <w:vertAlign w:val="subscript"/>
              </w:rPr>
              <w:t>2</w:t>
            </w:r>
            <w:r>
              <w:t xml:space="preserve"> is greater than U</w:t>
            </w:r>
            <w:r w:rsidRPr="003D4C96">
              <w:rPr>
                <w:vertAlign w:val="subscript"/>
              </w:rPr>
              <w:t>1</w:t>
            </w:r>
            <w:r>
              <w:t>. If it is, then go back to Stage 2 (i.e. resample). If not, then stop.</w:t>
            </w:r>
          </w:p>
        </w:tc>
      </w:tr>
      <w:tr w:rsidR="003D4C96" w:rsidTr="003D4C96">
        <w:trPr>
          <w:divId w:val="1364210312"/>
        </w:trPr>
        <w:tc>
          <w:tcPr>
            <w:tcW w:w="1351" w:type="dxa"/>
            <w:vMerge w:val="restart"/>
          </w:tcPr>
          <w:p w:rsidR="003D4C96" w:rsidRDefault="003D4C96" w:rsidP="004D3A56">
            <w:pPr>
              <w:spacing w:line="480" w:lineRule="auto"/>
            </w:pPr>
            <w:r>
              <w:t>Multivariate model methods</w:t>
            </w:r>
          </w:p>
        </w:tc>
        <w:tc>
          <w:tcPr>
            <w:tcW w:w="1390" w:type="dxa"/>
          </w:tcPr>
          <w:p w:rsidR="003D4C96" w:rsidRDefault="003D4C96" w:rsidP="004D3A56">
            <w:pPr>
              <w:spacing w:line="480" w:lineRule="auto"/>
            </w:pPr>
            <w:r>
              <w:t>7</w:t>
            </w:r>
          </w:p>
        </w:tc>
        <w:tc>
          <w:tcPr>
            <w:tcW w:w="1417" w:type="dxa"/>
          </w:tcPr>
          <w:p w:rsidR="003D4C96" w:rsidRDefault="003D4C96" w:rsidP="004D3A56">
            <w:pPr>
              <w:spacing w:line="480" w:lineRule="auto"/>
            </w:pPr>
            <w:r>
              <w:t>AIVM Covariance</w:t>
            </w:r>
          </w:p>
        </w:tc>
        <w:tc>
          <w:tcPr>
            <w:tcW w:w="5084" w:type="dxa"/>
          </w:tcPr>
          <w:p w:rsidR="003D4C96" w:rsidRDefault="003D4C96" w:rsidP="004D3A56">
            <w:pPr>
              <w:spacing w:line="480" w:lineRule="auto"/>
            </w:pPr>
            <w:r>
              <w:t>Assume that the covariance between U</w:t>
            </w:r>
            <w:r w:rsidRPr="003D4C96">
              <w:rPr>
                <w:vertAlign w:val="subscript"/>
              </w:rPr>
              <w:t>1</w:t>
            </w:r>
            <w:r>
              <w:t xml:space="preserve"> and U</w:t>
            </w:r>
            <w:r w:rsidRPr="003D4C96">
              <w:rPr>
                <w:vertAlign w:val="subscript"/>
              </w:rPr>
              <w:t>2</w:t>
            </w:r>
            <w:r>
              <w:t xml:space="preserve"> is equal to the average of the individual variances of the means (AIVM) of U</w:t>
            </w:r>
            <w:r w:rsidRPr="003D4C96">
              <w:rPr>
                <w:vertAlign w:val="subscript"/>
              </w:rPr>
              <w:t>1</w:t>
            </w:r>
            <w:r>
              <w:t xml:space="preserve"> and U</w:t>
            </w:r>
            <w:r w:rsidRPr="003D4C96">
              <w:rPr>
                <w:vertAlign w:val="subscript"/>
              </w:rPr>
              <w:t>2</w:t>
            </w:r>
            <w:r>
              <w:t>.</w:t>
            </w:r>
          </w:p>
          <w:p w:rsidR="003D4C96" w:rsidRDefault="003D4C96" w:rsidP="004D3A56">
            <w:pPr>
              <w:spacing w:line="480" w:lineRule="auto"/>
            </w:pPr>
            <w:r>
              <w:t>If assuming this covariance implies that the correlation between U</w:t>
            </w:r>
            <w:r w:rsidRPr="003D4C96">
              <w:rPr>
                <w:vertAlign w:val="subscript"/>
              </w:rPr>
              <w:t>1</w:t>
            </w:r>
            <w:r>
              <w:t xml:space="preserve"> and U</w:t>
            </w:r>
            <w:r w:rsidRPr="003D4C96">
              <w:rPr>
                <w:vertAlign w:val="subscript"/>
              </w:rPr>
              <w:t>2</w:t>
            </w:r>
            <w:r>
              <w:t xml:space="preserve"> is greater than 1, then instead select the covariance between U</w:t>
            </w:r>
            <w:r w:rsidRPr="003D4C96">
              <w:rPr>
                <w:vertAlign w:val="subscript"/>
              </w:rPr>
              <w:t>1</w:t>
            </w:r>
            <w:r>
              <w:t xml:space="preserve"> and U</w:t>
            </w:r>
            <w:r w:rsidRPr="003D4C96">
              <w:rPr>
                <w:vertAlign w:val="subscript"/>
              </w:rPr>
              <w:t>2</w:t>
            </w:r>
            <w:r>
              <w:t xml:space="preserve"> which implies a correlation of 1 between U</w:t>
            </w:r>
            <w:r w:rsidRPr="003D4C96">
              <w:rPr>
                <w:vertAlign w:val="subscript"/>
              </w:rPr>
              <w:t>1</w:t>
            </w:r>
            <w:r>
              <w:t xml:space="preserve"> and U</w:t>
            </w:r>
            <w:r w:rsidRPr="003D4C96">
              <w:rPr>
                <w:vertAlign w:val="subscript"/>
              </w:rPr>
              <w:t>2</w:t>
            </w:r>
            <w:r>
              <w:t xml:space="preserve">. </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8</w:t>
            </w:r>
          </w:p>
        </w:tc>
        <w:tc>
          <w:tcPr>
            <w:tcW w:w="1417" w:type="dxa"/>
          </w:tcPr>
          <w:p w:rsidR="003D4C96" w:rsidRDefault="003D4C96" w:rsidP="004D3A56">
            <w:pPr>
              <w:spacing w:line="480" w:lineRule="auto"/>
            </w:pPr>
            <w:r>
              <w:t>Lower Bounded Covariance Retrofitting</w:t>
            </w:r>
          </w:p>
        </w:tc>
        <w:tc>
          <w:tcPr>
            <w:tcW w:w="5084" w:type="dxa"/>
          </w:tcPr>
          <w:p w:rsidR="003D4C96" w:rsidRDefault="003D4C96" w:rsidP="004D3A56">
            <w:pPr>
              <w:spacing w:line="480" w:lineRule="auto"/>
            </w:pPr>
            <w:r>
              <w:t>Select the minimum value of a covariance between U</w:t>
            </w:r>
            <w:r w:rsidRPr="00D00506">
              <w:rPr>
                <w:vertAlign w:val="subscript"/>
              </w:rPr>
              <w:t>1</w:t>
            </w:r>
            <w:r>
              <w:t xml:space="preserve"> and U</w:t>
            </w:r>
            <w:r w:rsidRPr="00D00506">
              <w:rPr>
                <w:vertAlign w:val="subscript"/>
              </w:rPr>
              <w:t>2</w:t>
            </w:r>
            <w:r>
              <w:t xml:space="preserve"> such that the two following conditions are met:</w:t>
            </w:r>
          </w:p>
          <w:p w:rsidR="003D4C96" w:rsidRDefault="003D4C96" w:rsidP="004D3A56">
            <w:pPr>
              <w:spacing w:line="480" w:lineRule="auto"/>
            </w:pPr>
            <w:r>
              <w:t>Condition 1: U</w:t>
            </w:r>
            <w:r w:rsidRPr="003D4C96">
              <w:rPr>
                <w:vertAlign w:val="subscript"/>
              </w:rPr>
              <w:t>1</w:t>
            </w:r>
            <w:r>
              <w:t xml:space="preserve"> – U</w:t>
            </w:r>
            <w:r w:rsidRPr="003D4C96">
              <w:rPr>
                <w:vertAlign w:val="subscript"/>
              </w:rPr>
              <w:t>2</w:t>
            </w:r>
            <w:r>
              <w:t xml:space="preserve"> &gt; 0 for all PSA runs.</w:t>
            </w:r>
          </w:p>
          <w:p w:rsidR="003D4C96" w:rsidRDefault="003D4C96" w:rsidP="004D3A56">
            <w:pPr>
              <w:spacing w:line="480" w:lineRule="auto"/>
            </w:pPr>
            <w:r>
              <w:t>Condition 2: The covariance between U</w:t>
            </w:r>
            <w:r w:rsidRPr="003D4C96">
              <w:rPr>
                <w:vertAlign w:val="subscript"/>
              </w:rPr>
              <w:t>1</w:t>
            </w:r>
            <w:r>
              <w:t xml:space="preserve"> and U</w:t>
            </w:r>
            <w:r w:rsidRPr="003D4C96">
              <w:rPr>
                <w:vertAlign w:val="subscript"/>
              </w:rPr>
              <w:t>2</w:t>
            </w:r>
            <w:r>
              <w:t xml:space="preserve"> is greater than AIVM.  </w:t>
            </w:r>
          </w:p>
          <w:p w:rsidR="003D4C96" w:rsidRDefault="003D4C96" w:rsidP="004D3A56">
            <w:pPr>
              <w:spacing w:line="480" w:lineRule="auto"/>
            </w:pPr>
            <w:r>
              <w:t>If this implies that the correlation between U</w:t>
            </w:r>
            <w:r w:rsidRPr="003D4C96">
              <w:rPr>
                <w:vertAlign w:val="subscript"/>
              </w:rPr>
              <w:t>1</w:t>
            </w:r>
            <w:r>
              <w:t xml:space="preserve"> and U</w:t>
            </w:r>
            <w:r w:rsidRPr="003D4C96">
              <w:rPr>
                <w:vertAlign w:val="subscript"/>
              </w:rPr>
              <w:t>2</w:t>
            </w:r>
            <w:r>
              <w:t xml:space="preserve"> is greater than 1, then instead use the covariance value associated with a correlation of 1.</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9</w:t>
            </w:r>
          </w:p>
        </w:tc>
        <w:tc>
          <w:tcPr>
            <w:tcW w:w="1417" w:type="dxa"/>
          </w:tcPr>
          <w:p w:rsidR="003D4C96" w:rsidRDefault="003D4C96" w:rsidP="004D3A56">
            <w:pPr>
              <w:spacing w:line="480" w:lineRule="auto"/>
            </w:pPr>
            <w:r>
              <w:t>Upper Bounded</w:t>
            </w:r>
          </w:p>
          <w:p w:rsidR="003D4C96" w:rsidRDefault="003D4C96" w:rsidP="004D3A56">
            <w:pPr>
              <w:spacing w:line="480" w:lineRule="auto"/>
            </w:pPr>
            <w:r>
              <w:t>Covariance Retrofitting</w:t>
            </w:r>
          </w:p>
        </w:tc>
        <w:tc>
          <w:tcPr>
            <w:tcW w:w="5084" w:type="dxa"/>
          </w:tcPr>
          <w:p w:rsidR="003D4C96" w:rsidRDefault="003D4C96" w:rsidP="004D3A56">
            <w:pPr>
              <w:spacing w:line="480" w:lineRule="auto"/>
            </w:pPr>
            <w:r w:rsidRPr="00284FC4">
              <w:t xml:space="preserve">Methodology 8 but </w:t>
            </w:r>
            <w:r>
              <w:t>where the condition two is that the covariance between U1 and U2 is less than AIVM.</w:t>
            </w:r>
          </w:p>
        </w:tc>
      </w:tr>
      <w:tr w:rsidR="003D4C96" w:rsidTr="003D4C96">
        <w:trPr>
          <w:divId w:val="1364210312"/>
        </w:trPr>
        <w:tc>
          <w:tcPr>
            <w:tcW w:w="1351" w:type="dxa"/>
          </w:tcPr>
          <w:p w:rsidR="003D4C96" w:rsidRDefault="003D4C96" w:rsidP="004D3A56">
            <w:pPr>
              <w:spacing w:line="480" w:lineRule="auto"/>
            </w:pPr>
            <w:r>
              <w:t>Difference model methods †</w:t>
            </w:r>
          </w:p>
        </w:tc>
        <w:tc>
          <w:tcPr>
            <w:tcW w:w="1390" w:type="dxa"/>
          </w:tcPr>
          <w:p w:rsidR="003D4C96" w:rsidRDefault="003D4C96" w:rsidP="004D3A56">
            <w:pPr>
              <w:spacing w:line="480" w:lineRule="auto"/>
            </w:pPr>
            <w:r>
              <w:t>10</w:t>
            </w:r>
          </w:p>
        </w:tc>
        <w:tc>
          <w:tcPr>
            <w:tcW w:w="1417" w:type="dxa"/>
          </w:tcPr>
          <w:p w:rsidR="003D4C96" w:rsidRDefault="003D4C96" w:rsidP="004D3A56">
            <w:pPr>
              <w:spacing w:line="480" w:lineRule="auto"/>
            </w:pPr>
            <w:r>
              <w:t>Beta Distribution Difference Modelling</w:t>
            </w:r>
          </w:p>
        </w:tc>
        <w:tc>
          <w:tcPr>
            <w:tcW w:w="5084" w:type="dxa"/>
          </w:tcPr>
          <w:p w:rsidR="003D4C96" w:rsidRDefault="003D4C96" w:rsidP="004D3A56">
            <w:pPr>
              <w:keepNext/>
              <w:spacing w:line="480" w:lineRule="auto"/>
              <w:rPr>
                <w:rFonts w:cstheme="minorHAnsi"/>
              </w:rPr>
            </w:pPr>
            <w:r>
              <w:rPr>
                <w:rFonts w:cstheme="minorHAnsi"/>
                <w:lang w:eastAsia="zh-CN"/>
              </w:rPr>
              <w:t xml:space="preserve">We define </w:t>
            </w:r>
            <w:r>
              <w:t>U</w:t>
            </w:r>
            <w:r w:rsidRPr="00D00506">
              <w:rPr>
                <w:vertAlign w:val="subscript"/>
              </w:rPr>
              <w:t>2</w:t>
            </w:r>
            <w:r>
              <w:t>=U</w:t>
            </w:r>
            <w:r w:rsidRPr="00D00506">
              <w:rPr>
                <w:vertAlign w:val="subscript"/>
              </w:rPr>
              <w:t>1</w:t>
            </w:r>
            <w:r>
              <w:t>-</w:t>
            </w:r>
            <w:r>
              <w:rPr>
                <w:rFonts w:cstheme="minorHAnsi"/>
              </w:rPr>
              <w:t xml:space="preserve"> Δ, where Δ~ </w:t>
            </w:r>
            <w:proofErr w:type="gramStart"/>
            <w:r>
              <w:rPr>
                <w:rFonts w:cstheme="minorHAnsi"/>
              </w:rPr>
              <w:t>Beta(</w:t>
            </w:r>
            <w:proofErr w:type="spellStart"/>
            <w:proofErr w:type="gramEnd"/>
            <w:r>
              <w:rPr>
                <w:rFonts w:cstheme="minorHAnsi"/>
              </w:rPr>
              <w:t>a,b</w:t>
            </w:r>
            <w:proofErr w:type="spellEnd"/>
            <w:r>
              <w:rPr>
                <w:rFonts w:cstheme="minorHAnsi"/>
              </w:rPr>
              <w:t>).</w:t>
            </w:r>
          </w:p>
          <w:p w:rsidR="003D4C96" w:rsidRDefault="003D4C96" w:rsidP="004D3A56">
            <w:pPr>
              <w:keepNext/>
              <w:spacing w:line="480" w:lineRule="auto"/>
              <w:rPr>
                <w:rFonts w:cstheme="minorHAnsi"/>
              </w:rPr>
            </w:pPr>
            <w:r>
              <w:rPr>
                <w:rFonts w:cstheme="minorHAnsi"/>
              </w:rPr>
              <w:t xml:space="preserve">Stage 1: Calculate the beta parameter a and b </w:t>
            </w:r>
          </w:p>
          <w:p w:rsidR="003D4C96" w:rsidRPr="009D2079" w:rsidRDefault="003D4C96" w:rsidP="004D3A56">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3D4C96" w:rsidRDefault="003D4C96" w:rsidP="004D3A56">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3D4C96" w:rsidRPr="009D2079" w:rsidRDefault="003D4C96" w:rsidP="004D3A56">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d>
                <m:r>
                  <w:rPr>
                    <w:rFonts w:ascii="Cambria Math" w:hAnsi="Cambria Math" w:cstheme="minorHAnsi"/>
                  </w:rPr>
                  <m:t>-mean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d>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d>
                <m:r>
                  <m:rPr>
                    <m:sty m:val="p"/>
                  </m:rPr>
                  <w:rPr>
                    <w:rFonts w:ascii="Cambria Math" w:hAnsi="Cambria Math" w:cstheme="minorHAnsi"/>
                  </w:rPr>
                  <m:t>.</m:t>
                </m:r>
              </m:oMath>
            </m:oMathPara>
          </w:p>
          <w:p w:rsidR="003D4C96" w:rsidRPr="006F0B1D" w:rsidRDefault="003D4C96" w:rsidP="004D3A56">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3D4C96" w:rsidRDefault="003D4C96" w:rsidP="004D3A56">
            <w:pPr>
              <w:keepNext/>
              <w:spacing w:line="480" w:lineRule="auto"/>
              <w:rPr>
                <w:rFonts w:cstheme="minorHAnsi"/>
              </w:rPr>
            </w:pPr>
            <w:r>
              <w:rPr>
                <w:rFonts w:cstheme="minorHAnsi"/>
              </w:rPr>
              <w:t>Stage 2: Draw Δ from the beta distribution.</w:t>
            </w:r>
          </w:p>
          <w:p w:rsidR="003D4C96" w:rsidRDefault="003D4C96" w:rsidP="004D3A56">
            <w:pPr>
              <w:keepNext/>
              <w:spacing w:line="480" w:lineRule="auto"/>
              <w:rPr>
                <w:rFonts w:cstheme="minorHAnsi"/>
              </w:rPr>
            </w:pPr>
            <w:r>
              <w:rPr>
                <w:rFonts w:cstheme="minorHAnsi"/>
              </w:rPr>
              <w:lastRenderedPageBreak/>
              <w:t>Stage 3: Draw U</w:t>
            </w:r>
            <w:r w:rsidRPr="003D4C96">
              <w:rPr>
                <w:rFonts w:cstheme="minorHAnsi"/>
                <w:vertAlign w:val="subscript"/>
              </w:rPr>
              <w:t>1</w:t>
            </w:r>
            <w:r>
              <w:rPr>
                <w:rFonts w:cstheme="minorHAnsi"/>
              </w:rPr>
              <w:t xml:space="preserve"> from the beta distribution.</w:t>
            </w:r>
          </w:p>
          <w:p w:rsidR="003D4C96" w:rsidRPr="009D2079" w:rsidRDefault="003D4C96" w:rsidP="004D3A56">
            <w:pPr>
              <w:keepNext/>
              <w:spacing w:line="480" w:lineRule="auto"/>
              <w:rPr>
                <w:rFonts w:cstheme="minorHAnsi"/>
              </w:rPr>
            </w:pPr>
            <w:r>
              <w:rPr>
                <w:rFonts w:cstheme="minorHAnsi"/>
              </w:rPr>
              <w:t>Stage 4: Samples of U</w:t>
            </w:r>
            <w:r w:rsidRPr="003D4C96">
              <w:rPr>
                <w:rFonts w:cstheme="minorHAnsi"/>
                <w:vertAlign w:val="subscript"/>
              </w:rPr>
              <w:t>2</w:t>
            </w:r>
            <w:r>
              <w:rPr>
                <w:rFonts w:cstheme="minorHAnsi"/>
              </w:rPr>
              <w:t xml:space="preserve"> is calculated using samples of U</w:t>
            </w:r>
            <w:r w:rsidRPr="003D4C96">
              <w:rPr>
                <w:rFonts w:cstheme="minorHAnsi"/>
                <w:vertAlign w:val="subscript"/>
              </w:rPr>
              <w:t>1</w:t>
            </w:r>
            <w:r>
              <w:rPr>
                <w:rFonts w:cstheme="minorHAnsi"/>
              </w:rPr>
              <w:t xml:space="preserve"> minus samples of Δ.</w:t>
            </w:r>
          </w:p>
          <w:p w:rsidR="003D4C96" w:rsidRDefault="003D4C96" w:rsidP="004D3A56">
            <w:pPr>
              <w:keepNext/>
              <w:spacing w:line="480" w:lineRule="auto"/>
              <w:rPr>
                <w:rFonts w:cstheme="minorHAnsi"/>
              </w:rPr>
            </w:pPr>
          </w:p>
          <w:p w:rsidR="003D4C96" w:rsidRPr="006F0B1D" w:rsidRDefault="003D4C96" w:rsidP="004D3A56">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3D4C96" w:rsidRDefault="003D4C96" w:rsidP="004D3A56">
            <w:pPr>
              <w:keepNext/>
              <w:spacing w:line="480" w:lineRule="auto"/>
              <w:rPr>
                <w:rFonts w:cstheme="minorHAnsi"/>
              </w:rPr>
            </w:pPr>
            <w:r>
              <w:rPr>
                <w:rFonts w:cstheme="minorHAnsi"/>
              </w:rPr>
              <w:t>Stage 2: Draw Δ from the beta distribution.</w:t>
            </w:r>
          </w:p>
          <w:p w:rsidR="003D4C96" w:rsidRDefault="003D4C96" w:rsidP="004D3A56">
            <w:pPr>
              <w:keepNext/>
              <w:spacing w:line="480" w:lineRule="auto"/>
              <w:rPr>
                <w:rFonts w:cstheme="minorHAnsi"/>
              </w:rPr>
            </w:pPr>
            <w:r>
              <w:rPr>
                <w:rFonts w:cstheme="minorHAnsi"/>
              </w:rPr>
              <w:t>Stage 3: Draw U</w:t>
            </w:r>
            <w:r w:rsidRPr="003D4C96">
              <w:rPr>
                <w:rFonts w:cstheme="minorHAnsi"/>
                <w:vertAlign w:val="subscript"/>
              </w:rPr>
              <w:t>2</w:t>
            </w:r>
            <w:r>
              <w:rPr>
                <w:rFonts w:cstheme="minorHAnsi"/>
              </w:rPr>
              <w:t xml:space="preserve"> from the beta distribution.</w:t>
            </w:r>
          </w:p>
          <w:p w:rsidR="003D4C96" w:rsidRPr="009D2079" w:rsidRDefault="003D4C96" w:rsidP="004D3A56">
            <w:pPr>
              <w:keepNext/>
              <w:spacing w:line="480" w:lineRule="auto"/>
              <w:rPr>
                <w:rFonts w:cstheme="minorHAnsi"/>
              </w:rPr>
            </w:pPr>
            <w:r>
              <w:rPr>
                <w:rFonts w:cstheme="minorHAnsi"/>
              </w:rPr>
              <w:t>Stage 4: Samples of U</w:t>
            </w:r>
            <w:r w:rsidRPr="003D4C96">
              <w:rPr>
                <w:rFonts w:cstheme="minorHAnsi"/>
                <w:vertAlign w:val="subscript"/>
              </w:rPr>
              <w:t>1</w:t>
            </w:r>
            <w:r>
              <w:rPr>
                <w:rFonts w:cstheme="minorHAnsi"/>
              </w:rPr>
              <w:t xml:space="preserve"> is calculated using samples of U</w:t>
            </w:r>
            <w:r w:rsidRPr="003D4C96">
              <w:rPr>
                <w:rFonts w:cstheme="minorHAnsi"/>
                <w:vertAlign w:val="subscript"/>
              </w:rPr>
              <w:t>2</w:t>
            </w:r>
            <w:r>
              <w:rPr>
                <w:rFonts w:cstheme="minorHAnsi"/>
              </w:rPr>
              <w:t xml:space="preserve"> plus samples of Δ.</w:t>
            </w:r>
          </w:p>
          <w:p w:rsidR="003D4C96" w:rsidRPr="009D2079" w:rsidRDefault="003D4C96" w:rsidP="004D3A56">
            <w:pPr>
              <w:keepNext/>
              <w:spacing w:line="480" w:lineRule="auto"/>
              <w:rPr>
                <w:rFonts w:cstheme="minorHAnsi"/>
                <w:vertAlign w:val="subscript"/>
                <w:lang w:eastAsia="zh-CN"/>
              </w:rPr>
            </w:pPr>
          </w:p>
        </w:tc>
      </w:tr>
    </w:tbl>
    <w:p w:rsidR="003D4C96" w:rsidRDefault="003D4C96" w:rsidP="003D4C96">
      <w:pPr>
        <w:pStyle w:val="Caption"/>
        <w:spacing w:line="480" w:lineRule="auto"/>
        <w:divId w:val="1364210312"/>
      </w:pPr>
      <w:bookmarkStart w:id="277" w:name="_Ref323291518"/>
      <w:r>
        <w:lastRenderedPageBreak/>
        <w:t xml:space="preserve">Table </w:t>
      </w:r>
      <w:del w:id="278" w:author="Jon Minton" w:date="2014-02-06T21:10:00Z">
        <w:r w:rsidR="00CA00C6" w:rsidDel="003C7C25">
          <w:fldChar w:fldCharType="begin"/>
        </w:r>
        <w:r w:rsidR="00CA00C6" w:rsidDel="003C7C25">
          <w:delInstrText xml:space="preserve"> SEQ Table \* ARABIC </w:delInstrText>
        </w:r>
        <w:r w:rsidR="00CA00C6" w:rsidDel="003C7C25">
          <w:fldChar w:fldCharType="separate"/>
        </w:r>
        <w:r w:rsidR="004D3A56" w:rsidDel="003C7C25">
          <w:rPr>
            <w:noProof/>
          </w:rPr>
          <w:delText>3</w:delText>
        </w:r>
        <w:r w:rsidR="00CA00C6" w:rsidDel="003C7C25">
          <w:rPr>
            <w:noProof/>
          </w:rPr>
          <w:fldChar w:fldCharType="end"/>
        </w:r>
        <w:bookmarkEnd w:id="277"/>
        <w:r w:rsidDel="003C7C25">
          <w:delText xml:space="preserve"> </w:delText>
        </w:r>
      </w:del>
      <w:ins w:id="279" w:author="Jon Minton" w:date="2014-02-06T21:10:00Z">
        <w:r w:rsidR="003C7C25">
          <w:t>A1</w:t>
        </w:r>
        <w:r w:rsidR="003C7C25">
          <w:t xml:space="preserve"> </w:t>
        </w:r>
      </w:ins>
      <w:r>
        <w:t>Summary of the ten approaches considered. The † symbol indicates classes of methods where monotonicity cannot be violated.</w:t>
      </w:r>
    </w:p>
    <w:p w:rsidR="006F621E" w:rsidRPr="006F621E" w:rsidRDefault="006F621E" w:rsidP="006F621E"/>
    <w:sectPr w:rsidR="006F621E" w:rsidRPr="006F621E" w:rsidSect="00047821">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4-01-27T16:04:00Z" w:initials="U">
    <w:p w:rsidR="00805B94" w:rsidRDefault="00805B94">
      <w:pPr>
        <w:pStyle w:val="CommentText"/>
      </w:pPr>
      <w:r>
        <w:rPr>
          <w:rStyle w:val="CommentReference"/>
        </w:rPr>
        <w:annotationRef/>
      </w:r>
      <w:r>
        <w:t>What is the title?</w:t>
      </w:r>
    </w:p>
  </w:comment>
  <w:comment w:id="1" w:author="Matt" w:date="2014-01-27T16:04:00Z" w:initials="M">
    <w:p w:rsidR="00805B94" w:rsidRDefault="00805B94">
      <w:pPr>
        <w:pStyle w:val="CommentText"/>
      </w:pPr>
      <w:r>
        <w:rPr>
          <w:rStyle w:val="CommentReference"/>
        </w:rPr>
        <w:annotationRef/>
      </w:r>
      <w:r>
        <w:t>Invites criticism and may not be true. The adoption decision may be the same for all methods.</w:t>
      </w:r>
    </w:p>
  </w:comment>
  <w:comment w:id="2" w:author="User" w:date="2014-02-06T20:58:00Z" w:initials="U">
    <w:p w:rsidR="00805B94" w:rsidRDefault="00805B94">
      <w:pPr>
        <w:pStyle w:val="CommentText"/>
      </w:pPr>
      <w:r>
        <w:rPr>
          <w:rStyle w:val="CommentReference"/>
        </w:rPr>
        <w:annotationRef/>
      </w:r>
      <w:r>
        <w:t>Say how the 10 methods were identified.</w:t>
      </w:r>
    </w:p>
    <w:p w:rsidR="003C7C25" w:rsidRDefault="003C7C25">
      <w:pPr>
        <w:pStyle w:val="CommentText"/>
      </w:pPr>
      <w:r>
        <w:t>JM: Too much detail for the abstract</w:t>
      </w:r>
    </w:p>
  </w:comment>
  <w:comment w:id="4" w:author="Kate Ren" w:date="2014-01-27T16:04:00Z" w:initials="KR">
    <w:p w:rsidR="00805B94" w:rsidRDefault="00805B94">
      <w:pPr>
        <w:pStyle w:val="CommentText"/>
      </w:pPr>
      <w:r>
        <w:rPr>
          <w:rStyle w:val="CommentReference"/>
        </w:rPr>
        <w:annotationRef/>
      </w:r>
      <w:r>
        <w:t>Shall we add that we have only looked at how to sample two monotonically related parameters??</w:t>
      </w:r>
    </w:p>
  </w:comment>
  <w:comment w:id="5" w:author="Matt" w:date="2014-01-27T16:04:00Z" w:initials="M">
    <w:p w:rsidR="00805B94" w:rsidRDefault="00805B94">
      <w:pPr>
        <w:pStyle w:val="CommentText"/>
      </w:pPr>
      <w:r>
        <w:rPr>
          <w:rStyle w:val="CommentReference"/>
        </w:rPr>
        <w:annotationRef/>
      </w:r>
      <w:r>
        <w:t>If we can do under the word limit than I agree.</w:t>
      </w:r>
    </w:p>
  </w:comment>
  <w:comment w:id="22" w:author="Kate Ren" w:date="2014-01-27T16:04:00Z" w:initials="KR">
    <w:p w:rsidR="00805B94" w:rsidRDefault="00805B94">
      <w:pPr>
        <w:pStyle w:val="CommentText"/>
      </w:pPr>
      <w:r>
        <w:rPr>
          <w:rStyle w:val="CommentReference"/>
        </w:rPr>
        <w:annotationRef/>
      </w:r>
      <w:r>
        <w:t>Can we say what the 10 methods are somewhere in the introduction?</w:t>
      </w:r>
    </w:p>
    <w:p w:rsidR="00805B94" w:rsidRDefault="00805B94">
      <w:pPr>
        <w:pStyle w:val="CommentText"/>
      </w:pPr>
    </w:p>
    <w:p w:rsidR="00805B94" w:rsidRDefault="00805B94">
      <w:pPr>
        <w:pStyle w:val="CommentText"/>
      </w:pPr>
      <w:r>
        <w:t xml:space="preserve">There is a subsection called </w:t>
      </w:r>
      <w:r w:rsidRPr="001B0524">
        <w:t>The Ten Methods</w:t>
      </w:r>
      <w:r>
        <w:t>. Will it make more sense to have it in the introduction section?</w:t>
      </w:r>
    </w:p>
  </w:comment>
  <w:comment w:id="23" w:author="Matt" w:date="2014-01-27T16:04:00Z" w:initials="M">
    <w:p w:rsidR="00805B94" w:rsidRDefault="00805B94">
      <w:pPr>
        <w:pStyle w:val="CommentText"/>
      </w:pPr>
      <w:r>
        <w:rPr>
          <w:rStyle w:val="CommentReference"/>
        </w:rPr>
        <w:annotationRef/>
      </w:r>
      <w:r>
        <w:t>I think it is better in methods, but moved earlier as highlighted</w:t>
      </w:r>
    </w:p>
  </w:comment>
  <w:comment w:id="25" w:author="User" w:date="2014-01-27T16:04:00Z" w:initials="U">
    <w:p w:rsidR="00805B94" w:rsidRDefault="00805B94">
      <w:pPr>
        <w:pStyle w:val="CommentText"/>
      </w:pPr>
      <w:r>
        <w:rPr>
          <w:rStyle w:val="CommentReference"/>
        </w:rPr>
        <w:annotationRef/>
      </w:r>
      <w:r>
        <w:t xml:space="preserve">I don’t think this is a good example. There are probably </w:t>
      </w:r>
      <w:proofErr w:type="spellStart"/>
      <w:r>
        <w:t>dieases</w:t>
      </w:r>
      <w:proofErr w:type="spellEnd"/>
      <w:r>
        <w:t xml:space="preserve"> for which more severe is associated with less aggressive treatment so less AEs and higher </w:t>
      </w:r>
      <w:proofErr w:type="spellStart"/>
      <w:r>
        <w:t>QoL</w:t>
      </w:r>
      <w:proofErr w:type="spellEnd"/>
      <w:r>
        <w:t>. Perhaps change to two levels of symptoms?</w:t>
      </w:r>
    </w:p>
  </w:comment>
  <w:comment w:id="26" w:author="Kate Ren" w:date="2014-01-27T16:04:00Z" w:initials="KR">
    <w:p w:rsidR="00805B94" w:rsidRDefault="00805B94">
      <w:pPr>
        <w:pStyle w:val="CommentText"/>
      </w:pPr>
      <w:r>
        <w:rPr>
          <w:rStyle w:val="CommentReference"/>
        </w:rPr>
        <w:annotationRef/>
      </w:r>
      <w:r>
        <w:t xml:space="preserve">Is </w:t>
      </w:r>
      <w:proofErr w:type="spellStart"/>
      <w:r>
        <w:t>HRQoL</w:t>
      </w:r>
      <w:proofErr w:type="spellEnd"/>
      <w:r>
        <w:t xml:space="preserve"> more commonly used?</w:t>
      </w:r>
    </w:p>
  </w:comment>
  <w:comment w:id="28" w:author="Matt" w:date="2014-01-27T16:04:00Z" w:initials="M">
    <w:p w:rsidR="00805B94" w:rsidRDefault="00805B94">
      <w:pPr>
        <w:pStyle w:val="CommentText"/>
      </w:pPr>
      <w:r>
        <w:rPr>
          <w:rStyle w:val="CommentReference"/>
        </w:rPr>
        <w:annotationRef/>
      </w:r>
      <w:r>
        <w:t>Yes, change all</w:t>
      </w:r>
    </w:p>
  </w:comment>
  <w:comment w:id="36" w:author="Kate Ren" w:date="2014-01-27T16:04:00Z" w:initials="KR">
    <w:p w:rsidR="00805B94" w:rsidRDefault="00805B94">
      <w:pPr>
        <w:pStyle w:val="CommentText"/>
      </w:pPr>
      <w:r>
        <w:rPr>
          <w:rStyle w:val="CommentReference"/>
        </w:rPr>
        <w:annotationRef/>
      </w:r>
      <w:r>
        <w:t xml:space="preserve">I think it’s better to delete this, unless you want to explain what x, y and 2 are. </w:t>
      </w:r>
    </w:p>
  </w:comment>
  <w:comment w:id="35" w:author="Matt" w:date="2014-01-27T16:04:00Z" w:initials="M">
    <w:p w:rsidR="00805B94" w:rsidRDefault="00805B94">
      <w:pPr>
        <w:pStyle w:val="CommentText"/>
      </w:pPr>
      <w:r>
        <w:rPr>
          <w:rStyle w:val="CommentReference"/>
        </w:rPr>
        <w:annotationRef/>
      </w:r>
      <w:r>
        <w:t>Agreed</w:t>
      </w:r>
    </w:p>
  </w:comment>
  <w:comment w:id="37" w:author="User" w:date="2014-01-28T16:22:00Z" w:initials="U">
    <w:p w:rsidR="006C42F2" w:rsidRDefault="006C42F2">
      <w:pPr>
        <w:pStyle w:val="CommentText"/>
      </w:pPr>
      <w:r>
        <w:rPr>
          <w:rStyle w:val="CommentReference"/>
        </w:rPr>
        <w:annotationRef/>
      </w:r>
      <w:r>
        <w:t xml:space="preserve">Briefly mention other examples of parameters that could be monotonically related </w:t>
      </w:r>
      <w:proofErr w:type="spellStart"/>
      <w:r>
        <w:t>eg</w:t>
      </w:r>
      <w:proofErr w:type="spellEnd"/>
      <w:r>
        <w:t>. Costs or transition probabilities.</w:t>
      </w:r>
    </w:p>
  </w:comment>
  <w:comment w:id="39" w:author="User" w:date="2014-01-27T16:04:00Z" w:initials="U">
    <w:p w:rsidR="00805B94" w:rsidRDefault="00805B94">
      <w:pPr>
        <w:pStyle w:val="CommentText"/>
      </w:pPr>
      <w:r>
        <w:rPr>
          <w:rStyle w:val="CommentReference"/>
        </w:rPr>
        <w:annotationRef/>
      </w:r>
      <w:r>
        <w:t xml:space="preserve">I would define </w:t>
      </w:r>
      <w:proofErr w:type="spellStart"/>
      <w:r>
        <w:t>indepentdent</w:t>
      </w:r>
      <w:proofErr w:type="spellEnd"/>
      <w:r>
        <w:t xml:space="preserve"> </w:t>
      </w:r>
      <w:proofErr w:type="spellStart"/>
      <w:r>
        <w:t>sampleing</w:t>
      </w:r>
      <w:proofErr w:type="spellEnd"/>
      <w:r>
        <w:t xml:space="preserve"> in background here.</w:t>
      </w:r>
    </w:p>
  </w:comment>
  <w:comment w:id="40" w:author="User" w:date="2014-01-27T16:04:00Z" w:initials="U">
    <w:p w:rsidR="00805B94" w:rsidRDefault="00805B94">
      <w:pPr>
        <w:pStyle w:val="CommentText"/>
      </w:pPr>
      <w:r>
        <w:rPr>
          <w:rStyle w:val="CommentReference"/>
        </w:rPr>
        <w:annotationRef/>
      </w:r>
      <w:r>
        <w:t xml:space="preserve">This seems to want to be a general definition. If so it should not relate to the HRQL example. More generalizable and better if we say </w:t>
      </w:r>
      <w:proofErr w:type="spellStart"/>
      <w:r>
        <w:t>somehitng</w:t>
      </w:r>
      <w:proofErr w:type="spellEnd"/>
      <w:r>
        <w:t xml:space="preserve"> like: We have two parameters in the PSA and we know they are monotonically related with U1&gt;=U2….</w:t>
      </w:r>
    </w:p>
  </w:comment>
  <w:comment w:id="50" w:author="Matt" w:date="2014-01-27T16:04:00Z" w:initials="M">
    <w:p w:rsidR="00805B94" w:rsidRDefault="00805B94">
      <w:pPr>
        <w:pStyle w:val="CommentText"/>
      </w:pPr>
      <w:r>
        <w:rPr>
          <w:rStyle w:val="CommentReference"/>
        </w:rPr>
        <w:annotationRef/>
      </w:r>
      <w:r>
        <w:t>This needs amending throughout, are we saying less severe, thus u1&gt;u2 or are we saying less severe, or equivalent to?</w:t>
      </w:r>
    </w:p>
  </w:comment>
  <w:comment w:id="63" w:author="Matt" w:date="2014-01-27T16:04:00Z" w:initials="M">
    <w:p w:rsidR="00805B94" w:rsidRDefault="00805B94">
      <w:pPr>
        <w:pStyle w:val="CommentText"/>
      </w:pPr>
      <w:r>
        <w:rPr>
          <w:rStyle w:val="CommentReference"/>
        </w:rPr>
        <w:annotationRef/>
      </w:r>
      <w:r>
        <w:t>I still have concerns over this similar to those raised by Sophie. The analyst will not have the IPD, so the bootstrapping is an unknown parameter. If different data sets have the same summary statistics, but different bootstrapped values, then similarity to our chosen gold standard is a weak criteria. In the extreme the same random number could be correct.</w:t>
      </w:r>
    </w:p>
    <w:p w:rsidR="00805B94" w:rsidRDefault="00805B94">
      <w:pPr>
        <w:pStyle w:val="CommentText"/>
      </w:pPr>
    </w:p>
    <w:p w:rsidR="00805B94" w:rsidRDefault="00805B94">
      <w:pPr>
        <w:pStyle w:val="CommentText"/>
      </w:pPr>
      <w:r>
        <w:t>I would keep this in, but think we need to downplay this much more. The reviewers may ask for a hypothetical data set that differs, but with the same summary value, but I would wait for them to ask, unless we do have time to do this in advance and discuss the conclusions.</w:t>
      </w:r>
    </w:p>
    <w:p w:rsidR="00805B94" w:rsidRDefault="00805B94">
      <w:pPr>
        <w:pStyle w:val="CommentText"/>
      </w:pPr>
      <w:r>
        <w:t xml:space="preserve">Given this, it might be worth adding in text regarding the validation of the </w:t>
      </w:r>
      <w:proofErr w:type="spellStart"/>
      <w:r>
        <w:t>estiamtes</w:t>
      </w:r>
      <w:proofErr w:type="spellEnd"/>
      <w:r>
        <w:t xml:space="preserve"> with experts in the field.</w:t>
      </w:r>
    </w:p>
  </w:comment>
  <w:comment w:id="58" w:author="User" w:date="2014-01-27T16:04:00Z" w:initials="U">
    <w:p w:rsidR="00805B94" w:rsidRDefault="00805B94">
      <w:pPr>
        <w:pStyle w:val="CommentText"/>
      </w:pPr>
      <w:r>
        <w:rPr>
          <w:rStyle w:val="CommentReference"/>
        </w:rPr>
        <w:annotationRef/>
      </w:r>
      <w:r>
        <w:t>Similarly to definition above I think this need to be general and not specifically relate to health states.</w:t>
      </w:r>
    </w:p>
  </w:comment>
  <w:comment w:id="64" w:author="Matt" w:date="2014-01-27T16:04:00Z" w:initials="M">
    <w:p w:rsidR="00805B94" w:rsidRDefault="00805B94">
      <w:pPr>
        <w:pStyle w:val="CommentText"/>
      </w:pPr>
      <w:r>
        <w:rPr>
          <w:rStyle w:val="CommentReference"/>
        </w:rPr>
        <w:annotationRef/>
      </w:r>
      <w:r>
        <w:t>I think the text made it harder to understand as we hadn’t seen Table 1 yet.</w:t>
      </w:r>
    </w:p>
  </w:comment>
  <w:comment w:id="66" w:author="Matt" w:date="2014-01-27T16:04:00Z" w:initials="M">
    <w:p w:rsidR="00805B94" w:rsidRDefault="00805B94">
      <w:pPr>
        <w:pStyle w:val="CommentText"/>
      </w:pPr>
      <w:r>
        <w:rPr>
          <w:rStyle w:val="CommentReference"/>
        </w:rPr>
        <w:annotationRef/>
      </w:r>
      <w:r>
        <w:t>This should go before the summary states and bootstrapped estimates</w:t>
      </w:r>
    </w:p>
  </w:comment>
  <w:comment w:id="67" w:author="User" w:date="2014-01-27T16:04:00Z" w:initials="U">
    <w:p w:rsidR="00805B94" w:rsidRDefault="00805B94">
      <w:pPr>
        <w:pStyle w:val="CommentText"/>
      </w:pPr>
      <w:r>
        <w:rPr>
          <w:rStyle w:val="CommentReference"/>
        </w:rPr>
        <w:annotationRef/>
      </w:r>
      <w:r>
        <w:t xml:space="preserve">Need </w:t>
      </w:r>
      <w:proofErr w:type="spellStart"/>
      <w:r>
        <w:t>refereneces</w:t>
      </w:r>
      <w:proofErr w:type="spellEnd"/>
      <w:r>
        <w:t xml:space="preserve"> and examples of use here. </w:t>
      </w:r>
    </w:p>
    <w:p w:rsidR="00805B94" w:rsidRDefault="00805B94">
      <w:pPr>
        <w:pStyle w:val="CommentText"/>
      </w:pPr>
    </w:p>
    <w:p w:rsidR="00805B94" w:rsidRDefault="00805B94">
      <w:pPr>
        <w:pStyle w:val="CommentText"/>
      </w:pPr>
      <w:r>
        <w:t>Also were any methods identifies that were not tested?</w:t>
      </w:r>
    </w:p>
  </w:comment>
  <w:comment w:id="68" w:author="User" w:date="2014-01-27T16:04:00Z" w:initials="U">
    <w:p w:rsidR="00805B94" w:rsidRDefault="00805B94">
      <w:pPr>
        <w:pStyle w:val="CommentText"/>
      </w:pPr>
      <w:r>
        <w:rPr>
          <w:rStyle w:val="CommentReference"/>
        </w:rPr>
        <w:annotationRef/>
      </w:r>
      <w:r>
        <w:t>Only really 9 as number one does not really consider monotonicity at all.</w:t>
      </w:r>
    </w:p>
  </w:comment>
  <w:comment w:id="73" w:author="Matt" w:date="2014-01-27T16:04:00Z" w:initials="M">
    <w:p w:rsidR="00805B94" w:rsidRDefault="00805B94">
      <w:pPr>
        <w:pStyle w:val="CommentText"/>
      </w:pPr>
      <w:r>
        <w:rPr>
          <w:rStyle w:val="CommentReference"/>
        </w:rPr>
        <w:annotationRef/>
      </w:r>
      <w:r>
        <w:t xml:space="preserve">Don’t want to get into the </w:t>
      </w:r>
      <w:proofErr w:type="spellStart"/>
      <w:r>
        <w:t>orobability</w:t>
      </w:r>
      <w:proofErr w:type="spellEnd"/>
      <w:r>
        <w:t xml:space="preserve"> with two wide distributions with close means the </w:t>
      </w:r>
      <w:proofErr w:type="spellStart"/>
      <w:r>
        <w:t>prob</w:t>
      </w:r>
      <w:proofErr w:type="spellEnd"/>
      <w:r>
        <w:t xml:space="preserve"> could approach 0.5</w:t>
      </w:r>
    </w:p>
  </w:comment>
  <w:comment w:id="77" w:author="Matt" w:date="2014-01-27T16:04:00Z" w:initials="M">
    <w:p w:rsidR="00805B94" w:rsidRDefault="00805B94">
      <w:pPr>
        <w:pStyle w:val="CommentText"/>
      </w:pPr>
      <w:r>
        <w:rPr>
          <w:rStyle w:val="CommentReference"/>
        </w:rPr>
        <w:annotationRef/>
      </w:r>
      <w:r>
        <w:t>This should come after the more detailed descriptions of the methods.</w:t>
      </w:r>
    </w:p>
  </w:comment>
  <w:comment w:id="90" w:author="User" w:date="2014-01-27T16:04:00Z" w:initials="U">
    <w:p w:rsidR="00805B94" w:rsidRDefault="00805B94">
      <w:pPr>
        <w:pStyle w:val="CommentText"/>
      </w:pPr>
      <w:r>
        <w:rPr>
          <w:rStyle w:val="CommentReference"/>
        </w:rPr>
        <w:annotationRef/>
      </w:r>
      <w:r>
        <w:t>I would include the names of the methods in the figures</w:t>
      </w:r>
    </w:p>
  </w:comment>
  <w:comment w:id="112" w:author="Matt" w:date="2014-02-06T21:11:00Z" w:initials="M">
    <w:p w:rsidR="003C7C25" w:rsidRDefault="003C7C25" w:rsidP="003C7C25">
      <w:pPr>
        <w:pStyle w:val="CommentText"/>
      </w:pPr>
      <w:r>
        <w:rPr>
          <w:rStyle w:val="CommentReference"/>
        </w:rPr>
        <w:annotationRef/>
      </w:r>
      <w:r>
        <w:t>This should come after the more detailed descriptions of the methods.</w:t>
      </w:r>
    </w:p>
  </w:comment>
  <w:comment w:id="116" w:author="Kate Ren" w:date="2014-01-27T16:04:00Z" w:initials="KR">
    <w:p w:rsidR="00805B94" w:rsidRDefault="00805B94">
      <w:pPr>
        <w:pStyle w:val="CommentText"/>
      </w:pPr>
      <w:r>
        <w:rPr>
          <w:rStyle w:val="CommentReference"/>
        </w:rPr>
        <w:annotationRef/>
      </w:r>
      <w:r>
        <w:t>Any reason for not just using “=”?</w:t>
      </w:r>
    </w:p>
  </w:comment>
  <w:comment w:id="117" w:author="Matt" w:date="2014-01-27T16:04:00Z" w:initials="M">
    <w:p w:rsidR="00805B94" w:rsidRDefault="00805B94">
      <w:pPr>
        <w:pStyle w:val="CommentText"/>
      </w:pPr>
      <w:r>
        <w:rPr>
          <w:rStyle w:val="CommentReference"/>
        </w:rPr>
        <w:annotationRef/>
      </w:r>
      <w:r>
        <w:t>Too vague. Did we use criteria for increasing the cv parameter. If not, can we make it look like we did??</w:t>
      </w:r>
    </w:p>
  </w:comment>
  <w:comment w:id="126" w:author="Kate Ren" w:date="2014-01-27T16:04:00Z" w:initials="KR">
    <w:p w:rsidR="00805B94" w:rsidRDefault="00805B94">
      <w:pPr>
        <w:pStyle w:val="CommentText"/>
      </w:pPr>
      <w:r>
        <w:rPr>
          <w:rStyle w:val="CommentReference"/>
        </w:rPr>
        <w:annotationRef/>
      </w:r>
      <w:r>
        <w:t>Why not just \delta?</w:t>
      </w:r>
    </w:p>
  </w:comment>
  <w:comment w:id="127" w:author="Kate Ren" w:date="2014-01-27T16:04:00Z" w:initials="KR">
    <w:p w:rsidR="00805B94" w:rsidRDefault="00805B94">
      <w:pPr>
        <w:pStyle w:val="CommentText"/>
      </w:pPr>
      <w:r>
        <w:rPr>
          <w:rStyle w:val="CommentReference"/>
        </w:rPr>
        <w:annotationRef/>
      </w:r>
      <w:r>
        <w:t xml:space="preserve">Be more specific, e.g., (in </w:t>
      </w:r>
      <w:proofErr w:type="spellStart"/>
      <w:r>
        <w:t>sectionxxx</w:t>
      </w:r>
      <w:proofErr w:type="spellEnd"/>
      <w:r>
        <w:t>)</w:t>
      </w:r>
    </w:p>
  </w:comment>
  <w:comment w:id="128" w:author="Matt" w:date="2014-01-27T16:04:00Z" w:initials="M">
    <w:p w:rsidR="00805B94" w:rsidRDefault="00805B94">
      <w:pPr>
        <w:pStyle w:val="CommentText"/>
      </w:pPr>
      <w:r>
        <w:rPr>
          <w:rStyle w:val="CommentReference"/>
        </w:rPr>
        <w:annotationRef/>
      </w:r>
      <w:r>
        <w:t>Agree with Kate, but it may be that we want to have this section immediately following.</w:t>
      </w:r>
    </w:p>
  </w:comment>
  <w:comment w:id="129" w:author="Matt" w:date="2014-01-27T16:04:00Z" w:initials="M">
    <w:p w:rsidR="00805B94" w:rsidRDefault="00805B94">
      <w:pPr>
        <w:pStyle w:val="CommentText"/>
      </w:pPr>
      <w:r>
        <w:rPr>
          <w:rStyle w:val="CommentReference"/>
        </w:rPr>
        <w:annotationRef/>
      </w:r>
      <w:r>
        <w:t>Play this down!</w:t>
      </w:r>
    </w:p>
  </w:comment>
  <w:comment w:id="130" w:author="User" w:date="2014-01-28T15:20:00Z" w:initials="U">
    <w:p w:rsidR="00805B94" w:rsidRDefault="00805B94">
      <w:pPr>
        <w:pStyle w:val="CommentText"/>
      </w:pPr>
      <w:r>
        <w:rPr>
          <w:rStyle w:val="CommentReference"/>
        </w:rPr>
        <w:annotationRef/>
      </w:r>
      <w:r>
        <w:t>I would replace with:</w:t>
      </w:r>
    </w:p>
    <w:p w:rsidR="00805B94" w:rsidRDefault="00805B94">
      <w:pPr>
        <w:pStyle w:val="CommentText"/>
      </w:pPr>
      <w:r>
        <w:t xml:space="preserve">Comparison of the methods via visual inspection of scatterplots and violin plots is presented. For the three most promising data sets comparison using the second </w:t>
      </w:r>
      <w:proofErr w:type="spellStart"/>
      <w:r>
        <w:t>hypthotecial</w:t>
      </w:r>
      <w:proofErr w:type="spellEnd"/>
      <w:r>
        <w:t xml:space="preserve"> data set is also presented.</w:t>
      </w:r>
    </w:p>
  </w:comment>
  <w:comment w:id="138" w:author="User" w:date="2014-01-28T15:21:00Z" w:initials="U">
    <w:p w:rsidR="00805B94" w:rsidRDefault="00805B94">
      <w:pPr>
        <w:pStyle w:val="CommentText"/>
      </w:pPr>
      <w:r>
        <w:rPr>
          <w:rStyle w:val="CommentReference"/>
        </w:rPr>
        <w:annotationRef/>
      </w:r>
      <w:r>
        <w:t>Is this section important or should it be in an appendix?</w:t>
      </w:r>
    </w:p>
  </w:comment>
  <w:comment w:id="145" w:author="User" w:date="2014-01-27T16:28:00Z" w:initials="U">
    <w:p w:rsidR="00805B94" w:rsidRDefault="00805B94">
      <w:pPr>
        <w:pStyle w:val="CommentText"/>
      </w:pPr>
      <w:r>
        <w:rPr>
          <w:rStyle w:val="CommentReference"/>
        </w:rPr>
        <w:annotationRef/>
      </w:r>
      <w:r>
        <w:t>Several of the figures would benefit from having a commentary in addition to a title and key.</w:t>
      </w:r>
    </w:p>
  </w:comment>
  <w:comment w:id="148" w:author="User" w:date="2014-01-28T15:22:00Z" w:initials="U">
    <w:p w:rsidR="00805B94" w:rsidRDefault="00805B94">
      <w:pPr>
        <w:pStyle w:val="CommentText"/>
      </w:pPr>
      <w:r>
        <w:rPr>
          <w:rStyle w:val="CommentReference"/>
        </w:rPr>
        <w:annotationRef/>
      </w:r>
      <w:r>
        <w:t>Move to methods?</w:t>
      </w:r>
    </w:p>
  </w:comment>
  <w:comment w:id="149" w:author="Matt" w:date="2014-01-27T16:04:00Z" w:initials="M">
    <w:p w:rsidR="00805B94" w:rsidRDefault="00805B94">
      <w:pPr>
        <w:pStyle w:val="CommentText"/>
      </w:pPr>
      <w:r>
        <w:rPr>
          <w:rStyle w:val="CommentReference"/>
        </w:rPr>
        <w:annotationRef/>
      </w:r>
      <w:r>
        <w:t>This is contradicted with discussion on Method 2</w:t>
      </w:r>
    </w:p>
  </w:comment>
  <w:comment w:id="169" w:author="Matt" w:date="2014-01-27T16:04:00Z" w:initials="M">
    <w:p w:rsidR="00805B94" w:rsidRDefault="00805B94">
      <w:pPr>
        <w:pStyle w:val="CommentText"/>
      </w:pPr>
      <w:r>
        <w:rPr>
          <w:rStyle w:val="CommentReference"/>
        </w:rPr>
        <w:annotationRef/>
      </w:r>
      <w:r>
        <w:t>Linked to the main point, this bootstrapped mean is not known, I would compare to the known mean.</w:t>
      </w:r>
    </w:p>
  </w:comment>
  <w:comment w:id="177" w:author="User" w:date="2014-01-28T16:25:00Z" w:initials="U">
    <w:p w:rsidR="00805B94" w:rsidRDefault="00805B94">
      <w:pPr>
        <w:pStyle w:val="CommentText"/>
      </w:pPr>
      <w:r>
        <w:rPr>
          <w:rStyle w:val="CommentReference"/>
        </w:rPr>
        <w:annotationRef/>
      </w:r>
      <w:r>
        <w:t>Figure 5 needs axis labelling and a key adding.</w:t>
      </w:r>
      <w:r w:rsidR="006C42F2">
        <w:t xml:space="preserve"> I would also suggest some commentary with figure. E.g. Methods 8 and 10 match the bootstrapped data the most closely</w:t>
      </w:r>
      <w:r w:rsidR="00597E06">
        <w:t>.</w:t>
      </w:r>
    </w:p>
    <w:p w:rsidR="00597E06" w:rsidRDefault="00597E06">
      <w:pPr>
        <w:pStyle w:val="CommentText"/>
      </w:pPr>
    </w:p>
    <w:p w:rsidR="00597E06" w:rsidRDefault="00597E06">
      <w:pPr>
        <w:pStyle w:val="CommentText"/>
      </w:pPr>
      <w:r>
        <w:t>Why are diagrams all double i.e. symmetrical around y axis – seems unnecessary but maybe it is convention or something?</w:t>
      </w:r>
    </w:p>
  </w:comment>
  <w:comment w:id="178" w:author="User" w:date="2014-01-28T16:13:00Z" w:initials="U">
    <w:p w:rsidR="006C42F2" w:rsidRDefault="006C42F2">
      <w:pPr>
        <w:pStyle w:val="CommentText"/>
      </w:pPr>
      <w:r>
        <w:rPr>
          <w:rStyle w:val="CommentReference"/>
        </w:rPr>
        <w:annotationRef/>
      </w:r>
      <w:r>
        <w:t>This analysis needs to be described in the methods section</w:t>
      </w:r>
    </w:p>
  </w:comment>
  <w:comment w:id="185" w:author="Matt" w:date="2014-01-27T16:04:00Z" w:initials="M">
    <w:p w:rsidR="00805B94" w:rsidRDefault="00805B94">
      <w:pPr>
        <w:pStyle w:val="CommentText"/>
      </w:pPr>
      <w:r>
        <w:rPr>
          <w:rStyle w:val="CommentReference"/>
        </w:rPr>
        <w:annotationRef/>
      </w:r>
      <w:r>
        <w:t>What is the point being made here. You’ve written it as though it is important, but I need it spelt out a bit more, with relation to the comment on unknown bootstrapped data,</w:t>
      </w:r>
    </w:p>
  </w:comment>
  <w:comment w:id="190" w:author="User" w:date="2014-01-28T16:13:00Z" w:initials="U">
    <w:p w:rsidR="006C42F2" w:rsidRDefault="006C42F2">
      <w:pPr>
        <w:pStyle w:val="CommentText"/>
      </w:pPr>
      <w:r>
        <w:rPr>
          <w:rStyle w:val="CommentReference"/>
        </w:rPr>
        <w:annotationRef/>
      </w:r>
      <w:r>
        <w:t>This is true but I think it is known and obvious and should be in background not in findings.</w:t>
      </w:r>
    </w:p>
  </w:comment>
  <w:comment w:id="191" w:author="User" w:date="2014-01-28T16:14:00Z" w:initials="U">
    <w:p w:rsidR="006C42F2" w:rsidRDefault="006C42F2">
      <w:pPr>
        <w:pStyle w:val="CommentText"/>
      </w:pPr>
      <w:r>
        <w:rPr>
          <w:rStyle w:val="CommentReference"/>
        </w:rPr>
        <w:annotationRef/>
      </w:r>
      <w:r>
        <w:t xml:space="preserve">This statement is too strong. If means were not close and </w:t>
      </w:r>
      <w:proofErr w:type="spellStart"/>
      <w:r>
        <w:t>sdeviations</w:t>
      </w:r>
      <w:proofErr w:type="spellEnd"/>
      <w:r>
        <w:t xml:space="preserve"> small then independent sampling would be ok I think?</w:t>
      </w:r>
    </w:p>
  </w:comment>
  <w:comment w:id="220" w:author="Matt" w:date="2014-01-27T16:04:00Z" w:initials="M">
    <w:p w:rsidR="00805B94" w:rsidRDefault="00805B94">
      <w:pPr>
        <w:pStyle w:val="CommentText"/>
      </w:pPr>
      <w:r>
        <w:rPr>
          <w:rStyle w:val="CommentReference"/>
        </w:rPr>
        <w:annotationRef/>
      </w:r>
      <w:proofErr w:type="spellStart"/>
      <w:proofErr w:type="gramStart"/>
      <w:r>
        <w:t>repitition</w:t>
      </w:r>
      <w:proofErr w:type="spellEnd"/>
      <w:proofErr w:type="gramEnd"/>
    </w:p>
  </w:comment>
  <w:comment w:id="222" w:author="Matt" w:date="2014-01-27T16:04:00Z" w:initials="M">
    <w:p w:rsidR="00805B94" w:rsidRDefault="00805B94">
      <w:pPr>
        <w:pStyle w:val="CommentText"/>
      </w:pPr>
      <w:r>
        <w:rPr>
          <w:rStyle w:val="CommentReference"/>
        </w:rPr>
        <w:annotationRef/>
      </w:r>
      <w:r>
        <w:t>I think this is two and advantages one and two are the same</w:t>
      </w:r>
    </w:p>
  </w:comment>
  <w:comment w:id="229" w:author="User" w:date="2014-01-28T16:19:00Z" w:initials="U">
    <w:p w:rsidR="006C42F2" w:rsidRDefault="006C42F2">
      <w:pPr>
        <w:pStyle w:val="CommentText"/>
      </w:pPr>
      <w:r>
        <w:rPr>
          <w:rStyle w:val="CommentReference"/>
        </w:rPr>
        <w:annotationRef/>
      </w:r>
      <w:r>
        <w:t>Provide in online appendix too?</w:t>
      </w:r>
    </w:p>
  </w:comment>
  <w:comment w:id="230" w:author="Matt" w:date="2014-01-27T16:04:00Z" w:initials="M">
    <w:p w:rsidR="00805B94" w:rsidRDefault="00805B94">
      <w:pPr>
        <w:pStyle w:val="CommentText"/>
      </w:pPr>
      <w:r>
        <w:rPr>
          <w:rStyle w:val="CommentReference"/>
        </w:rPr>
        <w:annotationRef/>
      </w:r>
      <w:r>
        <w:t xml:space="preserve">Provide </w:t>
      </w:r>
      <w:proofErr w:type="spellStart"/>
      <w:r>
        <w:t>url</w:t>
      </w:r>
      <w:proofErr w:type="spellEnd"/>
    </w:p>
  </w:comment>
  <w:comment w:id="237" w:author="User" w:date="2014-01-28T16:18:00Z" w:initials="U">
    <w:p w:rsidR="006C42F2" w:rsidRDefault="006C42F2">
      <w:pPr>
        <w:pStyle w:val="CommentText"/>
      </w:pPr>
      <w:r>
        <w:rPr>
          <w:rStyle w:val="CommentReference"/>
        </w:rPr>
        <w:annotationRef/>
      </w:r>
      <w:r>
        <w:t>I would include a section which looks at the feasibility of extension to 3 or more states. Either in methods or discussion.</w:t>
      </w:r>
    </w:p>
  </w:comment>
  <w:comment w:id="240" w:author="User" w:date="2014-01-28T16:19:00Z" w:initials="U">
    <w:p w:rsidR="006C42F2" w:rsidRDefault="006C42F2">
      <w:pPr>
        <w:pStyle w:val="CommentText"/>
      </w:pPr>
      <w:r>
        <w:rPr>
          <w:rStyle w:val="CommentReference"/>
        </w:rPr>
        <w:annotationRef/>
      </w:r>
      <w:r>
        <w:t>If I was reviewing I would ask for more hypothetical data sets to be tested. Surely this would be quite quick to do now you have the code?</w:t>
      </w:r>
    </w:p>
  </w:comment>
  <w:comment w:id="258" w:author="User" w:date="2014-01-28T16:23:00Z" w:initials="U">
    <w:p w:rsidR="006C42F2" w:rsidRDefault="006C42F2">
      <w:pPr>
        <w:pStyle w:val="CommentText"/>
      </w:pPr>
      <w:r>
        <w:rPr>
          <w:rStyle w:val="CommentReference"/>
        </w:rPr>
        <w:annotationRef/>
      </w:r>
      <w:r>
        <w:t xml:space="preserve">Good section but would also like it to relate to general monotonic parameters </w:t>
      </w:r>
      <w:proofErr w:type="spellStart"/>
      <w:r>
        <w:t>eg</w:t>
      </w:r>
      <w:proofErr w:type="spellEnd"/>
      <w:r>
        <w:t>. Costs or transition probability examples.</w:t>
      </w:r>
    </w:p>
  </w:comment>
  <w:comment w:id="262" w:author="Kate Ren" w:date="2014-01-27T16:04:00Z" w:initials="KR">
    <w:p w:rsidR="00805B94" w:rsidRDefault="00805B94">
      <w:pPr>
        <w:pStyle w:val="CommentText"/>
      </w:pPr>
      <w:r>
        <w:rPr>
          <w:rStyle w:val="CommentReference"/>
        </w:rPr>
        <w:annotationRef/>
      </w:r>
      <w:r>
        <w:t xml:space="preserve">Be consistent. </w:t>
      </w:r>
      <w:proofErr w:type="gramStart"/>
      <w:r>
        <w:t>HRQL  was</w:t>
      </w:r>
      <w:proofErr w:type="gramEnd"/>
      <w:r>
        <w:t xml:space="preserve"> used.</w:t>
      </w:r>
    </w:p>
  </w:comment>
  <w:comment w:id="271" w:author="User" w:date="2014-01-28T16:20:00Z" w:initials="U">
    <w:p w:rsidR="006C42F2" w:rsidRDefault="006C42F2">
      <w:pPr>
        <w:pStyle w:val="CommentText"/>
      </w:pPr>
      <w:r>
        <w:rPr>
          <w:rStyle w:val="CommentReference"/>
        </w:rPr>
        <w:annotationRef/>
      </w:r>
      <w:r>
        <w:t>To me it is obvious that the choice could impact on the results and further empirical research is not needed to verify this.</w:t>
      </w:r>
    </w:p>
  </w:comment>
  <w:comment w:id="273" w:author="User" w:date="2014-01-28T16:20:00Z" w:initials="U">
    <w:p w:rsidR="006C42F2" w:rsidRDefault="006C42F2">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1F4" w:rsidRDefault="008B41F4" w:rsidP="00751271">
      <w:pPr>
        <w:spacing w:after="0" w:line="240" w:lineRule="auto"/>
      </w:pPr>
      <w:r>
        <w:separator/>
      </w:r>
    </w:p>
  </w:endnote>
  <w:endnote w:type="continuationSeparator" w:id="0">
    <w:p w:rsidR="008B41F4" w:rsidRDefault="008B41F4"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534818"/>
      <w:docPartObj>
        <w:docPartGallery w:val="Page Numbers (Bottom of Page)"/>
        <w:docPartUnique/>
      </w:docPartObj>
    </w:sdtPr>
    <w:sdtEndPr/>
    <w:sdtContent>
      <w:p w:rsidR="00805B94" w:rsidRDefault="00805B94">
        <w:pPr>
          <w:pStyle w:val="Footer"/>
          <w:jc w:val="center"/>
        </w:pPr>
        <w:r>
          <w:fldChar w:fldCharType="begin"/>
        </w:r>
        <w:r>
          <w:instrText xml:space="preserve"> PAGE   \* MERGEFORMAT </w:instrText>
        </w:r>
        <w:r>
          <w:fldChar w:fldCharType="separate"/>
        </w:r>
        <w:r w:rsidR="003C7C25">
          <w:rPr>
            <w:noProof/>
          </w:rPr>
          <w:t>1</w:t>
        </w:r>
        <w:r>
          <w:rPr>
            <w:noProof/>
          </w:rPr>
          <w:fldChar w:fldCharType="end"/>
        </w:r>
      </w:p>
    </w:sdtContent>
  </w:sdt>
  <w:p w:rsidR="00805B94" w:rsidRDefault="00805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1F4" w:rsidRDefault="008B41F4" w:rsidP="00751271">
      <w:pPr>
        <w:spacing w:after="0" w:line="240" w:lineRule="auto"/>
      </w:pPr>
      <w:r>
        <w:separator/>
      </w:r>
    </w:p>
  </w:footnote>
  <w:footnote w:type="continuationSeparator" w:id="0">
    <w:p w:rsidR="008B41F4" w:rsidRDefault="008B41F4"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B7"/>
    <w:rsid w:val="0000364E"/>
    <w:rsid w:val="000071B0"/>
    <w:rsid w:val="00011837"/>
    <w:rsid w:val="00017FFA"/>
    <w:rsid w:val="00022242"/>
    <w:rsid w:val="00024205"/>
    <w:rsid w:val="00025316"/>
    <w:rsid w:val="00027CAE"/>
    <w:rsid w:val="00035E36"/>
    <w:rsid w:val="000444A0"/>
    <w:rsid w:val="00046E2D"/>
    <w:rsid w:val="00047821"/>
    <w:rsid w:val="00056E24"/>
    <w:rsid w:val="00056F93"/>
    <w:rsid w:val="00072341"/>
    <w:rsid w:val="0007717F"/>
    <w:rsid w:val="000776A7"/>
    <w:rsid w:val="0008305F"/>
    <w:rsid w:val="000842E3"/>
    <w:rsid w:val="00084D3F"/>
    <w:rsid w:val="00086EF3"/>
    <w:rsid w:val="00091BB9"/>
    <w:rsid w:val="000A14E4"/>
    <w:rsid w:val="000A6FF5"/>
    <w:rsid w:val="000B14B7"/>
    <w:rsid w:val="000B5D3F"/>
    <w:rsid w:val="000C21A2"/>
    <w:rsid w:val="000E2BD3"/>
    <w:rsid w:val="000E7974"/>
    <w:rsid w:val="00100A52"/>
    <w:rsid w:val="001021E8"/>
    <w:rsid w:val="00103ED7"/>
    <w:rsid w:val="0012061B"/>
    <w:rsid w:val="00126979"/>
    <w:rsid w:val="00130110"/>
    <w:rsid w:val="00131603"/>
    <w:rsid w:val="00131B0D"/>
    <w:rsid w:val="00131F18"/>
    <w:rsid w:val="001424BF"/>
    <w:rsid w:val="001463F3"/>
    <w:rsid w:val="001517EA"/>
    <w:rsid w:val="00165045"/>
    <w:rsid w:val="00165E76"/>
    <w:rsid w:val="00170F06"/>
    <w:rsid w:val="00175781"/>
    <w:rsid w:val="00181285"/>
    <w:rsid w:val="0018273B"/>
    <w:rsid w:val="0018746E"/>
    <w:rsid w:val="001901D2"/>
    <w:rsid w:val="00191EA4"/>
    <w:rsid w:val="00197741"/>
    <w:rsid w:val="001B0524"/>
    <w:rsid w:val="001D7B8E"/>
    <w:rsid w:val="001E1BC2"/>
    <w:rsid w:val="001E5236"/>
    <w:rsid w:val="001F26ED"/>
    <w:rsid w:val="0020182C"/>
    <w:rsid w:val="002240E9"/>
    <w:rsid w:val="0023213E"/>
    <w:rsid w:val="002377E6"/>
    <w:rsid w:val="002432E0"/>
    <w:rsid w:val="00257BA1"/>
    <w:rsid w:val="00261C32"/>
    <w:rsid w:val="002625DA"/>
    <w:rsid w:val="00264F0F"/>
    <w:rsid w:val="00274456"/>
    <w:rsid w:val="0027765F"/>
    <w:rsid w:val="00284FC4"/>
    <w:rsid w:val="0028566C"/>
    <w:rsid w:val="00293028"/>
    <w:rsid w:val="00293DB7"/>
    <w:rsid w:val="002B2850"/>
    <w:rsid w:val="002B4FC1"/>
    <w:rsid w:val="002C422F"/>
    <w:rsid w:val="002C4675"/>
    <w:rsid w:val="002C52B0"/>
    <w:rsid w:val="002E7294"/>
    <w:rsid w:val="002F55D5"/>
    <w:rsid w:val="0030364B"/>
    <w:rsid w:val="003129A4"/>
    <w:rsid w:val="0031366F"/>
    <w:rsid w:val="00330E69"/>
    <w:rsid w:val="00331737"/>
    <w:rsid w:val="00331FE1"/>
    <w:rsid w:val="00341956"/>
    <w:rsid w:val="00341F80"/>
    <w:rsid w:val="00345DD5"/>
    <w:rsid w:val="00351AD3"/>
    <w:rsid w:val="00353ED3"/>
    <w:rsid w:val="00355F07"/>
    <w:rsid w:val="003620BF"/>
    <w:rsid w:val="00364E77"/>
    <w:rsid w:val="00366994"/>
    <w:rsid w:val="00366FEC"/>
    <w:rsid w:val="0038052F"/>
    <w:rsid w:val="00381017"/>
    <w:rsid w:val="0038198F"/>
    <w:rsid w:val="00382855"/>
    <w:rsid w:val="003A01DA"/>
    <w:rsid w:val="003A0530"/>
    <w:rsid w:val="003A14BB"/>
    <w:rsid w:val="003B2A39"/>
    <w:rsid w:val="003B460E"/>
    <w:rsid w:val="003B7023"/>
    <w:rsid w:val="003C0A89"/>
    <w:rsid w:val="003C2637"/>
    <w:rsid w:val="003C7C25"/>
    <w:rsid w:val="003D2C1B"/>
    <w:rsid w:val="003D49B8"/>
    <w:rsid w:val="003D4C96"/>
    <w:rsid w:val="003E132B"/>
    <w:rsid w:val="003E3177"/>
    <w:rsid w:val="003E4861"/>
    <w:rsid w:val="00401F39"/>
    <w:rsid w:val="00405516"/>
    <w:rsid w:val="00405C79"/>
    <w:rsid w:val="00406EF0"/>
    <w:rsid w:val="0041297F"/>
    <w:rsid w:val="004155F1"/>
    <w:rsid w:val="00424EBC"/>
    <w:rsid w:val="00430AB7"/>
    <w:rsid w:val="00432E45"/>
    <w:rsid w:val="00433E0E"/>
    <w:rsid w:val="004634E1"/>
    <w:rsid w:val="00464BEF"/>
    <w:rsid w:val="004710BD"/>
    <w:rsid w:val="00485010"/>
    <w:rsid w:val="0048769E"/>
    <w:rsid w:val="00492116"/>
    <w:rsid w:val="004A314A"/>
    <w:rsid w:val="004B25EB"/>
    <w:rsid w:val="004B2A9B"/>
    <w:rsid w:val="004B3189"/>
    <w:rsid w:val="004B7DBB"/>
    <w:rsid w:val="004D3A56"/>
    <w:rsid w:val="004D6DDF"/>
    <w:rsid w:val="004E593F"/>
    <w:rsid w:val="004E5985"/>
    <w:rsid w:val="00501F16"/>
    <w:rsid w:val="00511A95"/>
    <w:rsid w:val="00513D80"/>
    <w:rsid w:val="005235E2"/>
    <w:rsid w:val="00524D9D"/>
    <w:rsid w:val="0055628C"/>
    <w:rsid w:val="00567B8E"/>
    <w:rsid w:val="005703A1"/>
    <w:rsid w:val="00573178"/>
    <w:rsid w:val="00573694"/>
    <w:rsid w:val="0058112C"/>
    <w:rsid w:val="00583703"/>
    <w:rsid w:val="00586CF3"/>
    <w:rsid w:val="00587A6D"/>
    <w:rsid w:val="00597E06"/>
    <w:rsid w:val="005C4B18"/>
    <w:rsid w:val="005F3734"/>
    <w:rsid w:val="00604C6F"/>
    <w:rsid w:val="00610911"/>
    <w:rsid w:val="00612F8E"/>
    <w:rsid w:val="00623BEB"/>
    <w:rsid w:val="00625FDD"/>
    <w:rsid w:val="00627E2C"/>
    <w:rsid w:val="00631984"/>
    <w:rsid w:val="0064679C"/>
    <w:rsid w:val="00652A55"/>
    <w:rsid w:val="00652EB0"/>
    <w:rsid w:val="00664DEE"/>
    <w:rsid w:val="00665A42"/>
    <w:rsid w:val="00671A82"/>
    <w:rsid w:val="006853AB"/>
    <w:rsid w:val="00693183"/>
    <w:rsid w:val="0069383B"/>
    <w:rsid w:val="006967AA"/>
    <w:rsid w:val="006A0C4F"/>
    <w:rsid w:val="006A31BA"/>
    <w:rsid w:val="006A5E2C"/>
    <w:rsid w:val="006B236F"/>
    <w:rsid w:val="006B36D8"/>
    <w:rsid w:val="006C119D"/>
    <w:rsid w:val="006C42F2"/>
    <w:rsid w:val="006C78E2"/>
    <w:rsid w:val="006D0054"/>
    <w:rsid w:val="006D2EBC"/>
    <w:rsid w:val="006D66D2"/>
    <w:rsid w:val="006E6329"/>
    <w:rsid w:val="006F0B1D"/>
    <w:rsid w:val="006F621E"/>
    <w:rsid w:val="0070471E"/>
    <w:rsid w:val="007078FF"/>
    <w:rsid w:val="00707C32"/>
    <w:rsid w:val="0071048C"/>
    <w:rsid w:val="00717F8D"/>
    <w:rsid w:val="007260F2"/>
    <w:rsid w:val="00751271"/>
    <w:rsid w:val="00762D85"/>
    <w:rsid w:val="007631B1"/>
    <w:rsid w:val="00775489"/>
    <w:rsid w:val="007816E3"/>
    <w:rsid w:val="00785C62"/>
    <w:rsid w:val="007870DB"/>
    <w:rsid w:val="007A51D0"/>
    <w:rsid w:val="007B482F"/>
    <w:rsid w:val="007C54F7"/>
    <w:rsid w:val="007D2A85"/>
    <w:rsid w:val="007E74D1"/>
    <w:rsid w:val="007F7436"/>
    <w:rsid w:val="008003F4"/>
    <w:rsid w:val="00805B94"/>
    <w:rsid w:val="0082301F"/>
    <w:rsid w:val="00836985"/>
    <w:rsid w:val="008558AC"/>
    <w:rsid w:val="00857C70"/>
    <w:rsid w:val="00861CBB"/>
    <w:rsid w:val="0086407B"/>
    <w:rsid w:val="0086671E"/>
    <w:rsid w:val="00872FF4"/>
    <w:rsid w:val="00875907"/>
    <w:rsid w:val="008B41F4"/>
    <w:rsid w:val="008C20E7"/>
    <w:rsid w:val="008C446F"/>
    <w:rsid w:val="008C61B5"/>
    <w:rsid w:val="008C6930"/>
    <w:rsid w:val="008C6FB9"/>
    <w:rsid w:val="008C7323"/>
    <w:rsid w:val="008D073C"/>
    <w:rsid w:val="008D31FB"/>
    <w:rsid w:val="008E0F30"/>
    <w:rsid w:val="008E1115"/>
    <w:rsid w:val="008E4E71"/>
    <w:rsid w:val="008E5FD4"/>
    <w:rsid w:val="008E6EBD"/>
    <w:rsid w:val="008F57EA"/>
    <w:rsid w:val="008F6265"/>
    <w:rsid w:val="008F7A5A"/>
    <w:rsid w:val="00900EF8"/>
    <w:rsid w:val="0090309D"/>
    <w:rsid w:val="009041DA"/>
    <w:rsid w:val="009143A3"/>
    <w:rsid w:val="00916A66"/>
    <w:rsid w:val="0091764E"/>
    <w:rsid w:val="00917E7B"/>
    <w:rsid w:val="00920074"/>
    <w:rsid w:val="00920908"/>
    <w:rsid w:val="0093632F"/>
    <w:rsid w:val="0094479E"/>
    <w:rsid w:val="00950C20"/>
    <w:rsid w:val="009579A4"/>
    <w:rsid w:val="00975116"/>
    <w:rsid w:val="00983AE4"/>
    <w:rsid w:val="009858AC"/>
    <w:rsid w:val="00990DA5"/>
    <w:rsid w:val="009A27CB"/>
    <w:rsid w:val="009A4F6E"/>
    <w:rsid w:val="009B1933"/>
    <w:rsid w:val="009B5207"/>
    <w:rsid w:val="009B762A"/>
    <w:rsid w:val="009D2079"/>
    <w:rsid w:val="009D4C8F"/>
    <w:rsid w:val="009D6F8F"/>
    <w:rsid w:val="009D6FBB"/>
    <w:rsid w:val="009E2AE4"/>
    <w:rsid w:val="009F309A"/>
    <w:rsid w:val="009F3A25"/>
    <w:rsid w:val="00A000CA"/>
    <w:rsid w:val="00A05CE5"/>
    <w:rsid w:val="00A2097A"/>
    <w:rsid w:val="00A2397C"/>
    <w:rsid w:val="00A32813"/>
    <w:rsid w:val="00A34793"/>
    <w:rsid w:val="00A45076"/>
    <w:rsid w:val="00A53CD0"/>
    <w:rsid w:val="00A65C51"/>
    <w:rsid w:val="00A65CD0"/>
    <w:rsid w:val="00A7522E"/>
    <w:rsid w:val="00A7702F"/>
    <w:rsid w:val="00A773EB"/>
    <w:rsid w:val="00A85C2A"/>
    <w:rsid w:val="00A86571"/>
    <w:rsid w:val="00A86DAB"/>
    <w:rsid w:val="00A90C1A"/>
    <w:rsid w:val="00AA771D"/>
    <w:rsid w:val="00AB0860"/>
    <w:rsid w:val="00AB754C"/>
    <w:rsid w:val="00AC06DA"/>
    <w:rsid w:val="00AC3BF9"/>
    <w:rsid w:val="00AD113C"/>
    <w:rsid w:val="00AE2C7F"/>
    <w:rsid w:val="00AF419D"/>
    <w:rsid w:val="00AF7452"/>
    <w:rsid w:val="00B0208F"/>
    <w:rsid w:val="00B04290"/>
    <w:rsid w:val="00B1103F"/>
    <w:rsid w:val="00B1466A"/>
    <w:rsid w:val="00B27776"/>
    <w:rsid w:val="00B319DB"/>
    <w:rsid w:val="00B3216C"/>
    <w:rsid w:val="00B35C1F"/>
    <w:rsid w:val="00B434BD"/>
    <w:rsid w:val="00B45270"/>
    <w:rsid w:val="00B50085"/>
    <w:rsid w:val="00B67B4C"/>
    <w:rsid w:val="00B714CC"/>
    <w:rsid w:val="00B724C3"/>
    <w:rsid w:val="00B73EB8"/>
    <w:rsid w:val="00B74806"/>
    <w:rsid w:val="00BA157D"/>
    <w:rsid w:val="00BB5414"/>
    <w:rsid w:val="00BB6DAB"/>
    <w:rsid w:val="00BC3549"/>
    <w:rsid w:val="00BC5A21"/>
    <w:rsid w:val="00BD4E41"/>
    <w:rsid w:val="00BE3F5D"/>
    <w:rsid w:val="00BE5084"/>
    <w:rsid w:val="00BE5A50"/>
    <w:rsid w:val="00BE5DFF"/>
    <w:rsid w:val="00BE663B"/>
    <w:rsid w:val="00C036DF"/>
    <w:rsid w:val="00C279D1"/>
    <w:rsid w:val="00C3479E"/>
    <w:rsid w:val="00C44D3B"/>
    <w:rsid w:val="00C51AA6"/>
    <w:rsid w:val="00C51E4E"/>
    <w:rsid w:val="00C52573"/>
    <w:rsid w:val="00C61C03"/>
    <w:rsid w:val="00C62DE5"/>
    <w:rsid w:val="00C74891"/>
    <w:rsid w:val="00C77F67"/>
    <w:rsid w:val="00C80149"/>
    <w:rsid w:val="00C81A35"/>
    <w:rsid w:val="00C82897"/>
    <w:rsid w:val="00C86CD6"/>
    <w:rsid w:val="00C870A5"/>
    <w:rsid w:val="00C9346B"/>
    <w:rsid w:val="00CA00C6"/>
    <w:rsid w:val="00CA02E0"/>
    <w:rsid w:val="00CA7F55"/>
    <w:rsid w:val="00CC6124"/>
    <w:rsid w:val="00CD1CDA"/>
    <w:rsid w:val="00CD5F76"/>
    <w:rsid w:val="00CD6B12"/>
    <w:rsid w:val="00CF35A2"/>
    <w:rsid w:val="00CF5DBC"/>
    <w:rsid w:val="00D00506"/>
    <w:rsid w:val="00D16FF3"/>
    <w:rsid w:val="00D210AA"/>
    <w:rsid w:val="00D24E90"/>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127CB"/>
    <w:rsid w:val="00E2131D"/>
    <w:rsid w:val="00E23BD9"/>
    <w:rsid w:val="00E23CCF"/>
    <w:rsid w:val="00E31B3F"/>
    <w:rsid w:val="00E36AFD"/>
    <w:rsid w:val="00E41FFB"/>
    <w:rsid w:val="00E546A3"/>
    <w:rsid w:val="00E70A72"/>
    <w:rsid w:val="00E71475"/>
    <w:rsid w:val="00E76B44"/>
    <w:rsid w:val="00E821E3"/>
    <w:rsid w:val="00E828E0"/>
    <w:rsid w:val="00E95D58"/>
    <w:rsid w:val="00EA7B68"/>
    <w:rsid w:val="00EC0C0F"/>
    <w:rsid w:val="00ED107D"/>
    <w:rsid w:val="00EE62A8"/>
    <w:rsid w:val="00EF2C9A"/>
    <w:rsid w:val="00EF6A5A"/>
    <w:rsid w:val="00F10E64"/>
    <w:rsid w:val="00F2589E"/>
    <w:rsid w:val="00F26302"/>
    <w:rsid w:val="00F401A7"/>
    <w:rsid w:val="00F42054"/>
    <w:rsid w:val="00F446BF"/>
    <w:rsid w:val="00F473F3"/>
    <w:rsid w:val="00F552DF"/>
    <w:rsid w:val="00F61C10"/>
    <w:rsid w:val="00F63AB4"/>
    <w:rsid w:val="00F7190D"/>
    <w:rsid w:val="00F74533"/>
    <w:rsid w:val="00FA15BC"/>
    <w:rsid w:val="00FB0CE9"/>
    <w:rsid w:val="00FB6527"/>
    <w:rsid w:val="00FD094C"/>
    <w:rsid w:val="00FE13A9"/>
    <w:rsid w:val="00FF4C70"/>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 w:type="paragraph" w:styleId="DocumentMap">
    <w:name w:val="Document Map"/>
    <w:basedOn w:val="Normal"/>
    <w:link w:val="DocumentMapChar"/>
    <w:uiPriority w:val="99"/>
    <w:semiHidden/>
    <w:unhideWhenUsed/>
    <w:rsid w:val="00433E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 w:type="paragraph" w:styleId="DocumentMap">
    <w:name w:val="Document Map"/>
    <w:basedOn w:val="Normal"/>
    <w:link w:val="DocumentMapChar"/>
    <w:uiPriority w:val="99"/>
    <w:semiHidden/>
    <w:unhideWhenUsed/>
    <w:rsid w:val="00433E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28540497">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CA9CF-8DDC-43B3-BB34-C235C33F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7620</Words>
  <Characters>43436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6</cp:revision>
  <cp:lastPrinted>2013-12-16T16:26:00Z</cp:lastPrinted>
  <dcterms:created xsi:type="dcterms:W3CDTF">2014-01-27T16:04:00Z</dcterms:created>
  <dcterms:modified xsi:type="dcterms:W3CDTF">2014-02-06T21:11:00Z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