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EFE" w:rsidRDefault="002A7F63" w:rsidP="0050261E">
      <w:pPr>
        <w:pStyle w:val="Title"/>
      </w:pPr>
      <w:r>
        <w:t xml:space="preserve">Sorted: </w:t>
      </w:r>
      <w:r w:rsidR="00FC2D6E">
        <w:t>A s</w:t>
      </w:r>
      <w:r>
        <w:t xml:space="preserve">imulation study indicating where a simple approach to ensuring </w:t>
      </w:r>
      <w:proofErr w:type="spellStart"/>
      <w:r>
        <w:t>monotonicity</w:t>
      </w:r>
      <w:proofErr w:type="spellEnd"/>
      <w:r>
        <w:t xml:space="preserve"> between ordered variables in PSA runs appears </w:t>
      </w:r>
      <w:r w:rsidR="00FC2D6E">
        <w:t>suitable</w:t>
      </w:r>
    </w:p>
    <w:p w:rsidR="009C4181" w:rsidRDefault="009C4181" w:rsidP="009C4181">
      <w:pPr>
        <w:jc w:val="right"/>
      </w:pPr>
      <w:r>
        <w:t xml:space="preserve">Jon Minton, </w:t>
      </w:r>
      <w:r>
        <w:fldChar w:fldCharType="begin"/>
      </w:r>
      <w:r>
        <w:instrText xml:space="preserve"> DATE \@ "d MMMM yyyy" </w:instrText>
      </w:r>
      <w:r>
        <w:fldChar w:fldCharType="separate"/>
      </w:r>
      <w:r w:rsidR="0084496B">
        <w:rPr>
          <w:noProof/>
        </w:rPr>
        <w:t>23 January 2012</w:t>
      </w:r>
      <w:r>
        <w:fldChar w:fldCharType="end"/>
      </w:r>
    </w:p>
    <w:p w:rsidR="002A7F63" w:rsidRDefault="002A7F63" w:rsidP="002A7F63">
      <w:pPr>
        <w:pStyle w:val="Heading1"/>
      </w:pPr>
      <w:r>
        <w:t>Abstract</w:t>
      </w:r>
    </w:p>
    <w:p w:rsidR="00FC2D6E" w:rsidRDefault="00FC2D6E" w:rsidP="00FC2D6E">
      <w:r>
        <w:t>[</w:t>
      </w:r>
      <w:proofErr w:type="gramStart"/>
      <w:r>
        <w:t>write</w:t>
      </w:r>
      <w:proofErr w:type="gramEnd"/>
      <w:r>
        <w:t xml:space="preserve"> abstract here]</w:t>
      </w:r>
    </w:p>
    <w:p w:rsidR="002A7F63" w:rsidRDefault="002A7F63" w:rsidP="002A7F63">
      <w:pPr>
        <w:pStyle w:val="Heading1"/>
      </w:pPr>
      <w:r>
        <w:t>Introduction</w:t>
      </w:r>
    </w:p>
    <w:p w:rsidR="00C15193" w:rsidRDefault="00FC2D6E" w:rsidP="00FC2D6E">
      <w:r>
        <w:t xml:space="preserve">The aim of PSA (Probabilistic Sensitivity Analysis) is to represent reasonable uncertainty in our knowledge about the </w:t>
      </w:r>
      <w:r>
        <w:rPr>
          <w:i/>
        </w:rPr>
        <w:t xml:space="preserve">expected </w:t>
      </w:r>
      <w:r w:rsidR="00C15193">
        <w:t>value of a variable. What is reasonable depends on the information we have about the variable, and how it relates to other variables. One example of the type of information we may have about the relationship between variables is that they are ordered</w:t>
      </w:r>
      <w:r w:rsidR="00404BDE">
        <w:t xml:space="preserve"> (monotonic)</w:t>
      </w:r>
      <w:r w:rsidR="00C15193">
        <w:t xml:space="preserve">, i.e., for any two ordered variables </w:t>
      </w:r>
      <w:r w:rsidR="009E34E1">
        <w:t>E(</w:t>
      </w:r>
      <w:r w:rsidR="00C15193">
        <w:t>X</w:t>
      </w:r>
      <w:r w:rsidR="00C15193" w:rsidRPr="009E34E1">
        <w:rPr>
          <w:vertAlign w:val="subscript"/>
        </w:rPr>
        <w:t>1</w:t>
      </w:r>
      <w:r w:rsidR="009E34E1">
        <w:t>)</w:t>
      </w:r>
      <w:r w:rsidR="00C15193">
        <w:t xml:space="preserve"> and </w:t>
      </w:r>
      <w:r w:rsidR="00AF232D">
        <w:t>E(</w:t>
      </w:r>
      <w:r w:rsidR="00C15193">
        <w:t>X</w:t>
      </w:r>
      <w:r w:rsidR="00C15193" w:rsidRPr="00AF232D">
        <w:rPr>
          <w:vertAlign w:val="subscript"/>
        </w:rPr>
        <w:t>2</w:t>
      </w:r>
      <w:r w:rsidR="00AF232D">
        <w:t>)</w:t>
      </w:r>
      <w:r w:rsidR="00C15193">
        <w:t>, we know that, despite our uncertainty about the expectation of X</w:t>
      </w:r>
      <w:r w:rsidR="00C15193" w:rsidRPr="00AF232D">
        <w:rPr>
          <w:vertAlign w:val="subscript"/>
        </w:rPr>
        <w:t>1</w:t>
      </w:r>
      <w:r w:rsidR="00C15193">
        <w:t xml:space="preserve"> and X</w:t>
      </w:r>
      <w:r w:rsidR="00C15193" w:rsidRPr="00AF232D">
        <w:rPr>
          <w:vertAlign w:val="subscript"/>
        </w:rPr>
        <w:t>2</w:t>
      </w:r>
      <w:r w:rsidR="00C15193">
        <w:t xml:space="preserve">, we know that </w:t>
      </w:r>
      <w:r w:rsidR="00AF232D">
        <w:t>E(</w:t>
      </w:r>
      <w:r w:rsidR="00C15193">
        <w:t>X</w:t>
      </w:r>
      <w:r w:rsidR="00C15193" w:rsidRPr="00AF232D">
        <w:rPr>
          <w:vertAlign w:val="subscript"/>
        </w:rPr>
        <w:t>1</w:t>
      </w:r>
      <w:r w:rsidR="00AF232D">
        <w:t>)</w:t>
      </w:r>
      <w:r w:rsidR="00C15193">
        <w:t xml:space="preserve"> &lt; </w:t>
      </w:r>
      <w:r w:rsidR="00AF232D">
        <w:t>E(</w:t>
      </w:r>
      <w:r w:rsidR="00C15193">
        <w:t>X</w:t>
      </w:r>
      <w:r w:rsidR="00C15193" w:rsidRPr="00AF232D">
        <w:rPr>
          <w:vertAlign w:val="subscript"/>
        </w:rPr>
        <w:t>2</w:t>
      </w:r>
      <w:r w:rsidR="00AF232D">
        <w:t>).</w:t>
      </w:r>
      <w:r w:rsidR="00C15193">
        <w:t xml:space="preserve"> </w:t>
      </w:r>
    </w:p>
    <w:p w:rsidR="00C15193" w:rsidRDefault="00C15193" w:rsidP="00FC2D6E">
      <w:r>
        <w:t>In PSA, this imposes a constraint that, for M samples:</w:t>
      </w:r>
    </w:p>
    <w:p w:rsidR="00FC2D6E" w:rsidRDefault="00C15193" w:rsidP="00E734C2">
      <w:pPr>
        <w:jc w:val="center"/>
      </w:pPr>
      <m:oMathPara>
        <m:oMath>
          <m:sSub>
            <m:sSubPr>
              <m:ctrlPr>
                <w:rPr>
                  <w:rFonts w:ascii="Cambria Math" w:eastAsiaTheme="minorHAnsi" w:hAnsi="Cambria Math"/>
                  <w:i/>
                  <w:lang w:val="en-GB" w:bidi="ar-SA"/>
                </w:rPr>
              </m:ctrlPr>
            </m:sSubPr>
            <m:e>
              <m:r>
                <w:rPr>
                  <w:rFonts w:ascii="Cambria Math" w:hAnsi="Cambria Math"/>
                </w:rPr>
                <m:t>E(</m:t>
              </m:r>
              <m:r>
                <w:rPr>
                  <w:rFonts w:ascii="Cambria Math" w:hAnsi="Cambria Math"/>
                </w:rPr>
                <m:t>X</m:t>
              </m:r>
            </m:e>
            <m:sub>
              <m:r>
                <w:rPr>
                  <w:rFonts w:ascii="Cambria Math" w:hAnsi="Cambria Math"/>
                </w:rPr>
                <m:t>1</m:t>
              </m:r>
            </m:sub>
          </m:sSub>
          <m:sSub>
            <m:sSubPr>
              <m:ctrlPr>
                <w:rPr>
                  <w:rFonts w:ascii="Cambria Math" w:eastAsiaTheme="minorHAnsi" w:hAnsi="Cambria Math"/>
                  <w:i/>
                  <w:lang w:val="en-GB" w:bidi="ar-SA"/>
                </w:rPr>
              </m:ctrlPr>
            </m:sSubPr>
            <m:e>
              <m:r>
                <w:rPr>
                  <w:rFonts w:ascii="Cambria Math" w:hAnsi="Cambria Math"/>
                </w:rPr>
                <m:t>)</m:t>
              </m:r>
            </m:e>
            <m:sub>
              <m:r>
                <w:rPr>
                  <w:rFonts w:ascii="Cambria Math" w:hAnsi="Cambria Math"/>
                </w:rPr>
                <m:t>i</m:t>
              </m:r>
            </m:sub>
          </m:sSub>
          <m:r>
            <w:rPr>
              <w:rFonts w:ascii="Cambria Math" w:hAnsi="Cambria Math"/>
            </w:rPr>
            <m:t xml:space="preserve">&lt; </m:t>
          </m:r>
          <m:sSub>
            <m:sSubPr>
              <m:ctrlPr>
                <w:rPr>
                  <w:rFonts w:ascii="Cambria Math" w:eastAsiaTheme="minorHAnsi" w:hAnsi="Cambria Math"/>
                  <w:i/>
                  <w:lang w:val="en-GB" w:bidi="ar-SA"/>
                </w:rPr>
              </m:ctrlPr>
            </m:sSubPr>
            <m:e>
              <m:r>
                <w:rPr>
                  <w:rFonts w:ascii="Cambria Math" w:hAnsi="Cambria Math"/>
                </w:rPr>
                <m:t>E(</m:t>
              </m:r>
              <m:r>
                <w:rPr>
                  <w:rFonts w:ascii="Cambria Math" w:hAnsi="Cambria Math"/>
                </w:rPr>
                <m:t>X</m:t>
              </m:r>
            </m:e>
            <m:sub>
              <m:r>
                <w:rPr>
                  <w:rFonts w:ascii="Cambria Math" w:hAnsi="Cambria Math"/>
                </w:rPr>
                <m:t>2</m:t>
              </m:r>
            </m:sub>
          </m:sSub>
          <m:sSub>
            <m:sSubPr>
              <m:ctrlPr>
                <w:rPr>
                  <w:rFonts w:ascii="Cambria Math" w:hAnsi="Cambria Math"/>
                  <w:i/>
                  <w:lang w:val="en-GB" w:bidi="ar-SA"/>
                </w:rPr>
              </m:ctrlPr>
            </m:sSubPr>
            <m:e>
              <m:r>
                <w:rPr>
                  <w:rFonts w:ascii="Cambria Math" w:hAnsi="Cambria Math"/>
                </w:rPr>
                <m:t>)</m:t>
              </m:r>
            </m:e>
            <m:sub>
              <m:r>
                <w:rPr>
                  <w:rFonts w:ascii="Cambria Math" w:hAnsi="Cambria Math"/>
                </w:rPr>
                <m:t>i</m:t>
              </m:r>
            </m:sub>
          </m:sSub>
          <m:r>
            <w:rPr>
              <w:rFonts w:ascii="Cambria Math" w:hAnsi="Cambria Math"/>
            </w:rPr>
            <m:t xml:space="preserve"> </m:t>
          </m:r>
          <m:r>
            <w:rPr>
              <w:rFonts w:ascii="Cambria Math" w:hAnsi="Cambria Math"/>
            </w:rPr>
            <m:t xml:space="preserve">∀ i ∈ </m:t>
          </m:r>
          <m:sSubSup>
            <m:sSubSupPr>
              <m:ctrlPr>
                <w:rPr>
                  <w:rFonts w:ascii="Cambria Math" w:hAnsi="Cambria Math"/>
                  <w:i/>
                  <w:lang w:val="en-GB" w:bidi="ar-SA"/>
                </w:rPr>
              </m:ctrlPr>
            </m:sSubSupPr>
            <m:e>
              <m:r>
                <m:rPr>
                  <m:scr m:val="double-struck"/>
                </m:rPr>
                <w:rPr>
                  <w:rFonts w:ascii="Cambria Math" w:hAnsi="Cambria Math"/>
                </w:rPr>
                <m:t>N</m:t>
              </m:r>
            </m:e>
            <m:sub>
              <m:r>
                <w:rPr>
                  <w:rFonts w:ascii="Cambria Math" w:hAnsi="Cambria Math"/>
                </w:rPr>
                <m:t>1</m:t>
              </m:r>
            </m:sub>
            <m:sup>
              <m:r>
                <w:rPr>
                  <w:rFonts w:ascii="Cambria Math" w:hAnsi="Cambria Math"/>
                </w:rPr>
                <m:t>M</m:t>
              </m:r>
            </m:sup>
          </m:sSubSup>
        </m:oMath>
      </m:oMathPara>
    </w:p>
    <w:p w:rsidR="00E734C2" w:rsidRDefault="00E734C2" w:rsidP="00FC2D6E">
      <w:proofErr w:type="gramStart"/>
      <w:r>
        <w:t>i.e</w:t>
      </w:r>
      <w:proofErr w:type="gramEnd"/>
      <w:r>
        <w:t xml:space="preserve">. that no PSA draw for </w:t>
      </w:r>
      <w:r w:rsidR="00AF232D">
        <w:t>E(</w:t>
      </w:r>
      <w:r>
        <w:t>X</w:t>
      </w:r>
      <w:r w:rsidRPr="00E734C2">
        <w:rPr>
          <w:vertAlign w:val="subscript"/>
        </w:rPr>
        <w:t>2</w:t>
      </w:r>
      <w:r w:rsidR="00AF232D">
        <w:t xml:space="preserve">) </w:t>
      </w:r>
      <w:r>
        <w:t xml:space="preserve">should be less than the corresponding PSA draw for </w:t>
      </w:r>
      <w:r w:rsidR="00AF232D">
        <w:t>E(</w:t>
      </w:r>
      <w:r>
        <w:t>X</w:t>
      </w:r>
      <w:r w:rsidRPr="00E734C2">
        <w:rPr>
          <w:vertAlign w:val="subscript"/>
        </w:rPr>
        <w:t>1</w:t>
      </w:r>
      <w:r w:rsidR="00AF232D">
        <w:t>).</w:t>
      </w:r>
    </w:p>
    <w:p w:rsidR="00404BDE" w:rsidRDefault="00404BDE" w:rsidP="00FC2D6E">
      <w:r>
        <w:t>Any approach to representing uncertainty about these monotonic variables needs to satisfy a number of conditions:</w:t>
      </w:r>
    </w:p>
    <w:p w:rsidR="00404BDE" w:rsidRDefault="00404BDE" w:rsidP="00AF232D">
      <w:pPr>
        <w:pStyle w:val="ListParagraph"/>
        <w:numPr>
          <w:ilvl w:val="0"/>
          <w:numId w:val="2"/>
        </w:numPr>
      </w:pPr>
      <w:r>
        <w:t>It must incorporate the qualitative information we have about the monotonic relationship between two or more variables (i.e. satisfy the condition stated in the equation above.)</w:t>
      </w:r>
    </w:p>
    <w:p w:rsidR="00404BDE" w:rsidRDefault="00404BDE" w:rsidP="00AF232D">
      <w:pPr>
        <w:pStyle w:val="ListParagraph"/>
        <w:numPr>
          <w:ilvl w:val="0"/>
          <w:numId w:val="2"/>
        </w:numPr>
      </w:pPr>
      <w:r>
        <w:t>It must also make use of information available to the modeller regarding the shape and scale of the uncertainty about the expected values of both X</w:t>
      </w:r>
      <w:r w:rsidRPr="00404BDE">
        <w:rPr>
          <w:vertAlign w:val="subscript"/>
        </w:rPr>
        <w:t>1</w:t>
      </w:r>
      <w:r>
        <w:t xml:space="preserve"> and X</w:t>
      </w:r>
      <w:r w:rsidRPr="00404BDE">
        <w:rPr>
          <w:vertAlign w:val="subscript"/>
        </w:rPr>
        <w:t>2</w:t>
      </w:r>
      <w:r>
        <w:t>.</w:t>
      </w:r>
    </w:p>
    <w:p w:rsidR="00AF232D" w:rsidRDefault="00AF232D" w:rsidP="00AF232D">
      <w:pPr>
        <w:pStyle w:val="ListParagraph"/>
        <w:numPr>
          <w:ilvl w:val="0"/>
          <w:numId w:val="2"/>
        </w:numPr>
      </w:pPr>
      <w:r>
        <w:t>It must present reasonable uncertainty about the differences between distributions within draws (i.e. the quantity E(X</w:t>
      </w:r>
      <w:r w:rsidRPr="00AF232D">
        <w:rPr>
          <w:vertAlign w:val="subscript"/>
        </w:rPr>
        <w:t>2</w:t>
      </w:r>
      <w:r>
        <w:t>) – E(X</w:t>
      </w:r>
      <w:r w:rsidRPr="00AF232D">
        <w:rPr>
          <w:vertAlign w:val="subscript"/>
        </w:rPr>
        <w:t>1</w:t>
      </w:r>
      <w:r>
        <w:t xml:space="preserve">) should be nonzero. Equivalently: </w:t>
      </w:r>
      <w:proofErr w:type="spellStart"/>
      <w:r>
        <w:t>Var</w:t>
      </w:r>
      <w:proofErr w:type="spellEnd"/>
      <w:r>
        <w:t>[E(X</w:t>
      </w:r>
      <w:r w:rsidRPr="00AF232D">
        <w:rPr>
          <w:vertAlign w:val="subscript"/>
        </w:rPr>
        <w:t>2</w:t>
      </w:r>
      <w:r>
        <w:t>) – E(X</w:t>
      </w:r>
      <w:r w:rsidRPr="00AF232D">
        <w:rPr>
          <w:vertAlign w:val="subscript"/>
        </w:rPr>
        <w:t>1</w:t>
      </w:r>
      <w:r>
        <w:t>)] &gt; 0)</w:t>
      </w:r>
    </w:p>
    <w:p w:rsidR="00404BDE" w:rsidRDefault="00404BDE" w:rsidP="00404BDE">
      <w:r>
        <w:t xml:space="preserve">This second form of information typically takes the form </w:t>
      </w:r>
      <w:r w:rsidR="00667F38">
        <w:t>of summary statistics, such as:</w:t>
      </w:r>
    </w:p>
    <w:p w:rsidR="00667F38" w:rsidRDefault="00667F38" w:rsidP="00667F38">
      <w:pPr>
        <w:jc w:val="center"/>
      </w:pPr>
      <w:r>
        <w:t>“The mean value was 3.25 (95% CI 2.50 to 3.75)”</w:t>
      </w:r>
    </w:p>
    <w:p w:rsidR="00667F38" w:rsidRDefault="00667F38" w:rsidP="00404BDE">
      <w:r>
        <w:t>Or</w:t>
      </w:r>
    </w:p>
    <w:p w:rsidR="00667F38" w:rsidRDefault="00667F38" w:rsidP="00667F38">
      <w:pPr>
        <w:jc w:val="center"/>
      </w:pPr>
      <w:r>
        <w:lastRenderedPageBreak/>
        <w:t>“The standardised mean differences was -0.80 (SD=1.30, N=200)”</w:t>
      </w:r>
    </w:p>
    <w:p w:rsidR="00667F38" w:rsidRDefault="009E34E1" w:rsidP="00404BDE">
      <w:r>
        <w:t>Depending on the type of variable, we may either know or assume either a Normal distribution in the case where both negative and positive values are possible, or a lognormal distribution where values are constrained to be positive (for example, RRs and ORs).</w:t>
      </w:r>
    </w:p>
    <w:p w:rsidR="00AF232D" w:rsidRDefault="00AF232D" w:rsidP="00AF232D">
      <w:pPr>
        <w:pStyle w:val="Heading1"/>
        <w:rPr>
          <w:rFonts w:eastAsiaTheme="minorEastAsia"/>
        </w:rPr>
      </w:pPr>
      <w:r>
        <w:rPr>
          <w:rFonts w:eastAsiaTheme="minorEastAsia"/>
        </w:rPr>
        <w:t>Problem</w:t>
      </w:r>
    </w:p>
    <w:p w:rsidR="00AF232D" w:rsidRDefault="00AF232D" w:rsidP="00404BDE">
      <w:r>
        <w:t xml:space="preserve">A common approach to the above situation is to use the same random number seed in generating distributions from ordered variables for use within the same </w:t>
      </w:r>
      <w:r w:rsidR="009547BD">
        <w:t xml:space="preserve">PSA run. A recent simulation study [ref: Stevenson &amp; Latimer] indicates this approach can be problematic in that it indicates the difference between distributions is zero, so fails the third of the above conditions. As an alternative the paper suggests that an iterative process involving adding (positive) estimates of the differences between </w:t>
      </w:r>
      <w:r w:rsidR="004A10CC">
        <w:t>E(X</w:t>
      </w:r>
      <w:r w:rsidR="004A10CC" w:rsidRPr="004A10CC">
        <w:rPr>
          <w:vertAlign w:val="subscript"/>
        </w:rPr>
        <w:t>2</w:t>
      </w:r>
      <w:r w:rsidR="004A10CC">
        <w:t>) and E(X</w:t>
      </w:r>
      <w:r w:rsidR="004A10CC" w:rsidRPr="004A10CC">
        <w:rPr>
          <w:vertAlign w:val="subscript"/>
        </w:rPr>
        <w:t>1</w:t>
      </w:r>
      <w:r w:rsidR="004A10CC">
        <w:t xml:space="preserve">) be considered instead. However, this approach may not satisfy the second of the three above conditions, in that it does not incorporate the full range of information available in the summary estimates. </w:t>
      </w:r>
    </w:p>
    <w:p w:rsidR="004A10CC" w:rsidRDefault="004A10CC" w:rsidP="00404BDE">
      <m:oMathPara>
        <m:oMath>
          <m:sSub>
            <m:sSubPr>
              <m:ctrlPr>
                <w:rPr>
                  <w:rFonts w:ascii="Cambria Math" w:hAnsi="Cambria Math"/>
                  <w:i/>
                  <w:lang w:val="en-GB" w:bidi="ar-SA"/>
                </w:rPr>
              </m:ctrlPr>
            </m:sSubPr>
            <m:e>
              <m:acc>
                <m:accPr>
                  <m:chr m:val="̃"/>
                  <m:ctrlPr>
                    <w:rPr>
                      <w:rFonts w:ascii="Cambria Math" w:hAnsi="Cambria Math"/>
                      <w:i/>
                      <w:lang w:val="en-GB" w:bidi="ar-SA"/>
                    </w:rPr>
                  </m:ctrlPr>
                </m:accPr>
                <m:e>
                  <m:r>
                    <w:rPr>
                      <w:rFonts w:ascii="Cambria Math" w:hAnsi="Cambria Math"/>
                    </w:rPr>
                    <m:t>E(</m:t>
                  </m:r>
                  <m:sSub>
                    <m:sSubPr>
                      <m:ctrlPr>
                        <w:rPr>
                          <w:rFonts w:ascii="Cambria Math" w:hAnsi="Cambria Math"/>
                          <w:i/>
                          <w:lang w:val="en-GB" w:bidi="ar-SA"/>
                        </w:rPr>
                      </m:ctrlPr>
                    </m:sSubPr>
                    <m:e>
                      <m:r>
                        <w:rPr>
                          <w:rFonts w:ascii="Cambria Math" w:hAnsi="Cambria Math"/>
                        </w:rPr>
                        <m:t>X</m:t>
                      </m:r>
                    </m:e>
                    <m:sub>
                      <m:r>
                        <w:rPr>
                          <w:rFonts w:ascii="Cambria Math" w:hAnsi="Cambria Math"/>
                        </w:rPr>
                        <m:t>2</m:t>
                      </m:r>
                    </m:sub>
                  </m:sSub>
                </m:e>
              </m:acc>
              <m:r>
                <w:rPr>
                  <w:rFonts w:ascii="Cambria Math" w:hAnsi="Cambria Math"/>
                </w:rPr>
                <m:t>)</m:t>
              </m:r>
            </m:e>
            <m:sub>
              <m:r>
                <w:rPr>
                  <w:rFonts w:ascii="Cambria Math" w:hAnsi="Cambria Math"/>
                </w:rPr>
                <m:t xml:space="preserve">i </m:t>
              </m:r>
            </m:sub>
          </m:sSub>
          <m:r>
            <w:rPr>
              <w:rFonts w:ascii="Cambria Math" w:hAnsi="Cambria Math"/>
            </w:rPr>
            <m:t>≡</m:t>
          </m:r>
          <m:sSub>
            <m:sSubPr>
              <m:ctrlPr>
                <w:rPr>
                  <w:rFonts w:ascii="Cambria Math" w:hAnsi="Cambria Math"/>
                  <w:i/>
                  <w:lang w:val="en-GB" w:bidi="ar-SA"/>
                </w:rPr>
              </m:ctrlPr>
            </m:sSubPr>
            <m:e>
              <m:r>
                <w:rPr>
                  <w:rFonts w:ascii="Cambria Math" w:hAnsi="Cambria Math"/>
                </w:rPr>
                <m:t>E(</m:t>
              </m:r>
              <m:sSub>
                <m:sSubPr>
                  <m:ctrlPr>
                    <w:rPr>
                      <w:rFonts w:ascii="Cambria Math" w:hAnsi="Cambria Math"/>
                      <w:i/>
                      <w:lang w:val="en-GB" w:bidi="ar-SA"/>
                    </w:rPr>
                  </m:ctrlPr>
                </m:sSubPr>
                <m:e>
                  <m:r>
                    <w:rPr>
                      <w:rFonts w:ascii="Cambria Math" w:hAnsi="Cambria Math"/>
                    </w:rPr>
                    <m:t>X</m:t>
                  </m:r>
                </m:e>
                <m:sub>
                  <m:r>
                    <w:rPr>
                      <w:rFonts w:ascii="Cambria Math" w:hAnsi="Cambria Math"/>
                    </w:rPr>
                    <m:t>1</m:t>
                  </m:r>
                </m:sub>
              </m:sSub>
              <m:r>
                <w:rPr>
                  <w:rFonts w:ascii="Cambria Math" w:hAnsi="Cambria Math"/>
                </w:rPr>
                <m:t>)</m:t>
              </m:r>
            </m:e>
            <m:sub>
              <m:r>
                <w:rPr>
                  <w:rFonts w:ascii="Cambria Math" w:hAnsi="Cambria Math"/>
                </w:rPr>
                <m:t>i</m:t>
              </m:r>
            </m:sub>
          </m:sSub>
          <m:r>
            <w:rPr>
              <w:rFonts w:ascii="Cambria Math" w:hAnsi="Cambria Math"/>
            </w:rPr>
            <m:t xml:space="preserve">+ </m:t>
          </m:r>
          <m:acc>
            <m:accPr>
              <m:chr m:val="̃"/>
              <m:ctrlPr>
                <w:rPr>
                  <w:rFonts w:ascii="Cambria Math" w:hAnsi="Cambria Math"/>
                  <w:i/>
                  <w:lang w:val="en-GB" w:bidi="ar-SA"/>
                </w:rPr>
              </m:ctrlPr>
            </m:accPr>
            <m:e>
              <m:sSub>
                <m:sSubPr>
                  <m:ctrlPr>
                    <w:rPr>
                      <w:rFonts w:ascii="Cambria Math" w:hAnsi="Cambria Math"/>
                      <w:i/>
                      <w:lang w:val="en-GB" w:bidi="ar-SA"/>
                    </w:rPr>
                  </m:ctrlPr>
                </m:sSubPr>
                <m:e>
                  <m:r>
                    <w:rPr>
                      <w:rFonts w:ascii="Cambria Math" w:hAnsi="Cambria Math"/>
                    </w:rPr>
                    <m:t>E(</m:t>
                  </m:r>
                  <m:sSub>
                    <m:sSubPr>
                      <m:ctrlPr>
                        <w:rPr>
                          <w:rFonts w:ascii="Cambria Math" w:hAnsi="Cambria Math"/>
                          <w:i/>
                          <w:lang w:val="en-GB" w:bidi="ar-SA"/>
                        </w:rPr>
                      </m:ctrlPr>
                    </m:sSubPr>
                    <m:e>
                      <m:r>
                        <w:rPr>
                          <w:rFonts w:ascii="Cambria Math" w:hAnsi="Cambria Math"/>
                        </w:rPr>
                        <m:t>∆</m:t>
                      </m:r>
                    </m:e>
                    <m:sub>
                      <m:r>
                        <w:rPr>
                          <w:rFonts w:ascii="Cambria Math" w:hAnsi="Cambria Math"/>
                        </w:rPr>
                        <m:t>1,2</m:t>
                      </m:r>
                    </m:sub>
                  </m:sSub>
                  <m:r>
                    <w:rPr>
                      <w:rFonts w:ascii="Cambria Math" w:hAnsi="Cambria Math"/>
                    </w:rPr>
                    <m:t>)</m:t>
                  </m:r>
                </m:e>
                <m:sub>
                  <m:r>
                    <w:rPr>
                      <w:rFonts w:ascii="Cambria Math" w:hAnsi="Cambria Math"/>
                    </w:rPr>
                    <m:t>i</m:t>
                  </m:r>
                </m:sub>
              </m:sSub>
            </m:e>
          </m:acc>
        </m:oMath>
      </m:oMathPara>
    </w:p>
    <w:p w:rsidR="004A10CC" w:rsidRDefault="004A10CC" w:rsidP="00875707">
      <w:pPr>
        <w:jc w:val="center"/>
      </w:pPr>
      <m:oMathPara>
        <m:oMath>
          <m:acc>
            <m:accPr>
              <m:chr m:val="̃"/>
              <m:ctrlPr>
                <w:rPr>
                  <w:rFonts w:ascii="Cambria Math" w:hAnsi="Cambria Math"/>
                  <w:i/>
                  <w:lang w:val="en-GB" w:bidi="ar-SA"/>
                </w:rPr>
              </m:ctrlPr>
            </m:accPr>
            <m:e>
              <m:sSub>
                <m:sSubPr>
                  <m:ctrlPr>
                    <w:rPr>
                      <w:rFonts w:ascii="Cambria Math" w:hAnsi="Cambria Math"/>
                      <w:i/>
                      <w:lang w:val="en-GB" w:bidi="ar-SA"/>
                    </w:rPr>
                  </m:ctrlPr>
                </m:sSubPr>
                <m:e>
                  <m:r>
                    <w:rPr>
                      <w:rFonts w:ascii="Cambria Math" w:hAnsi="Cambria Math"/>
                    </w:rPr>
                    <m:t>E(</m:t>
                  </m:r>
                  <m:sSub>
                    <m:sSubPr>
                      <m:ctrlPr>
                        <w:rPr>
                          <w:rFonts w:ascii="Cambria Math" w:hAnsi="Cambria Math"/>
                          <w:i/>
                          <w:lang w:val="en-GB" w:bidi="ar-SA"/>
                        </w:rPr>
                      </m:ctrlPr>
                    </m:sSubPr>
                    <m:e>
                      <m:r>
                        <w:rPr>
                          <w:rFonts w:ascii="Cambria Math" w:hAnsi="Cambria Math"/>
                        </w:rPr>
                        <m:t>∆</m:t>
                      </m:r>
                    </m:e>
                    <m:sub>
                      <m:r>
                        <w:rPr>
                          <w:rFonts w:ascii="Cambria Math" w:hAnsi="Cambria Math"/>
                        </w:rPr>
                        <m:t>1,2</m:t>
                      </m:r>
                    </m:sub>
                  </m:sSub>
                  <m:r>
                    <w:rPr>
                      <w:rFonts w:ascii="Cambria Math" w:hAnsi="Cambria Math"/>
                    </w:rPr>
                    <m:t>)</m:t>
                  </m:r>
                </m:e>
                <m:sub>
                  <m:r>
                    <w:rPr>
                      <w:rFonts w:ascii="Cambria Math" w:hAnsi="Cambria Math"/>
                    </w:rPr>
                    <m:t>i</m:t>
                  </m:r>
                </m:sub>
              </m:sSub>
            </m:e>
          </m:acc>
          <m:r>
            <w:rPr>
              <w:rFonts w:ascii="Cambria Math" w:hAnsi="Cambria Math"/>
            </w:rPr>
            <m:t xml:space="preserve">  ~ N</m:t>
          </m:r>
          <m:r>
            <w:rPr>
              <w:rFonts w:ascii="Cambria Math" w:hAnsi="Cambria Math"/>
            </w:rPr>
            <m:t>ormal</m:t>
          </m:r>
          <m:r>
            <w:rPr>
              <w:rFonts w:ascii="Cambria Math" w:hAnsi="Cambria Math"/>
            </w:rPr>
            <m:t>(</m:t>
          </m:r>
          <m:acc>
            <m:accPr>
              <m:ctrlPr>
                <w:rPr>
                  <w:rFonts w:ascii="Cambria Math" w:hAnsi="Cambria Math"/>
                  <w:i/>
                  <w:lang w:val="en-GB" w:bidi="ar-SA"/>
                </w:rPr>
              </m:ctrlPr>
            </m:accPr>
            <m:e>
              <m:r>
                <w:rPr>
                  <w:rFonts w:ascii="Cambria Math" w:hAnsi="Cambria Math"/>
                </w:rPr>
                <m:t>E</m:t>
              </m:r>
              <m:d>
                <m:dPr>
                  <m:ctrlPr>
                    <w:rPr>
                      <w:rFonts w:ascii="Cambria Math" w:hAnsi="Cambria Math"/>
                      <w:i/>
                    </w:rPr>
                  </m:ctrlPr>
                </m:dPr>
                <m:e>
                  <m:sSub>
                    <m:sSubPr>
                      <m:ctrlPr>
                        <w:rPr>
                          <w:rFonts w:ascii="Cambria Math" w:hAnsi="Cambria Math"/>
                          <w:i/>
                          <w:lang w:val="en-GB" w:bidi="ar-SA"/>
                        </w:rPr>
                      </m:ctrlPr>
                    </m:sSubPr>
                    <m:e>
                      <m:r>
                        <w:rPr>
                          <w:rFonts w:ascii="Cambria Math" w:hAnsi="Cambria Math"/>
                        </w:rPr>
                        <m:t>X</m:t>
                      </m:r>
                    </m:e>
                    <m:sub>
                      <m:r>
                        <w:rPr>
                          <w:rFonts w:ascii="Cambria Math" w:hAnsi="Cambria Math"/>
                        </w:rPr>
                        <m:t>2</m:t>
                      </m:r>
                    </m:sub>
                  </m:sSub>
                </m:e>
              </m:d>
            </m:e>
          </m:acc>
          <m:r>
            <w:rPr>
              <w:rFonts w:ascii="Cambria Math" w:hAnsi="Cambria Math"/>
            </w:rPr>
            <m:t xml:space="preserve">- </m:t>
          </m:r>
          <m:acc>
            <m:accPr>
              <m:ctrlPr>
                <w:rPr>
                  <w:rFonts w:ascii="Cambria Math" w:hAnsi="Cambria Math"/>
                  <w:i/>
                  <w:lang w:val="en-GB" w:bidi="ar-SA"/>
                </w:rPr>
              </m:ctrlPr>
            </m:accPr>
            <m:e>
              <m:r>
                <w:rPr>
                  <w:rFonts w:ascii="Cambria Math" w:hAnsi="Cambria Math"/>
                </w:rPr>
                <m:t>E</m:t>
              </m:r>
              <m:d>
                <m:dPr>
                  <m:ctrlPr>
                    <w:rPr>
                      <w:rFonts w:ascii="Cambria Math" w:hAnsi="Cambria Math"/>
                      <w:i/>
                    </w:rPr>
                  </m:ctrlPr>
                </m:dPr>
                <m:e>
                  <m:sSub>
                    <m:sSubPr>
                      <m:ctrlPr>
                        <w:rPr>
                          <w:rFonts w:ascii="Cambria Math" w:hAnsi="Cambria Math"/>
                          <w:i/>
                          <w:lang w:val="en-GB" w:bidi="ar-SA"/>
                        </w:rPr>
                      </m:ctrlPr>
                    </m:sSubPr>
                    <m:e>
                      <m:r>
                        <w:rPr>
                          <w:rFonts w:ascii="Cambria Math" w:hAnsi="Cambria Math"/>
                        </w:rPr>
                        <m:t>X</m:t>
                      </m:r>
                    </m:e>
                    <m:sub>
                      <m:r>
                        <w:rPr>
                          <w:rFonts w:ascii="Cambria Math" w:hAnsi="Cambria Math"/>
                        </w:rPr>
                        <m:t>1</m:t>
                      </m:r>
                    </m:sub>
                  </m:sSub>
                </m:e>
              </m:d>
            </m:e>
          </m:acc>
          <m:r>
            <w:rPr>
              <w:rFonts w:ascii="Cambria Math" w:hAnsi="Cambria Math"/>
            </w:rPr>
            <m:t xml:space="preserve">, </m:t>
          </m:r>
          <m:f>
            <m:fPr>
              <m:ctrlPr>
                <w:rPr>
                  <w:rFonts w:ascii="Cambria Math" w:hAnsi="Cambria Math"/>
                  <w:i/>
                  <w:lang w:val="en-GB" w:bidi="ar-SA"/>
                </w:rPr>
              </m:ctrlPr>
            </m:fPr>
            <m:num>
              <m:acc>
                <m:accPr>
                  <m:ctrlPr>
                    <w:rPr>
                      <w:rFonts w:ascii="Cambria Math" w:hAnsi="Cambria Math"/>
                      <w:i/>
                      <w:lang w:val="en-GB" w:bidi="ar-SA"/>
                    </w:rPr>
                  </m:ctrlPr>
                </m:accPr>
                <m:e>
                  <m:r>
                    <w:rPr>
                      <w:rFonts w:ascii="Cambria Math" w:hAnsi="Cambria Math"/>
                    </w:rPr>
                    <m:t>E</m:t>
                  </m:r>
                  <m:d>
                    <m:dPr>
                      <m:ctrlPr>
                        <w:rPr>
                          <w:rFonts w:ascii="Cambria Math" w:hAnsi="Cambria Math"/>
                          <w:i/>
                        </w:rPr>
                      </m:ctrlPr>
                    </m:dPr>
                    <m:e>
                      <m:sSub>
                        <m:sSubPr>
                          <m:ctrlPr>
                            <w:rPr>
                              <w:rFonts w:ascii="Cambria Math" w:hAnsi="Cambria Math"/>
                              <w:i/>
                              <w:lang w:val="en-GB" w:bidi="ar-SA"/>
                            </w:rPr>
                          </m:ctrlPr>
                        </m:sSubPr>
                        <m:e>
                          <m:r>
                            <w:rPr>
                              <w:rFonts w:ascii="Cambria Math" w:hAnsi="Cambria Math"/>
                            </w:rPr>
                            <m:t>X</m:t>
                          </m:r>
                        </m:e>
                        <m:sub>
                          <m:r>
                            <w:rPr>
                              <w:rFonts w:ascii="Cambria Math" w:hAnsi="Cambria Math"/>
                            </w:rPr>
                            <m:t>2</m:t>
                          </m:r>
                        </m:sub>
                      </m:sSub>
                    </m:e>
                  </m:d>
                </m:e>
              </m:acc>
              <m:r>
                <w:rPr>
                  <w:rFonts w:ascii="Cambria Math" w:hAnsi="Cambria Math"/>
                </w:rPr>
                <m:t xml:space="preserve">- </m:t>
              </m:r>
              <m:acc>
                <m:accPr>
                  <m:ctrlPr>
                    <w:rPr>
                      <w:rFonts w:ascii="Cambria Math" w:hAnsi="Cambria Math"/>
                      <w:i/>
                      <w:lang w:val="en-GB" w:bidi="ar-SA"/>
                    </w:rPr>
                  </m:ctrlPr>
                </m:accPr>
                <m:e>
                  <m:r>
                    <w:rPr>
                      <w:rFonts w:ascii="Cambria Math" w:hAnsi="Cambria Math"/>
                    </w:rPr>
                    <m:t>E</m:t>
                  </m:r>
                  <m:d>
                    <m:dPr>
                      <m:ctrlPr>
                        <w:rPr>
                          <w:rFonts w:ascii="Cambria Math" w:hAnsi="Cambria Math"/>
                          <w:i/>
                        </w:rPr>
                      </m:ctrlPr>
                    </m:dPr>
                    <m:e>
                      <m:sSub>
                        <m:sSubPr>
                          <m:ctrlPr>
                            <w:rPr>
                              <w:rFonts w:ascii="Cambria Math" w:hAnsi="Cambria Math"/>
                              <w:i/>
                              <w:lang w:val="en-GB" w:bidi="ar-SA"/>
                            </w:rPr>
                          </m:ctrlPr>
                        </m:sSubPr>
                        <m:e>
                          <m:r>
                            <w:rPr>
                              <w:rFonts w:ascii="Cambria Math" w:hAnsi="Cambria Math"/>
                            </w:rPr>
                            <m:t>X</m:t>
                          </m:r>
                        </m:e>
                        <m:sub>
                          <m:r>
                            <w:rPr>
                              <w:rFonts w:ascii="Cambria Math" w:hAnsi="Cambria Math"/>
                            </w:rPr>
                            <m:t>1</m:t>
                          </m:r>
                        </m:sub>
                      </m:sSub>
                    </m:e>
                  </m:d>
                </m:e>
              </m:acc>
            </m:num>
            <m:den>
              <m:r>
                <w:rPr>
                  <w:rFonts w:ascii="Cambria Math" w:hAnsi="Cambria Math"/>
                </w:rPr>
                <m:t>k</m:t>
              </m:r>
            </m:den>
          </m:f>
          <m:r>
            <w:rPr>
              <w:rFonts w:ascii="Cambria Math" w:hAnsi="Cambria Math"/>
            </w:rPr>
            <m:t>)</m:t>
          </m:r>
        </m:oMath>
      </m:oMathPara>
    </w:p>
    <w:p w:rsidR="00875707" w:rsidRDefault="00875707" w:rsidP="00875707">
      <w:proofErr w:type="gramStart"/>
      <w:r>
        <w:t>Where k is typically some integer value, such as 10.</w:t>
      </w:r>
      <w:proofErr w:type="gramEnd"/>
      <w:r>
        <w:t xml:space="preserve"> </w:t>
      </w:r>
    </w:p>
    <w:p w:rsidR="00875707" w:rsidRDefault="00875707" w:rsidP="00875707">
      <w:r>
        <w:t xml:space="preserve">This parameterisation of the variance parameter in the Normal distribution estimating the difference between draws means that not all of the summary information available is used, as shown below </w:t>
      </w:r>
    </w:p>
    <w:tbl>
      <w:tblPr>
        <w:tblStyle w:val="TableGrid"/>
        <w:tblW w:w="0" w:type="auto"/>
        <w:tblLook w:val="04A0"/>
      </w:tblPr>
      <w:tblGrid>
        <w:gridCol w:w="1242"/>
        <w:gridCol w:w="2127"/>
        <w:gridCol w:w="2976"/>
      </w:tblGrid>
      <w:tr w:rsidR="00875707" w:rsidTr="00875707">
        <w:tc>
          <w:tcPr>
            <w:tcW w:w="1242" w:type="dxa"/>
          </w:tcPr>
          <w:p w:rsidR="00875707" w:rsidRDefault="00875707" w:rsidP="00875707"/>
        </w:tc>
        <w:tc>
          <w:tcPr>
            <w:tcW w:w="2127" w:type="dxa"/>
          </w:tcPr>
          <w:p w:rsidR="00875707" w:rsidRPr="00875707" w:rsidRDefault="00875707" w:rsidP="00875707">
            <w:pPr>
              <w:jc w:val="center"/>
              <w:rPr>
                <w:b/>
              </w:rPr>
            </w:pPr>
            <w:r w:rsidRPr="00875707">
              <w:rPr>
                <w:b/>
              </w:rPr>
              <w:t>Point estimate</w:t>
            </w:r>
          </w:p>
        </w:tc>
        <w:tc>
          <w:tcPr>
            <w:tcW w:w="2976" w:type="dxa"/>
          </w:tcPr>
          <w:p w:rsidR="00875707" w:rsidRPr="00875707" w:rsidRDefault="00875707" w:rsidP="00875707">
            <w:pPr>
              <w:jc w:val="center"/>
              <w:rPr>
                <w:b/>
              </w:rPr>
            </w:pPr>
            <w:r w:rsidRPr="00875707">
              <w:rPr>
                <w:b/>
              </w:rPr>
              <w:t>SE or Confidence Interval</w:t>
            </w:r>
          </w:p>
        </w:tc>
      </w:tr>
      <w:tr w:rsidR="00875707" w:rsidTr="00875707">
        <w:tc>
          <w:tcPr>
            <w:tcW w:w="1242" w:type="dxa"/>
          </w:tcPr>
          <w:p w:rsidR="00875707" w:rsidRPr="00875707" w:rsidRDefault="00875707" w:rsidP="00875707">
            <w:pPr>
              <w:jc w:val="center"/>
              <w:rPr>
                <w:b/>
              </w:rPr>
            </w:pPr>
            <w:r w:rsidRPr="00875707">
              <w:rPr>
                <w:b/>
              </w:rPr>
              <w:t>E(X</w:t>
            </w:r>
            <w:r w:rsidRPr="00875707">
              <w:rPr>
                <w:b/>
                <w:vertAlign w:val="subscript"/>
              </w:rPr>
              <w:t>1</w:t>
            </w:r>
            <w:r w:rsidRPr="00875707">
              <w:rPr>
                <w:b/>
              </w:rPr>
              <w:t>)</w:t>
            </w:r>
          </w:p>
        </w:tc>
        <w:tc>
          <w:tcPr>
            <w:tcW w:w="2127" w:type="dxa"/>
          </w:tcPr>
          <w:p w:rsidR="00875707" w:rsidRDefault="00875707" w:rsidP="00875707">
            <w:r>
              <w:t>Uses</w:t>
            </w:r>
          </w:p>
        </w:tc>
        <w:tc>
          <w:tcPr>
            <w:tcW w:w="2976" w:type="dxa"/>
          </w:tcPr>
          <w:p w:rsidR="00875707" w:rsidRDefault="00875707" w:rsidP="00875707">
            <w:r>
              <w:t>Uses</w:t>
            </w:r>
          </w:p>
        </w:tc>
      </w:tr>
      <w:tr w:rsidR="00875707" w:rsidTr="00875707">
        <w:tc>
          <w:tcPr>
            <w:tcW w:w="1242" w:type="dxa"/>
          </w:tcPr>
          <w:p w:rsidR="00875707" w:rsidRPr="00875707" w:rsidRDefault="00875707" w:rsidP="00875707">
            <w:pPr>
              <w:jc w:val="center"/>
              <w:rPr>
                <w:b/>
              </w:rPr>
            </w:pPr>
            <w:r w:rsidRPr="00875707">
              <w:rPr>
                <w:b/>
              </w:rPr>
              <w:t>E(X</w:t>
            </w:r>
            <w:r w:rsidRPr="00875707">
              <w:rPr>
                <w:b/>
                <w:vertAlign w:val="subscript"/>
              </w:rPr>
              <w:t>2</w:t>
            </w:r>
            <w:r w:rsidRPr="00875707">
              <w:rPr>
                <w:b/>
              </w:rPr>
              <w:t>)</w:t>
            </w:r>
          </w:p>
        </w:tc>
        <w:tc>
          <w:tcPr>
            <w:tcW w:w="2127" w:type="dxa"/>
          </w:tcPr>
          <w:p w:rsidR="00875707" w:rsidRDefault="00875707" w:rsidP="00875707">
            <w:r>
              <w:t>Uses</w:t>
            </w:r>
          </w:p>
        </w:tc>
        <w:tc>
          <w:tcPr>
            <w:tcW w:w="2976" w:type="dxa"/>
          </w:tcPr>
          <w:p w:rsidR="00875707" w:rsidRDefault="00875707" w:rsidP="00875707">
            <w:r>
              <w:t>Doesn’t use</w:t>
            </w:r>
          </w:p>
        </w:tc>
      </w:tr>
    </w:tbl>
    <w:p w:rsidR="00875707" w:rsidRDefault="00875707" w:rsidP="00875707"/>
    <w:p w:rsidR="00E734C2" w:rsidRDefault="00E734C2" w:rsidP="00E734C2">
      <w:pPr>
        <w:pStyle w:val="Heading1"/>
      </w:pPr>
      <w:r>
        <w:t>Purpose of manuscript</w:t>
      </w:r>
    </w:p>
    <w:p w:rsidR="00E734C2" w:rsidRDefault="00E734C2" w:rsidP="00E734C2">
      <w:r>
        <w:t>The purpose of this manuscript is to summarise results</w:t>
      </w:r>
      <w:r w:rsidR="009E34E1">
        <w:t xml:space="preserve"> from a</w:t>
      </w:r>
      <w:r w:rsidR="00875707">
        <w:t xml:space="preserve"> follow-up simulation study w</w:t>
      </w:r>
      <w:r w:rsidR="0050261E">
        <w:t xml:space="preserve">hich indicates that, under certain circumstances, a same-random-number type approach appears to satisfy all three conditions stated above, and so in these circumstances appears preferable to the simulated difference approach described above. </w:t>
      </w:r>
    </w:p>
    <w:p w:rsidR="009C4181" w:rsidRDefault="009C4181" w:rsidP="009C4181">
      <w:pPr>
        <w:pStyle w:val="Heading1"/>
      </w:pPr>
      <w:r>
        <w:t>Sorting Approach</w:t>
      </w:r>
    </w:p>
    <w:p w:rsidR="009C4181" w:rsidRDefault="009C4181" w:rsidP="00E734C2">
      <w:r>
        <w:t>The two approaches compared here are:</w:t>
      </w:r>
    </w:p>
    <w:p w:rsidR="009C4181" w:rsidRDefault="009C4181" w:rsidP="009C4181">
      <w:pPr>
        <w:pStyle w:val="ListParagraph"/>
        <w:numPr>
          <w:ilvl w:val="0"/>
          <w:numId w:val="3"/>
        </w:numPr>
      </w:pPr>
      <w:r>
        <w:t>A naïve approach where the two sets of estimates are drawn independently from two separate distributions</w:t>
      </w:r>
    </w:p>
    <w:p w:rsidR="009C4181" w:rsidRDefault="009C4181" w:rsidP="009C4181">
      <w:pPr>
        <w:pStyle w:val="ListParagraph"/>
        <w:numPr>
          <w:ilvl w:val="0"/>
          <w:numId w:val="3"/>
        </w:numPr>
      </w:pPr>
      <w:r>
        <w:lastRenderedPageBreak/>
        <w:t>A slightly less naïve approach where, after the distributions are drawn, they are sorted in order from lowest to highest, and then paired with each other.</w:t>
      </w:r>
    </w:p>
    <w:p w:rsidR="002A7F63" w:rsidRDefault="002A7F63" w:rsidP="002A7F63">
      <w:pPr>
        <w:pStyle w:val="Heading1"/>
      </w:pPr>
      <w:r>
        <w:t>Methods</w:t>
      </w:r>
    </w:p>
    <w:p w:rsidR="00427C91" w:rsidRDefault="009C4181" w:rsidP="009C4181">
      <w:r>
        <w:t>The simulation calculates quantiti</w:t>
      </w:r>
      <w:r w:rsidR="00427C91">
        <w:t>es of interest for two normal distributions with mean values one unit apart. For the lower of these two distributions, the standard deviation is fixed at one unit. For the upper of the two distributions, the standard deviation is set to that of the lower distribution, multiplied by a range of ratios varying from 10</w:t>
      </w:r>
      <w:r w:rsidR="00427C91">
        <w:rPr>
          <w:vertAlign w:val="superscript"/>
        </w:rPr>
        <w:t>-2</w:t>
      </w:r>
      <w:r w:rsidR="00427C91">
        <w:t xml:space="preserve"> to 10</w:t>
      </w:r>
      <w:r w:rsidR="00427C91">
        <w:rPr>
          <w:vertAlign w:val="superscript"/>
        </w:rPr>
        <w:t>2</w:t>
      </w:r>
      <w:r w:rsidR="00427C91">
        <w:t>. The two quantities of interest calculated are:</w:t>
      </w:r>
    </w:p>
    <w:p w:rsidR="009C4181" w:rsidRDefault="00427C91" w:rsidP="00427C91">
      <w:pPr>
        <w:pStyle w:val="ListParagraph"/>
        <w:numPr>
          <w:ilvl w:val="0"/>
          <w:numId w:val="4"/>
        </w:numPr>
      </w:pPr>
      <w:r>
        <w:t>The proportion of PSA draws inconsistent (i.e. where the estimate for the lower distribution is greater than that for the higher distribution).</w:t>
      </w:r>
    </w:p>
    <w:p w:rsidR="00427C91" w:rsidRPr="00427C91" w:rsidRDefault="00427C91" w:rsidP="00427C91">
      <w:pPr>
        <w:pStyle w:val="ListParagraph"/>
        <w:numPr>
          <w:ilvl w:val="0"/>
          <w:numId w:val="4"/>
        </w:numPr>
      </w:pPr>
      <w:r>
        <w:t xml:space="preserve">The variance of the estimated difference </w:t>
      </w:r>
      <m:oMath>
        <m:r>
          <w:rPr>
            <w:rFonts w:ascii="Cambria Math" w:hAnsi="Cambria Math"/>
          </w:rPr>
          <m:t xml:space="preserve"> </m:t>
        </m:r>
        <m:sSub>
          <m:sSubPr>
            <m:ctrlPr>
              <w:rPr>
                <w:rFonts w:ascii="Cambria Math" w:eastAsiaTheme="minorHAnsi" w:hAnsi="Cambria Math"/>
                <w:i/>
                <w:lang w:val="en-GB" w:bidi="ar-SA"/>
              </w:rPr>
            </m:ctrlPr>
          </m:sSubPr>
          <m:e>
            <m:r>
              <w:rPr>
                <w:rFonts w:ascii="Cambria Math" w:hAnsi="Cambria Math"/>
              </w:rPr>
              <m:t>E(X</m:t>
            </m:r>
          </m:e>
          <m:sub>
            <m:r>
              <w:rPr>
                <w:rFonts w:ascii="Cambria Math" w:hAnsi="Cambria Math"/>
              </w:rPr>
              <m:t>2</m:t>
            </m:r>
          </m:sub>
        </m:sSub>
        <m:sSub>
          <m:sSubPr>
            <m:ctrlPr>
              <w:rPr>
                <w:rFonts w:ascii="Cambria Math" w:hAnsi="Cambria Math"/>
                <w:i/>
                <w:lang w:val="en-GB" w:bidi="ar-SA"/>
              </w:rPr>
            </m:ctrlPr>
          </m:sSubPr>
          <m:e>
            <m:r>
              <w:rPr>
                <w:rFonts w:ascii="Cambria Math" w:hAnsi="Cambria Math"/>
              </w:rPr>
              <m:t>)</m:t>
            </m:r>
          </m:e>
          <m:sub>
            <m:r>
              <w:rPr>
                <w:rFonts w:ascii="Cambria Math" w:hAnsi="Cambria Math"/>
              </w:rPr>
              <m:t>i</m:t>
            </m:r>
          </m:sub>
        </m:sSub>
        <m:r>
          <w:rPr>
            <w:rFonts w:ascii="Cambria Math" w:hAnsi="Cambria Math"/>
            <w:lang w:val="en-GB" w:bidi="ar-SA"/>
          </w:rPr>
          <m:t>-</m:t>
        </m:r>
        <m:sSub>
          <m:sSubPr>
            <m:ctrlPr>
              <w:rPr>
                <w:rFonts w:ascii="Cambria Math" w:eastAsiaTheme="minorHAnsi" w:hAnsi="Cambria Math"/>
                <w:i/>
                <w:lang w:val="en-GB" w:bidi="ar-SA"/>
              </w:rPr>
            </m:ctrlPr>
          </m:sSubPr>
          <m:e>
            <m:r>
              <w:rPr>
                <w:rFonts w:ascii="Cambria Math" w:hAnsi="Cambria Math"/>
              </w:rPr>
              <m:t>E(X</m:t>
            </m:r>
          </m:e>
          <m:sub>
            <m:r>
              <w:rPr>
                <w:rFonts w:ascii="Cambria Math" w:hAnsi="Cambria Math"/>
              </w:rPr>
              <m:t>1</m:t>
            </m:r>
          </m:sub>
        </m:sSub>
        <m:sSub>
          <m:sSubPr>
            <m:ctrlPr>
              <w:rPr>
                <w:rFonts w:ascii="Cambria Math" w:eastAsiaTheme="minorHAnsi" w:hAnsi="Cambria Math"/>
                <w:i/>
                <w:lang w:val="en-GB" w:bidi="ar-SA"/>
              </w:rPr>
            </m:ctrlPr>
          </m:sSubPr>
          <m:e>
            <m:r>
              <w:rPr>
                <w:rFonts w:ascii="Cambria Math" w:hAnsi="Cambria Math"/>
              </w:rPr>
              <m:t>)</m:t>
            </m:r>
          </m:e>
          <m:sub>
            <m:r>
              <w:rPr>
                <w:rFonts w:ascii="Cambria Math" w:hAnsi="Cambria Math"/>
              </w:rPr>
              <m:t>i</m:t>
            </m:r>
          </m:sub>
        </m:sSub>
        <m:r>
          <w:rPr>
            <w:rFonts w:ascii="Cambria Math" w:hAnsi="Cambria Math"/>
            <w:lang w:val="en-GB" w:bidi="ar-SA"/>
          </w:rPr>
          <m:t xml:space="preserve"> </m:t>
        </m:r>
      </m:oMath>
    </w:p>
    <w:p w:rsidR="00427C91" w:rsidRDefault="00427C91" w:rsidP="00427C91">
      <w:r>
        <w:t>These are plotted as a function of the ratio between SDs for the two distributions.</w:t>
      </w:r>
    </w:p>
    <w:p w:rsidR="00427C91" w:rsidRDefault="00427C91" w:rsidP="00427C91">
      <w:pPr>
        <w:pStyle w:val="Heading2"/>
      </w:pPr>
      <w:r>
        <w:t>Simulation Algorithm</w:t>
      </w:r>
    </w:p>
    <w:p w:rsidR="00427C91" w:rsidRDefault="00427C91" w:rsidP="00427C91">
      <w:r>
        <w:t>The R code used to perform this simulation is as follows:</w:t>
      </w:r>
    </w:p>
    <w:p w:rsidR="00427C91" w:rsidRDefault="00427C91" w:rsidP="00427C91">
      <w:pPr>
        <w:spacing w:after="0"/>
        <w:ind w:left="720"/>
      </w:pPr>
      <w:proofErr w:type="spellStart"/>
      <w:r>
        <w:t>sd.ratios</w:t>
      </w:r>
      <w:proofErr w:type="spellEnd"/>
      <w:r>
        <w:t xml:space="preserve"> &lt;- 10</w:t>
      </w:r>
      <w:proofErr w:type="gramStart"/>
      <w:r>
        <w:t>^(</w:t>
      </w:r>
      <w:proofErr w:type="spellStart"/>
      <w:proofErr w:type="gramEnd"/>
      <w:r>
        <w:t>seq</w:t>
      </w:r>
      <w:proofErr w:type="spellEnd"/>
      <w:r>
        <w:t>(-2, 2, by=0.01))</w:t>
      </w:r>
    </w:p>
    <w:p w:rsidR="00427C91" w:rsidRDefault="00427C91" w:rsidP="00427C91">
      <w:pPr>
        <w:spacing w:after="0"/>
        <w:ind w:left="720"/>
      </w:pPr>
      <w:proofErr w:type="spellStart"/>
      <w:r>
        <w:t>N.sd.ratios</w:t>
      </w:r>
      <w:proofErr w:type="spellEnd"/>
      <w:r>
        <w:t xml:space="preserve"> &lt;- </w:t>
      </w:r>
      <w:proofErr w:type="gramStart"/>
      <w:r>
        <w:t>length(</w:t>
      </w:r>
      <w:proofErr w:type="spellStart"/>
      <w:proofErr w:type="gramEnd"/>
      <w:r>
        <w:t>sd.ratios</w:t>
      </w:r>
      <w:proofErr w:type="spellEnd"/>
      <w:r>
        <w:t>)</w:t>
      </w:r>
    </w:p>
    <w:p w:rsidR="00427C91" w:rsidRDefault="00427C91" w:rsidP="00427C91">
      <w:pPr>
        <w:spacing w:after="0"/>
        <w:ind w:left="720"/>
      </w:pPr>
      <w:proofErr w:type="spellStart"/>
      <w:r>
        <w:t>proportion.below.unsorted</w:t>
      </w:r>
      <w:proofErr w:type="spellEnd"/>
      <w:r>
        <w:t xml:space="preserve"> &lt;- </w:t>
      </w:r>
      <w:proofErr w:type="gramStart"/>
      <w:r>
        <w:t>vector(</w:t>
      </w:r>
      <w:proofErr w:type="gramEnd"/>
      <w:r>
        <w:t xml:space="preserve">"numeric", </w:t>
      </w:r>
      <w:proofErr w:type="spellStart"/>
      <w:r>
        <w:t>N.sd.ratios</w:t>
      </w:r>
      <w:proofErr w:type="spellEnd"/>
      <w:r>
        <w:t>)</w:t>
      </w:r>
    </w:p>
    <w:p w:rsidR="00427C91" w:rsidRDefault="00427C91" w:rsidP="00427C91">
      <w:pPr>
        <w:spacing w:after="0"/>
        <w:ind w:left="720"/>
      </w:pPr>
      <w:proofErr w:type="spellStart"/>
      <w:r>
        <w:t>proportion.below.sorted</w:t>
      </w:r>
      <w:proofErr w:type="spellEnd"/>
      <w:r>
        <w:t xml:space="preserve"> &lt;- </w:t>
      </w:r>
      <w:proofErr w:type="gramStart"/>
      <w:r>
        <w:t>vector(</w:t>
      </w:r>
      <w:proofErr w:type="gramEnd"/>
      <w:r>
        <w:t xml:space="preserve">"numeric", </w:t>
      </w:r>
      <w:proofErr w:type="spellStart"/>
      <w:r>
        <w:t>N.sd.ratios</w:t>
      </w:r>
      <w:proofErr w:type="spellEnd"/>
      <w:r>
        <w:t>)</w:t>
      </w:r>
    </w:p>
    <w:p w:rsidR="00427C91" w:rsidRDefault="00427C91" w:rsidP="00427C91">
      <w:pPr>
        <w:spacing w:after="0"/>
        <w:ind w:left="720"/>
      </w:pPr>
      <w:proofErr w:type="spellStart"/>
      <w:r>
        <w:t>var.diff.unsorted</w:t>
      </w:r>
      <w:proofErr w:type="spellEnd"/>
      <w:r>
        <w:t xml:space="preserve"> &lt;- </w:t>
      </w:r>
      <w:proofErr w:type="gramStart"/>
      <w:r>
        <w:t>vector(</w:t>
      </w:r>
      <w:proofErr w:type="gramEnd"/>
      <w:r>
        <w:t xml:space="preserve">"numeric", </w:t>
      </w:r>
      <w:proofErr w:type="spellStart"/>
      <w:r>
        <w:t>N.sd.ratios</w:t>
      </w:r>
      <w:proofErr w:type="spellEnd"/>
      <w:r>
        <w:t>)</w:t>
      </w:r>
    </w:p>
    <w:p w:rsidR="00427C91" w:rsidRDefault="00427C91" w:rsidP="00427C91">
      <w:pPr>
        <w:spacing w:after="0"/>
        <w:ind w:left="720"/>
      </w:pPr>
      <w:proofErr w:type="spellStart"/>
      <w:r>
        <w:t>var.diff.sorted</w:t>
      </w:r>
      <w:proofErr w:type="spellEnd"/>
      <w:r>
        <w:t xml:space="preserve"> &lt;- </w:t>
      </w:r>
      <w:proofErr w:type="gramStart"/>
      <w:r>
        <w:t>vector(</w:t>
      </w:r>
      <w:proofErr w:type="gramEnd"/>
      <w:r>
        <w:t xml:space="preserve">"numeric", </w:t>
      </w:r>
      <w:proofErr w:type="spellStart"/>
      <w:r>
        <w:t>N.sd.ratios</w:t>
      </w:r>
      <w:proofErr w:type="spellEnd"/>
      <w:r>
        <w:t>)</w:t>
      </w:r>
    </w:p>
    <w:p w:rsidR="00427C91" w:rsidRDefault="00427C91" w:rsidP="00427C91">
      <w:pPr>
        <w:spacing w:after="0"/>
        <w:ind w:left="720"/>
      </w:pPr>
    </w:p>
    <w:p w:rsidR="00427C91" w:rsidRDefault="00427C91" w:rsidP="00427C91">
      <w:pPr>
        <w:spacing w:after="0"/>
        <w:ind w:left="720"/>
      </w:pPr>
      <w:proofErr w:type="gramStart"/>
      <w:r>
        <w:t>for</w:t>
      </w:r>
      <w:proofErr w:type="gramEnd"/>
      <w:r>
        <w:t xml:space="preserve"> (</w:t>
      </w:r>
      <w:proofErr w:type="spellStart"/>
      <w:r>
        <w:t>i</w:t>
      </w:r>
      <w:proofErr w:type="spellEnd"/>
      <w:r>
        <w:t xml:space="preserve"> in 1:N.sd.ratios){</w:t>
      </w:r>
    </w:p>
    <w:p w:rsidR="00427C91" w:rsidRDefault="00427C91" w:rsidP="00427C91">
      <w:pPr>
        <w:spacing w:after="0"/>
        <w:ind w:left="720"/>
      </w:pPr>
      <w:r>
        <w:t xml:space="preserve">    X1 &lt;- </w:t>
      </w:r>
      <w:proofErr w:type="spellStart"/>
      <w:proofErr w:type="gramStart"/>
      <w:r>
        <w:t>rnorm</w:t>
      </w:r>
      <w:proofErr w:type="spellEnd"/>
      <w:r>
        <w:t>(</w:t>
      </w:r>
      <w:proofErr w:type="gramEnd"/>
      <w:r>
        <w:t>100000, 1, 1)</w:t>
      </w:r>
    </w:p>
    <w:p w:rsidR="00427C91" w:rsidRDefault="00427C91" w:rsidP="00427C91">
      <w:pPr>
        <w:spacing w:after="0"/>
        <w:ind w:left="720"/>
      </w:pPr>
      <w:r>
        <w:t xml:space="preserve">    X2 &lt;- </w:t>
      </w:r>
      <w:proofErr w:type="spellStart"/>
      <w:proofErr w:type="gramStart"/>
      <w:r>
        <w:t>rnorm</w:t>
      </w:r>
      <w:proofErr w:type="spellEnd"/>
      <w:r>
        <w:t>(</w:t>
      </w:r>
      <w:proofErr w:type="gramEnd"/>
      <w:r>
        <w:t xml:space="preserve">100000, 2, 1 * </w:t>
      </w:r>
      <w:proofErr w:type="spellStart"/>
      <w:r>
        <w:t>sd.ratios</w:t>
      </w:r>
      <w:proofErr w:type="spellEnd"/>
      <w:r>
        <w:t>[</w:t>
      </w:r>
      <w:proofErr w:type="spellStart"/>
      <w:r>
        <w:t>i</w:t>
      </w:r>
      <w:proofErr w:type="spellEnd"/>
      <w:r>
        <w:t>])</w:t>
      </w:r>
    </w:p>
    <w:p w:rsidR="00427C91" w:rsidRDefault="00427C91" w:rsidP="00427C91">
      <w:pPr>
        <w:spacing w:after="0"/>
        <w:ind w:left="720"/>
      </w:pPr>
      <w:r>
        <w:t xml:space="preserve">    </w:t>
      </w:r>
    </w:p>
    <w:p w:rsidR="00427C91" w:rsidRDefault="00427C91" w:rsidP="00427C91">
      <w:pPr>
        <w:spacing w:after="0"/>
        <w:ind w:left="720"/>
      </w:pPr>
      <w:r>
        <w:t xml:space="preserve">    </w:t>
      </w:r>
      <w:proofErr w:type="spellStart"/>
      <w:proofErr w:type="gramStart"/>
      <w:r>
        <w:t>proportion.below.unsorted</w:t>
      </w:r>
      <w:proofErr w:type="spellEnd"/>
      <w:r>
        <w:t>[</w:t>
      </w:r>
      <w:proofErr w:type="spellStart"/>
      <w:proofErr w:type="gramEnd"/>
      <w:r>
        <w:t>i</w:t>
      </w:r>
      <w:proofErr w:type="spellEnd"/>
      <w:r>
        <w:t>] &lt;- length(which(X1 &gt; X2))  / 100000</w:t>
      </w:r>
    </w:p>
    <w:p w:rsidR="00427C91" w:rsidRDefault="00427C91" w:rsidP="00427C91">
      <w:pPr>
        <w:spacing w:after="0"/>
        <w:ind w:left="720"/>
      </w:pPr>
      <w:r>
        <w:t xml:space="preserve">    </w:t>
      </w:r>
      <w:proofErr w:type="spellStart"/>
      <w:proofErr w:type="gramStart"/>
      <w:r>
        <w:t>proportion.below.sorted</w:t>
      </w:r>
      <w:proofErr w:type="spellEnd"/>
      <w:r>
        <w:t>[</w:t>
      </w:r>
      <w:proofErr w:type="spellStart"/>
      <w:proofErr w:type="gramEnd"/>
      <w:r>
        <w:t>i</w:t>
      </w:r>
      <w:proofErr w:type="spellEnd"/>
      <w:r>
        <w:t>] &lt;- length(which(sort(X1) &gt; sort(X2))) / 100000</w:t>
      </w:r>
    </w:p>
    <w:p w:rsidR="00427C91" w:rsidRDefault="00427C91" w:rsidP="00427C91">
      <w:pPr>
        <w:spacing w:after="0"/>
        <w:ind w:left="720"/>
      </w:pPr>
      <w:r>
        <w:t xml:space="preserve">    </w:t>
      </w:r>
      <w:proofErr w:type="spellStart"/>
      <w:proofErr w:type="gramStart"/>
      <w:r>
        <w:t>var.diff.unsorted</w:t>
      </w:r>
      <w:proofErr w:type="spellEnd"/>
      <w:r>
        <w:t>[</w:t>
      </w:r>
      <w:proofErr w:type="spellStart"/>
      <w:proofErr w:type="gramEnd"/>
      <w:r>
        <w:t>i</w:t>
      </w:r>
      <w:proofErr w:type="spellEnd"/>
      <w:r>
        <w:t xml:space="preserve">] &lt;- </w:t>
      </w:r>
      <w:proofErr w:type="spellStart"/>
      <w:r>
        <w:t>var</w:t>
      </w:r>
      <w:proofErr w:type="spellEnd"/>
      <w:r>
        <w:t>(X2-X1)</w:t>
      </w:r>
    </w:p>
    <w:p w:rsidR="00427C91" w:rsidRDefault="00427C91" w:rsidP="00427C91">
      <w:pPr>
        <w:spacing w:after="0"/>
        <w:ind w:left="720"/>
      </w:pPr>
      <w:r>
        <w:t xml:space="preserve">    </w:t>
      </w:r>
      <w:proofErr w:type="spellStart"/>
      <w:proofErr w:type="gramStart"/>
      <w:r>
        <w:t>var.diff.sorted</w:t>
      </w:r>
      <w:proofErr w:type="spellEnd"/>
      <w:r>
        <w:t>[</w:t>
      </w:r>
      <w:proofErr w:type="spellStart"/>
      <w:proofErr w:type="gramEnd"/>
      <w:r>
        <w:t>i</w:t>
      </w:r>
      <w:proofErr w:type="spellEnd"/>
      <w:r>
        <w:t xml:space="preserve">] &lt;- </w:t>
      </w:r>
      <w:proofErr w:type="spellStart"/>
      <w:r>
        <w:t>var</w:t>
      </w:r>
      <w:proofErr w:type="spellEnd"/>
      <w:r>
        <w:t>(sort(X2) - sort(X1))</w:t>
      </w:r>
    </w:p>
    <w:p w:rsidR="00427C91" w:rsidRDefault="00427C91" w:rsidP="00427C91">
      <w:pPr>
        <w:spacing w:after="0"/>
        <w:ind w:left="720"/>
      </w:pPr>
      <w:r>
        <w:t>}</w:t>
      </w:r>
    </w:p>
    <w:p w:rsidR="00427C91" w:rsidRDefault="00427C91" w:rsidP="00427C91">
      <w:pPr>
        <w:spacing w:after="0"/>
        <w:ind w:left="720"/>
      </w:pPr>
    </w:p>
    <w:p w:rsidR="00427C91" w:rsidRDefault="00427C91" w:rsidP="00427C91">
      <w:pPr>
        <w:spacing w:after="0"/>
        <w:ind w:left="720"/>
      </w:pPr>
      <w:r>
        <w:t xml:space="preserve">Data &lt;- </w:t>
      </w:r>
      <w:proofErr w:type="spellStart"/>
      <w:proofErr w:type="gramStart"/>
      <w:r>
        <w:t>data.frame</w:t>
      </w:r>
      <w:proofErr w:type="spellEnd"/>
      <w:r>
        <w:t>(</w:t>
      </w:r>
      <w:proofErr w:type="gramEnd"/>
      <w:r>
        <w:t xml:space="preserve">unsorted= </w:t>
      </w:r>
      <w:proofErr w:type="spellStart"/>
      <w:r>
        <w:t>proportion.below.unsorted</w:t>
      </w:r>
      <w:proofErr w:type="spellEnd"/>
      <w:r>
        <w:t>, sorted=</w:t>
      </w:r>
      <w:proofErr w:type="spellStart"/>
      <w:r>
        <w:t>proportion.below.sorted</w:t>
      </w:r>
      <w:proofErr w:type="spellEnd"/>
      <w:r>
        <w:t xml:space="preserve">,  </w:t>
      </w:r>
      <w:proofErr w:type="spellStart"/>
      <w:r>
        <w:t>var.diff.srt</w:t>
      </w:r>
      <w:proofErr w:type="spellEnd"/>
      <w:r>
        <w:t xml:space="preserve">= </w:t>
      </w:r>
      <w:proofErr w:type="spellStart"/>
      <w:r>
        <w:t>var.diff.sorted</w:t>
      </w:r>
      <w:proofErr w:type="spellEnd"/>
      <w:r>
        <w:t xml:space="preserve">, </w:t>
      </w:r>
      <w:proofErr w:type="spellStart"/>
      <w:r>
        <w:t>var.diff.unsrt</w:t>
      </w:r>
      <w:proofErr w:type="spellEnd"/>
      <w:r>
        <w:t>=</w:t>
      </w:r>
      <w:proofErr w:type="spellStart"/>
      <w:r>
        <w:t>var.diff.unsorted</w:t>
      </w:r>
      <w:proofErr w:type="spellEnd"/>
      <w:r>
        <w:t>, ratio=</w:t>
      </w:r>
      <w:proofErr w:type="spellStart"/>
      <w:r>
        <w:t>sd.ratios</w:t>
      </w:r>
      <w:proofErr w:type="spellEnd"/>
      <w:r>
        <w:t>)</w:t>
      </w:r>
    </w:p>
    <w:p w:rsidR="00427C91" w:rsidRPr="00427C91" w:rsidRDefault="00427C91" w:rsidP="00427C91">
      <w:pPr>
        <w:spacing w:after="0"/>
      </w:pPr>
    </w:p>
    <w:p w:rsidR="0050261E" w:rsidRDefault="0050261E" w:rsidP="0050261E">
      <w:pPr>
        <w:pStyle w:val="Heading2"/>
      </w:pPr>
      <w:r>
        <w:t>Similarities and differences between sorting approach and other approaches</w:t>
      </w:r>
    </w:p>
    <w:p w:rsidR="0050261E" w:rsidRDefault="00685ED4" w:rsidP="00685ED4">
      <w:r>
        <w:t xml:space="preserve">As the number of simulates becomes very big, the sorting approach approximates a </w:t>
      </w:r>
      <w:proofErr w:type="spellStart"/>
      <w:r>
        <w:t>quantile</w:t>
      </w:r>
      <w:proofErr w:type="spellEnd"/>
      <w:r>
        <w:t xml:space="preserve"> matching approach, which is effectively </w:t>
      </w:r>
      <w:r w:rsidR="00A3453A">
        <w:t>the same as</w:t>
      </w:r>
      <w:r>
        <w:t xml:space="preserve"> using the same random number seed.</w:t>
      </w:r>
    </w:p>
    <w:p w:rsidR="002A7F63" w:rsidRDefault="002A7F63" w:rsidP="002A7F63">
      <w:pPr>
        <w:pStyle w:val="Heading1"/>
      </w:pPr>
      <w:r>
        <w:lastRenderedPageBreak/>
        <w:t>Results</w:t>
      </w:r>
    </w:p>
    <w:p w:rsidR="002A7F63" w:rsidRDefault="002A7F63" w:rsidP="005F4F6C">
      <w:pPr>
        <w:pStyle w:val="Heading2"/>
      </w:pPr>
      <w:r>
        <w:t>Proportion inconsistent</w:t>
      </w:r>
    </w:p>
    <w:p w:rsidR="00A3453A" w:rsidRDefault="00A3453A" w:rsidP="005F4F6C">
      <w:r>
        <w:rPr>
          <w:noProof/>
          <w:lang w:bidi="ar-SA"/>
        </w:rPr>
        <w:drawing>
          <wp:inline distT="0" distB="0" distL="0" distR="0">
            <wp:extent cx="4433680" cy="3907418"/>
            <wp:effectExtent l="19050" t="0" r="4970" b="0"/>
            <wp:docPr id="1" name="Picture 0" descr="PropInconsistent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nconsistentNormal.png"/>
                    <pic:cNvPicPr/>
                  </pic:nvPicPr>
                  <pic:blipFill>
                    <a:blip r:embed="rId5" cstate="print"/>
                    <a:stretch>
                      <a:fillRect/>
                    </a:stretch>
                  </pic:blipFill>
                  <pic:spPr>
                    <a:xfrm>
                      <a:off x="0" y="0"/>
                      <a:ext cx="4433063" cy="3906874"/>
                    </a:xfrm>
                    <a:prstGeom prst="rect">
                      <a:avLst/>
                    </a:prstGeom>
                  </pic:spPr>
                </pic:pic>
              </a:graphicData>
            </a:graphic>
          </wp:inline>
        </w:drawing>
      </w:r>
    </w:p>
    <w:p w:rsidR="002A7F63" w:rsidRDefault="0050261E" w:rsidP="005F4F6C">
      <w:pPr>
        <w:pStyle w:val="Heading2"/>
      </w:pPr>
      <w:r>
        <w:t>Variance of differences</w:t>
      </w:r>
    </w:p>
    <w:p w:rsidR="00A3453A" w:rsidRDefault="00A3453A" w:rsidP="005F4F6C">
      <w:r>
        <w:rPr>
          <w:noProof/>
          <w:lang w:bidi="ar-SA"/>
        </w:rPr>
        <w:lastRenderedPageBreak/>
        <w:drawing>
          <wp:inline distT="0" distB="0" distL="0" distR="0">
            <wp:extent cx="4141195" cy="3649649"/>
            <wp:effectExtent l="19050" t="0" r="0" b="0"/>
            <wp:docPr id="2" name="Picture 1" descr="VarDif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iffs.png"/>
                    <pic:cNvPicPr/>
                  </pic:nvPicPr>
                  <pic:blipFill>
                    <a:blip r:embed="rId6" cstate="print"/>
                    <a:stretch>
                      <a:fillRect/>
                    </a:stretch>
                  </pic:blipFill>
                  <pic:spPr>
                    <a:xfrm>
                      <a:off x="0" y="0"/>
                      <a:ext cx="4140618" cy="3649141"/>
                    </a:xfrm>
                    <a:prstGeom prst="rect">
                      <a:avLst/>
                    </a:prstGeom>
                  </pic:spPr>
                </pic:pic>
              </a:graphicData>
            </a:graphic>
          </wp:inline>
        </w:drawing>
      </w:r>
    </w:p>
    <w:p w:rsidR="00A3453A" w:rsidRDefault="00A3453A" w:rsidP="005F4F6C">
      <w:pPr>
        <w:pStyle w:val="Heading2"/>
      </w:pPr>
      <w:r>
        <w:t>Trade off</w:t>
      </w:r>
    </w:p>
    <w:p w:rsidR="005F4F6C" w:rsidRPr="005F4F6C" w:rsidRDefault="005F4F6C" w:rsidP="005F4F6C">
      <w:r>
        <w:t>Plotting the two series for the sorted values on the same plot indicates there is a small but useable range of SD ratios where the two conditions – minimal inconsistency and non-negligible variance – are both satisfied. How wide this range is depends on the tolerance constraints placed by the modeler, with a greater minimum inconsistency tolerance level and a greater minimum variance level both leading to increases in the range of acceptable values.</w:t>
      </w:r>
    </w:p>
    <w:p w:rsidR="00A3453A" w:rsidRDefault="00A3453A" w:rsidP="005F4F6C">
      <w:r>
        <w:rPr>
          <w:noProof/>
          <w:lang w:bidi="ar-SA"/>
        </w:rPr>
        <w:lastRenderedPageBreak/>
        <w:drawing>
          <wp:inline distT="0" distB="0" distL="0" distR="0">
            <wp:extent cx="5144493" cy="34313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43478" cy="3430698"/>
                    </a:xfrm>
                    <a:prstGeom prst="rect">
                      <a:avLst/>
                    </a:prstGeom>
                    <a:noFill/>
                  </pic:spPr>
                </pic:pic>
              </a:graphicData>
            </a:graphic>
          </wp:inline>
        </w:drawing>
      </w:r>
    </w:p>
    <w:p w:rsidR="005F4F6C" w:rsidRDefault="005F4F6C" w:rsidP="005F4F6C">
      <w:pPr>
        <w:pStyle w:val="Heading2"/>
      </w:pPr>
      <w:r>
        <w:t>Suggestion</w:t>
      </w:r>
    </w:p>
    <w:tbl>
      <w:tblPr>
        <w:tblStyle w:val="TableGrid"/>
        <w:tblW w:w="0" w:type="auto"/>
        <w:tblLook w:val="04A0"/>
      </w:tblPr>
      <w:tblGrid>
        <w:gridCol w:w="2235"/>
        <w:gridCol w:w="2553"/>
        <w:gridCol w:w="2394"/>
        <w:gridCol w:w="2394"/>
      </w:tblGrid>
      <w:tr w:rsidR="0084496B" w:rsidTr="0084496B">
        <w:tc>
          <w:tcPr>
            <w:tcW w:w="2235" w:type="dxa"/>
          </w:tcPr>
          <w:p w:rsidR="0084496B" w:rsidRDefault="0084496B" w:rsidP="005F4F6C">
            <w:r>
              <w:t>Variance Constraint</w:t>
            </w:r>
          </w:p>
        </w:tc>
        <w:tc>
          <w:tcPr>
            <w:tcW w:w="2553" w:type="dxa"/>
          </w:tcPr>
          <w:p w:rsidR="0084496B" w:rsidRDefault="0084496B" w:rsidP="005F4F6C">
            <w:r>
              <w:t>Inconsistency Constraint</w:t>
            </w:r>
          </w:p>
        </w:tc>
        <w:tc>
          <w:tcPr>
            <w:tcW w:w="2394" w:type="dxa"/>
          </w:tcPr>
          <w:p w:rsidR="0084496B" w:rsidRDefault="0084496B" w:rsidP="005F4F6C">
            <w:r>
              <w:t>Lower acceptable band</w:t>
            </w:r>
          </w:p>
        </w:tc>
        <w:tc>
          <w:tcPr>
            <w:tcW w:w="2394" w:type="dxa"/>
          </w:tcPr>
          <w:p w:rsidR="0084496B" w:rsidRDefault="0084496B" w:rsidP="005F4F6C">
            <w:r>
              <w:t>Upper Acceptable Band</w:t>
            </w:r>
          </w:p>
        </w:tc>
      </w:tr>
      <w:tr w:rsidR="0084496B" w:rsidTr="0084496B">
        <w:tc>
          <w:tcPr>
            <w:tcW w:w="2235" w:type="dxa"/>
          </w:tcPr>
          <w:p w:rsidR="0084496B" w:rsidRDefault="0084496B" w:rsidP="0084496B">
            <w:r>
              <w:t>&gt;  0.01</w:t>
            </w:r>
          </w:p>
        </w:tc>
        <w:tc>
          <w:tcPr>
            <w:tcW w:w="2553" w:type="dxa"/>
          </w:tcPr>
          <w:p w:rsidR="0084496B" w:rsidRDefault="0084496B" w:rsidP="005F4F6C">
            <w:r>
              <w:t>&lt; 0.001</w:t>
            </w:r>
          </w:p>
        </w:tc>
        <w:tc>
          <w:tcPr>
            <w:tcW w:w="2394" w:type="dxa"/>
          </w:tcPr>
          <w:p w:rsidR="0084496B" w:rsidRDefault="0084496B" w:rsidP="005F4F6C">
            <w:r>
              <w:t>0.72 to 0.85</w:t>
            </w:r>
          </w:p>
        </w:tc>
        <w:tc>
          <w:tcPr>
            <w:tcW w:w="2394" w:type="dxa"/>
          </w:tcPr>
          <w:p w:rsidR="0084496B" w:rsidRDefault="0084496B" w:rsidP="005F4F6C">
            <w:r>
              <w:t>1.17 to 1.25</w:t>
            </w:r>
          </w:p>
        </w:tc>
      </w:tr>
      <w:tr w:rsidR="0084496B" w:rsidTr="0084496B">
        <w:tc>
          <w:tcPr>
            <w:tcW w:w="2235" w:type="dxa"/>
          </w:tcPr>
          <w:p w:rsidR="0084496B" w:rsidRDefault="0084496B" w:rsidP="005F4F6C">
            <w:r>
              <w:t>&gt;  0.1</w:t>
            </w:r>
          </w:p>
        </w:tc>
        <w:tc>
          <w:tcPr>
            <w:tcW w:w="2553" w:type="dxa"/>
          </w:tcPr>
          <w:p w:rsidR="0084496B" w:rsidRDefault="0084496B" w:rsidP="005F4F6C">
            <w:r>
              <w:t>&lt; 0.01</w:t>
            </w:r>
          </w:p>
        </w:tc>
        <w:tc>
          <w:tcPr>
            <w:tcW w:w="2394" w:type="dxa"/>
          </w:tcPr>
          <w:p w:rsidR="0084496B" w:rsidRDefault="0084496B" w:rsidP="005F4F6C">
            <w:r>
              <w:t>0.57 to 0.62</w:t>
            </w:r>
          </w:p>
        </w:tc>
        <w:tc>
          <w:tcPr>
            <w:tcW w:w="2394" w:type="dxa"/>
          </w:tcPr>
          <w:p w:rsidR="0084496B" w:rsidRDefault="0084496B" w:rsidP="005F4F6C">
            <w:r>
              <w:t>None</w:t>
            </w:r>
          </w:p>
        </w:tc>
      </w:tr>
      <w:tr w:rsidR="0084496B" w:rsidTr="0084496B">
        <w:tc>
          <w:tcPr>
            <w:tcW w:w="2235" w:type="dxa"/>
          </w:tcPr>
          <w:p w:rsidR="0084496B" w:rsidRDefault="0084496B" w:rsidP="005F4F6C"/>
        </w:tc>
        <w:tc>
          <w:tcPr>
            <w:tcW w:w="2553" w:type="dxa"/>
          </w:tcPr>
          <w:p w:rsidR="0084496B" w:rsidRDefault="0084496B" w:rsidP="005F4F6C"/>
        </w:tc>
        <w:tc>
          <w:tcPr>
            <w:tcW w:w="2394" w:type="dxa"/>
          </w:tcPr>
          <w:p w:rsidR="0084496B" w:rsidRDefault="0084496B" w:rsidP="005F4F6C"/>
        </w:tc>
        <w:tc>
          <w:tcPr>
            <w:tcW w:w="2394" w:type="dxa"/>
          </w:tcPr>
          <w:p w:rsidR="0084496B" w:rsidRDefault="0084496B" w:rsidP="005F4F6C"/>
        </w:tc>
      </w:tr>
    </w:tbl>
    <w:p w:rsidR="005F4F6C" w:rsidRDefault="005F4F6C" w:rsidP="005F4F6C"/>
    <w:p w:rsidR="002A7F63" w:rsidRDefault="002A7F63" w:rsidP="002A7F63">
      <w:pPr>
        <w:pStyle w:val="Heading1"/>
      </w:pPr>
      <w:r>
        <w:t>Recommendations</w:t>
      </w:r>
    </w:p>
    <w:p w:rsidR="00A3453A" w:rsidRPr="00A3453A" w:rsidRDefault="005F4F6C" w:rsidP="00A3453A">
      <w:r>
        <w:t xml:space="preserve">Before considering alternatives to the above, modelers should investigate the effect that sorting/using the same random number seed has on both the proportion inconsistent, and the range of simulated differences between estimated values. </w:t>
      </w:r>
    </w:p>
    <w:p w:rsidR="002A7F63" w:rsidRDefault="002A7F63" w:rsidP="002A7F63">
      <w:pPr>
        <w:pStyle w:val="Heading1"/>
      </w:pPr>
      <w:r>
        <w:t>Further research</w:t>
      </w:r>
    </w:p>
    <w:p w:rsidR="005F4F6C" w:rsidRDefault="005F4F6C" w:rsidP="005F4F6C">
      <w:r>
        <w:t>Further research should consider:</w:t>
      </w:r>
    </w:p>
    <w:p w:rsidR="005F4F6C" w:rsidRDefault="005F4F6C" w:rsidP="005F4F6C">
      <w:pPr>
        <w:pStyle w:val="ListParagraph"/>
        <w:numPr>
          <w:ilvl w:val="0"/>
          <w:numId w:val="5"/>
        </w:numPr>
      </w:pPr>
      <w:r>
        <w:t>Eliciting modelers’ tolerance for the two constraints described above (minimum variance of differences, and maximum proportion inconsistent</w:t>
      </w:r>
    </w:p>
    <w:p w:rsidR="005F4F6C" w:rsidRPr="005F4F6C" w:rsidRDefault="005F4F6C" w:rsidP="005F4F6C">
      <w:pPr>
        <w:pStyle w:val="ListParagraph"/>
        <w:numPr>
          <w:ilvl w:val="0"/>
          <w:numId w:val="5"/>
        </w:numPr>
      </w:pPr>
      <w:r>
        <w:t>Perform similar research for the lognormal and other distributions.</w:t>
      </w:r>
    </w:p>
    <w:sectPr w:rsidR="005F4F6C" w:rsidRPr="005F4F6C" w:rsidSect="00E71E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5F34"/>
    <w:multiLevelType w:val="hybridMultilevel"/>
    <w:tmpl w:val="1974D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61CA3"/>
    <w:multiLevelType w:val="hybridMultilevel"/>
    <w:tmpl w:val="AAFE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1392C"/>
    <w:multiLevelType w:val="hybridMultilevel"/>
    <w:tmpl w:val="262CEF60"/>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3">
    <w:nsid w:val="2CEE73B6"/>
    <w:multiLevelType w:val="hybridMultilevel"/>
    <w:tmpl w:val="A12A4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450DB9"/>
    <w:multiLevelType w:val="hybridMultilevel"/>
    <w:tmpl w:val="6292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26913"/>
    <w:multiLevelType w:val="hybridMultilevel"/>
    <w:tmpl w:val="22C2D2B0"/>
    <w:lvl w:ilvl="0" w:tplc="5ADAD07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A020C0"/>
    <w:multiLevelType w:val="hybridMultilevel"/>
    <w:tmpl w:val="AC62B9EA"/>
    <w:lvl w:ilvl="0" w:tplc="43EC2A5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markup="0"/>
  <w:defaultTabStop w:val="720"/>
  <w:characterSpacingControl w:val="doNotCompress"/>
  <w:compat>
    <w:useFELayout/>
  </w:compat>
  <w:rsids>
    <w:rsidRoot w:val="002A7F63"/>
    <w:rsid w:val="001D0B95"/>
    <w:rsid w:val="002A7F63"/>
    <w:rsid w:val="0039202A"/>
    <w:rsid w:val="00404BDE"/>
    <w:rsid w:val="00427C91"/>
    <w:rsid w:val="004A10CC"/>
    <w:rsid w:val="0050261E"/>
    <w:rsid w:val="005F4F6C"/>
    <w:rsid w:val="00667163"/>
    <w:rsid w:val="00667F38"/>
    <w:rsid w:val="00685ED4"/>
    <w:rsid w:val="00743E90"/>
    <w:rsid w:val="00785DB0"/>
    <w:rsid w:val="007923BF"/>
    <w:rsid w:val="0084496B"/>
    <w:rsid w:val="00875707"/>
    <w:rsid w:val="009547BD"/>
    <w:rsid w:val="009C4181"/>
    <w:rsid w:val="009E34E1"/>
    <w:rsid w:val="00A2696B"/>
    <w:rsid w:val="00A3453A"/>
    <w:rsid w:val="00AC6EF2"/>
    <w:rsid w:val="00AF232D"/>
    <w:rsid w:val="00C15193"/>
    <w:rsid w:val="00E240C1"/>
    <w:rsid w:val="00E71EFE"/>
    <w:rsid w:val="00E734C2"/>
    <w:rsid w:val="00FC2D6E"/>
    <w:rsid w:val="00FF0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61E"/>
  </w:style>
  <w:style w:type="paragraph" w:styleId="Heading1">
    <w:name w:val="heading 1"/>
    <w:basedOn w:val="Normal"/>
    <w:next w:val="Normal"/>
    <w:link w:val="Heading1Char"/>
    <w:uiPriority w:val="9"/>
    <w:qFormat/>
    <w:rsid w:val="0050261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0261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0261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0261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0261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0261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0261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0261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0261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61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0261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0261E"/>
    <w:rPr>
      <w:rFonts w:asciiTheme="majorHAnsi" w:eastAsiaTheme="majorEastAsia" w:hAnsiTheme="majorHAnsi" w:cstheme="majorBidi"/>
      <w:b/>
      <w:bCs/>
    </w:rPr>
  </w:style>
  <w:style w:type="character" w:styleId="PlaceholderText">
    <w:name w:val="Placeholder Text"/>
    <w:basedOn w:val="DefaultParagraphFont"/>
    <w:uiPriority w:val="99"/>
    <w:semiHidden/>
    <w:rsid w:val="00C15193"/>
    <w:rPr>
      <w:color w:val="808080"/>
    </w:rPr>
  </w:style>
  <w:style w:type="paragraph" w:styleId="BalloonText">
    <w:name w:val="Balloon Text"/>
    <w:basedOn w:val="Normal"/>
    <w:link w:val="BalloonTextChar"/>
    <w:uiPriority w:val="99"/>
    <w:semiHidden/>
    <w:unhideWhenUsed/>
    <w:rsid w:val="00C15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193"/>
    <w:rPr>
      <w:rFonts w:ascii="Tahoma" w:hAnsi="Tahoma" w:cs="Tahoma"/>
      <w:sz w:val="16"/>
      <w:szCs w:val="16"/>
      <w:lang w:val="en-GB"/>
    </w:rPr>
  </w:style>
  <w:style w:type="paragraph" w:styleId="ListParagraph">
    <w:name w:val="List Paragraph"/>
    <w:basedOn w:val="Normal"/>
    <w:uiPriority w:val="34"/>
    <w:qFormat/>
    <w:rsid w:val="0050261E"/>
    <w:pPr>
      <w:ind w:left="720"/>
      <w:contextualSpacing/>
    </w:pPr>
  </w:style>
  <w:style w:type="table" w:styleId="TableGrid">
    <w:name w:val="Table Grid"/>
    <w:basedOn w:val="TableNormal"/>
    <w:uiPriority w:val="59"/>
    <w:rsid w:val="00875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0261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0261E"/>
    <w:rPr>
      <w:rFonts w:asciiTheme="majorHAnsi" w:eastAsiaTheme="majorEastAsia" w:hAnsiTheme="majorHAnsi" w:cstheme="majorBidi"/>
      <w:spacing w:val="5"/>
      <w:sz w:val="52"/>
      <w:szCs w:val="52"/>
    </w:rPr>
  </w:style>
  <w:style w:type="character" w:customStyle="1" w:styleId="Heading4Char">
    <w:name w:val="Heading 4 Char"/>
    <w:basedOn w:val="DefaultParagraphFont"/>
    <w:link w:val="Heading4"/>
    <w:uiPriority w:val="9"/>
    <w:semiHidden/>
    <w:rsid w:val="0050261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0261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0261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0261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0261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0261E"/>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0261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0261E"/>
    <w:rPr>
      <w:rFonts w:asciiTheme="majorHAnsi" w:eastAsiaTheme="majorEastAsia" w:hAnsiTheme="majorHAnsi" w:cstheme="majorBidi"/>
      <w:i/>
      <w:iCs/>
      <w:spacing w:val="13"/>
      <w:sz w:val="24"/>
      <w:szCs w:val="24"/>
    </w:rPr>
  </w:style>
  <w:style w:type="character" w:styleId="Strong">
    <w:name w:val="Strong"/>
    <w:uiPriority w:val="22"/>
    <w:qFormat/>
    <w:rsid w:val="0050261E"/>
    <w:rPr>
      <w:b/>
      <w:bCs/>
    </w:rPr>
  </w:style>
  <w:style w:type="character" w:styleId="Emphasis">
    <w:name w:val="Emphasis"/>
    <w:uiPriority w:val="20"/>
    <w:qFormat/>
    <w:rsid w:val="0050261E"/>
    <w:rPr>
      <w:b/>
      <w:bCs/>
      <w:i/>
      <w:iCs/>
      <w:spacing w:val="10"/>
      <w:bdr w:val="none" w:sz="0" w:space="0" w:color="auto"/>
      <w:shd w:val="clear" w:color="auto" w:fill="auto"/>
    </w:rPr>
  </w:style>
  <w:style w:type="paragraph" w:styleId="NoSpacing">
    <w:name w:val="No Spacing"/>
    <w:basedOn w:val="Normal"/>
    <w:uiPriority w:val="1"/>
    <w:qFormat/>
    <w:rsid w:val="0050261E"/>
    <w:pPr>
      <w:spacing w:after="0" w:line="240" w:lineRule="auto"/>
    </w:pPr>
  </w:style>
  <w:style w:type="paragraph" w:styleId="Quote">
    <w:name w:val="Quote"/>
    <w:basedOn w:val="Normal"/>
    <w:next w:val="Normal"/>
    <w:link w:val="QuoteChar"/>
    <w:uiPriority w:val="29"/>
    <w:qFormat/>
    <w:rsid w:val="0050261E"/>
    <w:pPr>
      <w:spacing w:before="200" w:after="0"/>
      <w:ind w:left="360" w:right="360"/>
    </w:pPr>
    <w:rPr>
      <w:i/>
      <w:iCs/>
    </w:rPr>
  </w:style>
  <w:style w:type="character" w:customStyle="1" w:styleId="QuoteChar">
    <w:name w:val="Quote Char"/>
    <w:basedOn w:val="DefaultParagraphFont"/>
    <w:link w:val="Quote"/>
    <w:uiPriority w:val="29"/>
    <w:rsid w:val="0050261E"/>
    <w:rPr>
      <w:i/>
      <w:iCs/>
    </w:rPr>
  </w:style>
  <w:style w:type="paragraph" w:styleId="IntenseQuote">
    <w:name w:val="Intense Quote"/>
    <w:basedOn w:val="Normal"/>
    <w:next w:val="Normal"/>
    <w:link w:val="IntenseQuoteChar"/>
    <w:uiPriority w:val="30"/>
    <w:qFormat/>
    <w:rsid w:val="0050261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0261E"/>
    <w:rPr>
      <w:b/>
      <w:bCs/>
      <w:i/>
      <w:iCs/>
    </w:rPr>
  </w:style>
  <w:style w:type="character" w:styleId="SubtleEmphasis">
    <w:name w:val="Subtle Emphasis"/>
    <w:uiPriority w:val="19"/>
    <w:qFormat/>
    <w:rsid w:val="0050261E"/>
    <w:rPr>
      <w:i/>
      <w:iCs/>
    </w:rPr>
  </w:style>
  <w:style w:type="character" w:styleId="IntenseEmphasis">
    <w:name w:val="Intense Emphasis"/>
    <w:uiPriority w:val="21"/>
    <w:qFormat/>
    <w:rsid w:val="0050261E"/>
    <w:rPr>
      <w:b/>
      <w:bCs/>
    </w:rPr>
  </w:style>
  <w:style w:type="character" w:styleId="SubtleReference">
    <w:name w:val="Subtle Reference"/>
    <w:uiPriority w:val="31"/>
    <w:qFormat/>
    <w:rsid w:val="0050261E"/>
    <w:rPr>
      <w:smallCaps/>
    </w:rPr>
  </w:style>
  <w:style w:type="character" w:styleId="IntenseReference">
    <w:name w:val="Intense Reference"/>
    <w:uiPriority w:val="32"/>
    <w:qFormat/>
    <w:rsid w:val="0050261E"/>
    <w:rPr>
      <w:smallCaps/>
      <w:spacing w:val="5"/>
      <w:u w:val="single"/>
    </w:rPr>
  </w:style>
  <w:style w:type="character" w:styleId="BookTitle">
    <w:name w:val="Book Title"/>
    <w:uiPriority w:val="33"/>
    <w:qFormat/>
    <w:rsid w:val="0050261E"/>
    <w:rPr>
      <w:i/>
      <w:iCs/>
      <w:smallCaps/>
      <w:spacing w:val="5"/>
    </w:rPr>
  </w:style>
  <w:style w:type="paragraph" w:styleId="TOCHeading">
    <w:name w:val="TOC Heading"/>
    <w:basedOn w:val="Heading1"/>
    <w:next w:val="Normal"/>
    <w:uiPriority w:val="39"/>
    <w:semiHidden/>
    <w:unhideWhenUsed/>
    <w:qFormat/>
    <w:rsid w:val="0050261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1044</Words>
  <Characters>5998</Characters>
  <Application>Microsoft Office Word</Application>
  <DocSecurity>0</DocSecurity>
  <Lines>146</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2012-01-23T13:26:00Z</dcterms:created>
  <dcterms:modified xsi:type="dcterms:W3CDTF">2012-01-23T18:09:00Z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14MtI1k60WlwDLzGygiYaNqCW4QMqHLuGy7ondpoZKrE</vt:lpwstr>
  </property>
  <property fmtid="{D5CDD505-2E9C-101B-9397-08002B2CF9AE}" pid="4" name="Google.Documents.RevisionId">
    <vt:lpwstr>16488695510683576505</vt:lpwstr>
  </property>
  <property fmtid="{D5CDD505-2E9C-101B-9397-08002B2CF9AE}" pid="5" name="Google.Documents.PreviousRevisionId">
    <vt:lpwstr>14655306544016749814</vt:lpwstr>
  </property>
  <property fmtid="{D5CDD505-2E9C-101B-9397-08002B2CF9AE}" pid="6" name="Google.Documents.PluginVersion">
    <vt:lpwstr>2.0.2662.553</vt:lpwstr>
  </property>
  <property fmtid="{D5CDD505-2E9C-101B-9397-08002B2CF9AE}" pid="7" name="Google.Documents.MergeIncapabilityFlags">
    <vt:i4>0</vt:i4>
  </property>
</Properties>
</file>