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430AB7" w:rsidRDefault="00430AB7" w:rsidP="00430AB7">
      <w:pPr>
        <w:pStyle w:val="Heading3"/>
      </w:pPr>
      <w:r>
        <w:t>Para 1: Why we started (Question answered)</w:t>
      </w:r>
    </w:p>
    <w:p w:rsidR="003D2C1B" w:rsidRPr="003D2C1B" w:rsidRDefault="008E6EBD" w:rsidP="003D2C1B">
      <w:r>
        <w:t xml:space="preserve">In constructing the economic models used to estimate the cost-effectiveness of a new healthcare technology within the NICE Single Technology Assessment process, it is common for modellers to need to make use of summary data to parameterise their model. In some cases these summary data relate to variables known to be associated with each other in </w:t>
      </w:r>
      <w:r w:rsidR="00BE5A50">
        <w:t xml:space="preserve">specific </w:t>
      </w:r>
      <w:r>
        <w:t xml:space="preserve">ways. </w:t>
      </w:r>
      <w:r w:rsidR="00BE5A50">
        <w:t xml:space="preserve">Of particular interest are examples where one has estimates of the utility associated with degrees of disease severity. In </w:t>
      </w:r>
      <w:r w:rsidR="002625DA">
        <w:t xml:space="preserve">such </w:t>
      </w:r>
      <w:r w:rsidR="00BE5A50">
        <w:t xml:space="preserve">cases, it appears erroneous to assume that the </w:t>
      </w:r>
      <w:r w:rsidR="00900EF8">
        <w:t xml:space="preserve">mean </w:t>
      </w:r>
      <w:r w:rsidR="00BE5A50">
        <w:t xml:space="preserve">patient utility associated with a more severe disease state should be higher than that of a less severe disease state. </w:t>
      </w:r>
      <w:r w:rsidR="003D2C1B">
        <w:t xml:space="preserve">Instead, it </w:t>
      </w:r>
      <w:r w:rsidR="002625DA">
        <w:t xml:space="preserve">should be assumed </w:t>
      </w:r>
      <w:r w:rsidR="003D2C1B">
        <w:t xml:space="preserve">that a </w:t>
      </w:r>
      <w:r w:rsidR="003D2C1B" w:rsidRPr="003D2C1B">
        <w:rPr>
          <w:i/>
        </w:rPr>
        <w:t>monotonic relationship</w:t>
      </w:r>
      <w:r w:rsidR="003D2C1B">
        <w:t xml:space="preserve"> exists between these variables. </w:t>
      </w:r>
      <w:r w:rsidR="00BE5A50">
        <w:t xml:space="preserve">Ideally, all inputs used within economic models should be represented by statistical distributions, which accurately reflect the modellers’ uncertainty about the true value of input parameters. If modellers use summary statistics to </w:t>
      </w:r>
      <w:r w:rsidR="003D2C1B">
        <w:t>populate these inputs naively, however, by assuming independence between variables known to be linked in this way, then in some instances probabilistic sensitivity analyses will produce severity-ass</w:t>
      </w:r>
      <w:r w:rsidR="00BD4E41">
        <w:t xml:space="preserve">ociated utility estimates that </w:t>
      </w:r>
      <w:r w:rsidR="003D2C1B">
        <w:t xml:space="preserve">cross over, suggesting that worse disease states have higher utilities or vice versa. Such estimates </w:t>
      </w:r>
      <w:r w:rsidR="002625DA">
        <w:t xml:space="preserve">thus </w:t>
      </w:r>
      <w:r w:rsidR="003D2C1B">
        <w:t xml:space="preserve">lack face validity, and should be considered erroneous due to their failure to incorporate knowledge about the monotonic association between the variables. </w:t>
      </w:r>
      <w:r w:rsidR="002C422F">
        <w:t>We</w:t>
      </w:r>
      <w:r w:rsidR="003D2C1B">
        <w:t xml:space="preserve"> have observed a number of models submitted to peer review or used in </w:t>
      </w:r>
      <w:r w:rsidR="003D2C1B" w:rsidRPr="003D2C1B">
        <w:t xml:space="preserve">part of the NICE Single Technology Appraisal process where, in the context of summary data, the methodologies used for handling of monotonicity has been erroneous. </w:t>
      </w:r>
      <w:r w:rsidR="002C422F">
        <w:t xml:space="preserve">[References] </w:t>
      </w:r>
      <w:r w:rsidR="00DB38DE">
        <w:t>The aim of this paper is to consider how monotonicity can be better handled in these circumstances, to offer practical guidance and indicate useful areas for further research.</w:t>
      </w:r>
    </w:p>
    <w:p w:rsidR="00430AB7" w:rsidRDefault="00430AB7" w:rsidP="00430AB7">
      <w:pPr>
        <w:pStyle w:val="Heading3"/>
      </w:pPr>
      <w:r>
        <w:t>Para 2: What we did (“In this study we...”)</w:t>
      </w:r>
    </w:p>
    <w:p w:rsidR="00900EF8" w:rsidRPr="003D2C1B" w:rsidRDefault="00900EF8" w:rsidP="00900EF8">
      <w:r>
        <w:t>Our research and conclusions resulted from an iterative three stage process. In the first stage, a ‘long list’ of ten possible methodologies for handling monotonicity was produced. A fictitious dataset was developed, involving thirty patients reporting utility values associated with the disease at both a moderate and a severe state. The performances of these ten methods were assessed using this dataset, and from this a ‘short list’ of methods with greatest plausibility was developed, whose statistical properties were then considered further</w:t>
      </w:r>
      <w:r w:rsidR="002625DA">
        <w:t xml:space="preserve"> within stage two</w:t>
      </w:r>
      <w:r>
        <w:t xml:space="preserve">. A third stage </w:t>
      </w:r>
      <w:r w:rsidR="002625DA">
        <w:t xml:space="preserve">of </w:t>
      </w:r>
      <w:r>
        <w:t xml:space="preserve">the process involved </w:t>
      </w:r>
      <w:r w:rsidR="002625DA">
        <w:t xml:space="preserve">considering how dependent our conclusions are on the choice of </w:t>
      </w:r>
      <w:r w:rsidR="00F74533">
        <w:t>fictitious data generated, and exploring in more detail the implications of relaxing one of the assumptions made in generating these data.</w:t>
      </w:r>
    </w:p>
    <w:p w:rsidR="00430AB7" w:rsidRDefault="00430AB7" w:rsidP="00430AB7">
      <w:pPr>
        <w:pStyle w:val="Heading2"/>
      </w:pPr>
      <w:r>
        <w:t>Method: What did we do?</w:t>
      </w:r>
    </w:p>
    <w:p w:rsidR="00430AB7" w:rsidRDefault="00430AB7" w:rsidP="00430AB7">
      <w:pPr>
        <w:pStyle w:val="Heading3"/>
      </w:pPr>
      <w:r>
        <w:t>Para 1</w:t>
      </w:r>
    </w:p>
    <w:p w:rsidR="00900EF8" w:rsidRDefault="00900EF8" w:rsidP="00900EF8">
      <w:r>
        <w:t xml:space="preserve">In stage one, a simulated data set was developed. </w:t>
      </w:r>
      <w:r w:rsidR="00F74533">
        <w:t xml:space="preserve">A </w:t>
      </w:r>
      <w:r w:rsidRPr="00900EF8">
        <w:t xml:space="preserve">hypothetical disease was investigated where the patients could have either moderate or severe disease. A dummy data set was constructed simulating the responses from 30 patients who provided utility values for both states. Patients were assumed always to rate the utility in the moderate health state (U1) higher than that in the severe </w:t>
      </w:r>
      <w:r w:rsidRPr="00900EF8">
        <w:lastRenderedPageBreak/>
        <w:t xml:space="preserve">state (U2). The assumed data are shown in </w:t>
      </w:r>
      <w:r>
        <w:fldChar w:fldCharType="begin"/>
      </w:r>
      <w:r>
        <w:instrText xml:space="preserve"> REF _Ref323290699 \h </w:instrText>
      </w:r>
      <w:r>
        <w:fldChar w:fldCharType="separate"/>
      </w:r>
      <w:r>
        <w:t xml:space="preserve">Figure </w:t>
      </w:r>
      <w:r>
        <w:rPr>
          <w:noProof/>
        </w:rPr>
        <w:t>1</w:t>
      </w:r>
      <w:r>
        <w:fldChar w:fldCharType="end"/>
      </w:r>
      <w:r>
        <w:t xml:space="preserve">, and it assumed these data are reported </w:t>
      </w:r>
      <w:r w:rsidR="00284FC4">
        <w:t xml:space="preserve">as summary statistics as shown in </w:t>
      </w:r>
      <w:r w:rsidR="00284FC4">
        <w:fldChar w:fldCharType="begin"/>
      </w:r>
      <w:r w:rsidR="00284FC4">
        <w:instrText xml:space="preserve"> REF _Ref323290936 \h </w:instrText>
      </w:r>
      <w:r w:rsidR="00284FC4">
        <w:fldChar w:fldCharType="separate"/>
      </w:r>
      <w:r w:rsidR="00284FC4">
        <w:t xml:space="preserve">Table </w:t>
      </w:r>
      <w:r w:rsidR="00284FC4">
        <w:rPr>
          <w:noProof/>
        </w:rPr>
        <w:t>1</w:t>
      </w:r>
      <w:r w:rsidR="00284FC4">
        <w:fldChar w:fldCharType="end"/>
      </w:r>
      <w:r w:rsidR="00284FC4" w:rsidRPr="00900EF8">
        <w:t>.</w:t>
      </w:r>
    </w:p>
    <w:p w:rsidR="00900EF8" w:rsidRDefault="00BE3F5D" w:rsidP="00900EF8">
      <w:pPr>
        <w:keepNext/>
      </w:pPr>
      <w:r>
        <w:rPr>
          <w:noProof/>
          <w:lang w:eastAsia="en-GB"/>
        </w:rPr>
        <w:drawing>
          <wp:inline distT="0" distB="0" distL="0" distR="0" wp14:anchorId="6D8761DD" wp14:editId="7DC23A5E">
            <wp:extent cx="3806190" cy="3806190"/>
            <wp:effectExtent l="0" t="0" r="0" b="0"/>
            <wp:docPr id="7" name="Picture 7" descr="X:\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Pr="00284FC4" w:rsidRDefault="00900EF8" w:rsidP="00284FC4">
      <w:pPr>
        <w:pStyle w:val="Caption"/>
        <w:rPr>
          <w:sz w:val="22"/>
          <w:szCs w:val="22"/>
        </w:rPr>
      </w:pPr>
      <w:bookmarkStart w:id="0" w:name="_Ref323290699"/>
      <w:r>
        <w:t xml:space="preserve">Figure </w:t>
      </w:r>
      <w:fldSimple w:instr=" SEQ Figure \* ARABIC ">
        <w:r w:rsidR="00D16FF3">
          <w:rPr>
            <w:noProof/>
          </w:rPr>
          <w:t>1</w:t>
        </w:r>
      </w:fldSimple>
      <w:bookmarkEnd w:id="0"/>
      <w:r>
        <w:t xml:space="preserve"> A plot of the</w:t>
      </w:r>
      <w:r w:rsidR="002C422F">
        <w:t xml:space="preserve"> simulated</w:t>
      </w:r>
      <w:r>
        <w:t xml:space="preserve"> data set</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Pr="00900EF8" w:rsidRDefault="00900EF8" w:rsidP="00900EF8">
      <w:pPr>
        <w:pStyle w:val="Caption"/>
      </w:pPr>
      <w:bookmarkStart w:id="1" w:name="_Ref323290936"/>
      <w:r>
        <w:t xml:space="preserve">Table </w:t>
      </w:r>
      <w:fldSimple w:instr=" SEQ Table \* ARABIC ">
        <w:r w:rsidR="00284FC4">
          <w:rPr>
            <w:noProof/>
          </w:rPr>
          <w:t>1</w:t>
        </w:r>
      </w:fldSimple>
      <w:bookmarkEnd w:id="1"/>
      <w:r>
        <w:t xml:space="preserve"> </w:t>
      </w:r>
      <w:proofErr w:type="gramStart"/>
      <w:r>
        <w:t>The</w:t>
      </w:r>
      <w:proofErr w:type="gramEnd"/>
      <w:r>
        <w:t xml:space="preserve"> assumed avail</w:t>
      </w:r>
      <w:bookmarkStart w:id="2" w:name="_GoBack"/>
      <w:bookmarkEnd w:id="2"/>
      <w:r>
        <w:t>able summary data</w:t>
      </w:r>
    </w:p>
    <w:p w:rsidR="00284FC4" w:rsidRDefault="00284FC4" w:rsidP="00284FC4">
      <w:pPr>
        <w:pStyle w:val="Heading3"/>
      </w:pPr>
      <w:r>
        <w:t>Para 2</w:t>
      </w:r>
    </w:p>
    <w:p w:rsidR="00F74533" w:rsidRPr="00131B0D" w:rsidRDefault="00F74533" w:rsidP="00284FC4">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A violation of monotonicity would result in the distribution of predicted values U1-U2 produced from the PSA including some negative values.</w:t>
      </w:r>
    </w:p>
    <w:p w:rsidR="00430AB7" w:rsidRDefault="00430AB7" w:rsidP="00430AB7">
      <w:pPr>
        <w:pStyle w:val="Heading3"/>
      </w:pPr>
      <w:r>
        <w:t>Para 3</w:t>
      </w:r>
    </w:p>
    <w:p w:rsidR="00131B0D" w:rsidRDefault="00131B0D" w:rsidP="00131B0D">
      <w:r>
        <w:t xml:space="preserve">The long list of ten approaches considered for handling the U2 &lt; U1 monotonicity relationship are described in </w:t>
      </w:r>
      <w:r>
        <w:fldChar w:fldCharType="begin"/>
      </w:r>
      <w:r>
        <w:instrText xml:space="preserve"> REF _Ref323291518 \h </w:instrText>
      </w:r>
      <w:r>
        <w:fldChar w:fldCharType="separate"/>
      </w:r>
      <w:r>
        <w:t xml:space="preserve">Table </w:t>
      </w:r>
      <w:r>
        <w:rPr>
          <w:noProof/>
        </w:rPr>
        <w:t>2</w:t>
      </w:r>
      <w:r>
        <w:fldChar w:fldCharType="end"/>
      </w:r>
      <w:r>
        <w:t xml:space="preserve"> below.</w:t>
      </w:r>
      <w:r w:rsidRPr="00900EF8">
        <w:t xml:space="preserve"> The mean, standard deviation, maximum and minimum values of U1 – U2 were recorded for each, having performed 1000 Monte Carlo simulations. As this was a simulation study these resu</w:t>
      </w:r>
      <w:r>
        <w:t xml:space="preserve">lts were compared against 1000 </w:t>
      </w:r>
      <w:r w:rsidRPr="00900EF8">
        <w:t xml:space="preserve">sets of 30 bootstrap samples (with replacement) from the paired data, which had a mean difference of 0.05, a maximum difference of </w:t>
      </w:r>
      <w:r w:rsidRPr="00900EF8">
        <w:lastRenderedPageBreak/>
        <w:t>0.073 and a minimum difference of 0.036. It is acknowledged that these ‘true’ values would not be known where only summary data were provided.</w:t>
      </w:r>
    </w:p>
    <w:tbl>
      <w:tblPr>
        <w:tblStyle w:val="TableGrid"/>
        <w:tblW w:w="0" w:type="auto"/>
        <w:tblLook w:val="04A0" w:firstRow="1" w:lastRow="0" w:firstColumn="1" w:lastColumn="0" w:noHBand="0" w:noVBand="1"/>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proofErr w:type="spellStart"/>
            <w:r>
              <w:t>Quantile</w:t>
            </w:r>
            <w:proofErr w:type="spellEnd"/>
            <w:r>
              <w:t xml:space="preserve"> Matching/</w:t>
            </w:r>
          </w:p>
          <w:p w:rsidR="00BE3F5D" w:rsidRDefault="00BE3F5D" w:rsidP="00BE3F5D">
            <w:r>
              <w:t>Number Seed Recycling</w:t>
            </w:r>
          </w:p>
        </w:tc>
        <w:tc>
          <w:tcPr>
            <w:tcW w:w="8153" w:type="dxa"/>
          </w:tcPr>
          <w:p w:rsidR="00BE3F5D" w:rsidRDefault="00BE3F5D" w:rsidP="00BE3F5D">
            <w:r>
              <w:t xml:space="preserve">For each of the M PSA runs, use the same random number seed when drawing a sample from U2 and U1. (This is equivalent to selecting the same </w:t>
            </w:r>
            <w:proofErr w:type="spellStart"/>
            <w:r>
              <w:t>quantile</w:t>
            </w:r>
            <w:proofErr w:type="spellEnd"/>
            <w:r>
              <w:t xml:space="preserve"> from both distributions.)</w:t>
            </w:r>
          </w:p>
        </w:tc>
      </w:tr>
      <w:tr w:rsidR="00BE3F5D" w:rsidTr="00BE3F5D">
        <w:tc>
          <w:tcPr>
            <w:tcW w:w="703" w:type="dxa"/>
          </w:tcPr>
          <w:p w:rsidR="00BE3F5D" w:rsidRDefault="00BE3F5D" w:rsidP="00131B0D">
            <w:r>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Stage 3: Check if the value of U1 is less than U2. If it is, then go back to Stage 2 (i.e. resample). If not, then stop.</w:t>
            </w:r>
          </w:p>
        </w:tc>
      </w:tr>
      <w:tr w:rsidR="00BE3F5D" w:rsidTr="00BE3F5D">
        <w:tc>
          <w:tcPr>
            <w:tcW w:w="703" w:type="dxa"/>
          </w:tcPr>
          <w:p w:rsidR="00BE3F5D" w:rsidRDefault="00BE3F5D" w:rsidP="00131B0D">
            <w:r>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t>Stage 3: Check if the value of U2 is greater than U1. If it is, then go back to Stage 2 (i.e. resample). If not, then stop.</w:t>
            </w:r>
          </w:p>
        </w:tc>
      </w:tr>
      <w:tr w:rsidR="00BE3F5D" w:rsidTr="00BE3F5D">
        <w:tc>
          <w:tcPr>
            <w:tcW w:w="703" w:type="dxa"/>
          </w:tcPr>
          <w:p w:rsidR="00BE3F5D" w:rsidRDefault="00BE3F5D" w:rsidP="00131B0D">
            <w:r>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BE3F5D">
            <w:r>
              <w:t>Lower bounded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BE3F5D" w:rsidRDefault="00BE3F5D" w:rsidP="00BE3F5D">
            <w:r>
              <w:t>Upper Bounded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 xml:space="preserve">derived distribution of U1, called </w:t>
            </w:r>
            <w:proofErr w:type="gramStart"/>
            <w:r w:rsidR="00464BEF">
              <w:t>U1</w:t>
            </w:r>
            <w:r w:rsidR="00464BEF" w:rsidRPr="00464BEF">
              <w:rPr>
                <w:vertAlign w:val="superscript"/>
              </w:rPr>
              <w:t>(</w:t>
            </w:r>
            <w:proofErr w:type="gramEnd"/>
            <w:r w:rsidR="00464BEF" w:rsidRPr="00464BEF">
              <w:rPr>
                <w:vertAlign w:val="superscript"/>
              </w:rPr>
              <w:t>*)</w:t>
            </w:r>
            <w:r w:rsidR="00464BEF">
              <w:t xml:space="preserve">, rather than U1 itself. </w:t>
            </w:r>
          </w:p>
          <w:p w:rsidR="00464BEF" w:rsidRPr="00464BEF" w:rsidRDefault="00464BEF" w:rsidP="00464BEF">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following discussion with a clinician, and such that the difference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 are small.</w:t>
            </w:r>
          </w:p>
        </w:tc>
      </w:tr>
    </w:tbl>
    <w:p w:rsidR="00131B0D" w:rsidRDefault="00131B0D" w:rsidP="00131B0D">
      <w:pPr>
        <w:pStyle w:val="Caption"/>
      </w:pPr>
      <w:bookmarkStart w:id="3" w:name="_Ref323291518"/>
      <w:r>
        <w:lastRenderedPageBreak/>
        <w:t xml:space="preserve">Table </w:t>
      </w:r>
      <w:fldSimple w:instr=" SEQ Table \* ARABIC ">
        <w:r>
          <w:rPr>
            <w:noProof/>
          </w:rPr>
          <w:t>2</w:t>
        </w:r>
      </w:fldSimple>
      <w:bookmarkEnd w:id="3"/>
      <w:r>
        <w:t xml:space="preserve"> Summary of the long list of ten methodologies considered</w:t>
      </w:r>
    </w:p>
    <w:p w:rsidR="00430AB7" w:rsidRDefault="00430AB7" w:rsidP="00430AB7">
      <w:pPr>
        <w:pStyle w:val="Heading3"/>
      </w:pPr>
      <w:r>
        <w:t>Para 4</w:t>
      </w:r>
    </w:p>
    <w:p w:rsidR="00131B0D" w:rsidRDefault="00131B0D" w:rsidP="00131B0D">
      <w:r>
        <w:t>F</w:t>
      </w:r>
      <w:r w:rsidRPr="00284FC4">
        <w:t xml:space="preserve">or methodologies 8 and 9 it was assumed that a plausible confidence interval could be defined  by setting a </w:t>
      </w:r>
      <w:r w:rsidR="002C422F">
        <w:t>covariance</w:t>
      </w:r>
      <w:r w:rsidRPr="00284FC4">
        <w:t xml:space="preserve"> that led to the minimum difference being marginally greater than 0. These were 0.0004 and 0.00084 respectively.</w:t>
      </w:r>
      <w:r>
        <w:t xml:space="preserve"> </w:t>
      </w:r>
      <w:r w:rsidRPr="00284FC4">
        <w:t>For methodology 10, it was assumed that the maximum difference would be set following a discussion with a clinician. For illustrative purposes a Beta (1</w:t>
      </w:r>
      <w:proofErr w:type="gramStart"/>
      <w:r w:rsidRPr="00284FC4">
        <w:t>,19</w:t>
      </w:r>
      <w:proofErr w:type="gramEnd"/>
      <w:r w:rsidRPr="00284FC4">
        <w:t>) was used which was assumed to provide a reasonable estimation of the difference.</w:t>
      </w:r>
      <w:r>
        <w:t xml:space="preserve"> Methodology 2 is broadly equivalent to pairing the </w:t>
      </w:r>
      <w:proofErr w:type="spellStart"/>
      <w:r>
        <w:t>quantiles</w:t>
      </w:r>
      <w:proofErr w:type="spellEnd"/>
      <w:r>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t>quantile</w:t>
      </w:r>
      <w:proofErr w:type="spellEnd"/>
      <w:r>
        <w:t>-pairing was not considered as a separate strategy at this stage.</w:t>
      </w:r>
    </w:p>
    <w:tbl>
      <w:tblPr>
        <w:tblStyle w:val="TableGrid"/>
        <w:tblW w:w="0" w:type="auto"/>
        <w:tblLook w:val="04A0" w:firstRow="1" w:lastRow="0" w:firstColumn="1" w:lastColumn="0" w:noHBand="0" w:noVBand="1"/>
      </w:tblPr>
      <w:tblGrid>
        <w:gridCol w:w="1242"/>
        <w:gridCol w:w="1985"/>
        <w:gridCol w:w="6015"/>
      </w:tblGrid>
      <w:tr w:rsidR="00464BEF" w:rsidTr="00B1103F">
        <w:tc>
          <w:tcPr>
            <w:tcW w:w="1242" w:type="dxa"/>
          </w:tcPr>
          <w:p w:rsidR="00464BEF" w:rsidRDefault="00464BEF" w:rsidP="00131B0D">
            <w:r>
              <w:t>Criterion Number</w:t>
            </w:r>
          </w:p>
        </w:tc>
        <w:tc>
          <w:tcPr>
            <w:tcW w:w="1985" w:type="dxa"/>
          </w:tcPr>
          <w:p w:rsidR="00464BEF" w:rsidRDefault="00464BEF" w:rsidP="00131B0D">
            <w:r>
              <w:t>Criterion Name</w:t>
            </w:r>
          </w:p>
        </w:tc>
        <w:tc>
          <w:tcPr>
            <w:tcW w:w="6015" w:type="dxa"/>
          </w:tcPr>
          <w:p w:rsidR="00464BEF" w:rsidRDefault="00464BEF" w:rsidP="00131B0D">
            <w:r>
              <w:t>Criterion Description</w:t>
            </w:r>
          </w:p>
        </w:tc>
      </w:tr>
      <w:tr w:rsidR="00464BEF" w:rsidTr="00B1103F">
        <w:tc>
          <w:tcPr>
            <w:tcW w:w="1242" w:type="dxa"/>
          </w:tcPr>
          <w:p w:rsidR="00464BEF" w:rsidRDefault="00464BEF" w:rsidP="00131B0D">
            <w:r>
              <w:t>1</w:t>
            </w:r>
          </w:p>
        </w:tc>
        <w:tc>
          <w:tcPr>
            <w:tcW w:w="1985" w:type="dxa"/>
          </w:tcPr>
          <w:p w:rsidR="00464BEF" w:rsidRDefault="00464BEF" w:rsidP="00131B0D">
            <w:r>
              <w:t>Monotonicity</w:t>
            </w:r>
          </w:p>
        </w:tc>
        <w:tc>
          <w:tcPr>
            <w:tcW w:w="6015" w:type="dxa"/>
          </w:tcPr>
          <w:p w:rsidR="00464BEF" w:rsidRDefault="00B1103F" w:rsidP="00131B0D">
            <w:r>
              <w:t>The condition that U2</w:t>
            </w:r>
            <w:r w:rsidRPr="00625FDD">
              <w:rPr>
                <w:vertAlign w:val="subscript"/>
              </w:rPr>
              <w:t>i</w:t>
            </w:r>
            <w:r>
              <w:t xml:space="preserve"> &lt; U1</w:t>
            </w:r>
            <w:r w:rsidRPr="00625FDD">
              <w:rPr>
                <w:vertAlign w:val="subscript"/>
              </w:rPr>
              <w:t>i</w:t>
            </w:r>
            <w:r w:rsidR="00625FDD">
              <w:t xml:space="preserve"> for all </w:t>
            </w:r>
            <w:proofErr w:type="spellStart"/>
            <w:r w:rsidR="00625FDD">
              <w:t>i</w:t>
            </w:r>
            <w:proofErr w:type="spellEnd"/>
            <w:r w:rsidR="00625FDD">
              <w:t>.</w:t>
            </w:r>
          </w:p>
          <w:p w:rsidR="00B1103F" w:rsidRDefault="00B1103F" w:rsidP="00131B0D">
            <w:r>
              <w:t>This criterion can be subdivided into</w:t>
            </w:r>
          </w:p>
          <w:p w:rsidR="00B1103F" w:rsidRDefault="00B1103F" w:rsidP="00131B0D">
            <w:r>
              <w:t>1a) strict monotonicity: it is analytically impossible for monotonicity to be violated with this method</w:t>
            </w:r>
          </w:p>
          <w:p w:rsidR="00B1103F" w:rsidRDefault="00B1103F" w:rsidP="002C422F">
            <w:r>
              <w:t>1</w:t>
            </w:r>
            <w:r w:rsidR="002C422F">
              <w:t>b</w:t>
            </w:r>
            <w:r>
              <w:t>) relaxed monotonicity: monotonicity may occasionally be violated, but the proportion of occasions where this occurs is judged to be small enough that this is not of concern.</w:t>
            </w:r>
          </w:p>
        </w:tc>
      </w:tr>
      <w:tr w:rsidR="00464BEF" w:rsidTr="00B1103F">
        <w:tc>
          <w:tcPr>
            <w:tcW w:w="1242" w:type="dxa"/>
          </w:tcPr>
          <w:p w:rsidR="00464BEF" w:rsidRDefault="00464BEF" w:rsidP="00131B0D">
            <w:r>
              <w:t>2</w:t>
            </w:r>
          </w:p>
        </w:tc>
        <w:tc>
          <w:tcPr>
            <w:tcW w:w="1985" w:type="dxa"/>
          </w:tcPr>
          <w:p w:rsidR="00464BEF" w:rsidRDefault="00B1103F" w:rsidP="00131B0D">
            <w:r>
              <w:t>Bias in means minimised</w:t>
            </w:r>
          </w:p>
        </w:tc>
        <w:tc>
          <w:tcPr>
            <w:tcW w:w="6015" w:type="dxa"/>
          </w:tcPr>
          <w:p w:rsidR="00464BEF" w:rsidRDefault="00B1103F" w:rsidP="00B1103F">
            <w:r>
              <w:t xml:space="preserve">The expectation of the sampled values of U1 (or U2) used in the PSA should, on the average, be equal to the expectation of U1 (or U2) that was reported. </w:t>
            </w:r>
          </w:p>
        </w:tc>
      </w:tr>
      <w:tr w:rsidR="00464BEF" w:rsidTr="00B1103F">
        <w:tc>
          <w:tcPr>
            <w:tcW w:w="1242" w:type="dxa"/>
          </w:tcPr>
          <w:p w:rsidR="00464BEF" w:rsidRDefault="00464BEF" w:rsidP="00131B0D">
            <w:r>
              <w:t>3</w:t>
            </w:r>
          </w:p>
        </w:tc>
        <w:tc>
          <w:tcPr>
            <w:tcW w:w="1985" w:type="dxa"/>
          </w:tcPr>
          <w:p w:rsidR="00464BEF" w:rsidRDefault="00B1103F" w:rsidP="00131B0D">
            <w:r>
              <w:t>Bias in variances minimised</w:t>
            </w:r>
          </w:p>
        </w:tc>
        <w:tc>
          <w:tcPr>
            <w:tcW w:w="6015" w:type="dxa"/>
          </w:tcPr>
          <w:p w:rsidR="00464BEF" w:rsidRDefault="00B1103F" w:rsidP="00B1103F">
            <w:r>
              <w:t xml:space="preserve">The variance of the sampled values of U1 (or U2) used in the PSA should, on the average, be similar to the variance of U1 (or U2) that was reported (or that were derived from what was reported where confidence intervals were reported). </w:t>
            </w:r>
          </w:p>
        </w:tc>
      </w:tr>
      <w:tr w:rsidR="00464BEF" w:rsidTr="00B1103F">
        <w:tc>
          <w:tcPr>
            <w:tcW w:w="1242" w:type="dxa"/>
          </w:tcPr>
          <w:p w:rsidR="00464BEF" w:rsidRDefault="00464BEF" w:rsidP="00131B0D">
            <w:r>
              <w:t>4</w:t>
            </w:r>
          </w:p>
        </w:tc>
        <w:tc>
          <w:tcPr>
            <w:tcW w:w="1985" w:type="dxa"/>
          </w:tcPr>
          <w:p w:rsidR="00464BEF" w:rsidRDefault="00B1103F" w:rsidP="00131B0D">
            <w:r>
              <w:t>Uses available information</w:t>
            </w:r>
          </w:p>
        </w:tc>
        <w:tc>
          <w:tcPr>
            <w:tcW w:w="6015" w:type="dxa"/>
          </w:tcPr>
          <w:p w:rsidR="00464BEF" w:rsidRDefault="00B1103F" w:rsidP="00131B0D">
            <w:r>
              <w:t xml:space="preserve">Where </w:t>
            </w:r>
            <w:r w:rsidR="00625FDD">
              <w:t>both U1 and U2 each have means and variances (or confidence intervals) reported, then all of this information should be incorporated when generating PSA.</w:t>
            </w:r>
          </w:p>
        </w:tc>
      </w:tr>
      <w:tr w:rsidR="00464BEF" w:rsidTr="00B1103F">
        <w:tc>
          <w:tcPr>
            <w:tcW w:w="1242" w:type="dxa"/>
          </w:tcPr>
          <w:p w:rsidR="00464BEF" w:rsidRDefault="00464BEF" w:rsidP="00131B0D">
            <w:r>
              <w:t>5</w:t>
            </w:r>
          </w:p>
        </w:tc>
        <w:tc>
          <w:tcPr>
            <w:tcW w:w="1985" w:type="dxa"/>
          </w:tcPr>
          <w:p w:rsidR="00464BEF" w:rsidRDefault="00625FDD" w:rsidP="00625FDD">
            <w:r>
              <w:t>Additional information, including clinical experience, not necessary</w:t>
            </w:r>
          </w:p>
        </w:tc>
        <w:tc>
          <w:tcPr>
            <w:tcW w:w="6015" w:type="dxa"/>
          </w:tcPr>
          <w:p w:rsidR="00464BEF" w:rsidRDefault="00625FDD" w:rsidP="00625FDD">
            <w:r>
              <w:t>The method should be able to do more with the existing summary data metrics presented, rather than requiring additional information.</w:t>
            </w:r>
          </w:p>
        </w:tc>
      </w:tr>
    </w:tbl>
    <w:p w:rsidR="00464BEF" w:rsidRDefault="00464BEF" w:rsidP="00131B0D"/>
    <w:tbl>
      <w:tblPr>
        <w:tblStyle w:val="TableGrid"/>
        <w:tblW w:w="0" w:type="auto"/>
        <w:tblLook w:val="04A0" w:firstRow="1" w:lastRow="0" w:firstColumn="1" w:lastColumn="0" w:noHBand="0" w:noVBand="1"/>
      </w:tblPr>
      <w:tblGrid>
        <w:gridCol w:w="675"/>
        <w:gridCol w:w="993"/>
        <w:gridCol w:w="1134"/>
      </w:tblGrid>
      <w:tr w:rsidR="00BB5414" w:rsidTr="00BB5414">
        <w:tc>
          <w:tcPr>
            <w:tcW w:w="675" w:type="dxa"/>
          </w:tcPr>
          <w:p w:rsidR="00BB5414" w:rsidRDefault="00BB5414" w:rsidP="00131B0D"/>
        </w:tc>
        <w:tc>
          <w:tcPr>
            <w:tcW w:w="993" w:type="dxa"/>
          </w:tcPr>
          <w:p w:rsidR="00BB5414" w:rsidRDefault="00BB5414" w:rsidP="00131B0D">
            <w:r>
              <w:t>U1</w:t>
            </w:r>
          </w:p>
        </w:tc>
        <w:tc>
          <w:tcPr>
            <w:tcW w:w="1134" w:type="dxa"/>
          </w:tcPr>
          <w:p w:rsidR="00BB5414" w:rsidRDefault="00BB5414" w:rsidP="00131B0D">
            <w:r>
              <w:t>U2</w:t>
            </w:r>
          </w:p>
        </w:tc>
      </w:tr>
      <w:tr w:rsidR="00BB5414" w:rsidTr="00BB5414">
        <w:tc>
          <w:tcPr>
            <w:tcW w:w="675" w:type="dxa"/>
          </w:tcPr>
          <w:p w:rsidR="00BB5414" w:rsidRDefault="00BB5414" w:rsidP="00131B0D">
            <w:r>
              <w:t>U1</w:t>
            </w:r>
          </w:p>
        </w:tc>
        <w:tc>
          <w:tcPr>
            <w:tcW w:w="993" w:type="dxa"/>
          </w:tcPr>
          <w:p w:rsidR="00BB5414" w:rsidRPr="00BB5414" w:rsidRDefault="00BB5414" w:rsidP="00BB5414">
            <w:pPr>
              <w:rPr>
                <w:u w:val="single"/>
              </w:rPr>
            </w:pPr>
            <w:r w:rsidRPr="00BB5414">
              <w:rPr>
                <w:u w:val="single"/>
              </w:rPr>
              <w:t>0.01535</w:t>
            </w:r>
          </w:p>
        </w:tc>
        <w:tc>
          <w:tcPr>
            <w:tcW w:w="1134" w:type="dxa"/>
          </w:tcPr>
          <w:p w:rsidR="00BB5414" w:rsidRPr="00627E2C" w:rsidRDefault="00627E2C" w:rsidP="00627E2C">
            <w:pPr>
              <w:pStyle w:val="HTMLPreformatted"/>
              <w:rPr>
                <w:rFonts w:ascii="Lucida Console" w:hAnsi="Lucida Console"/>
                <w:color w:val="000000"/>
              </w:rPr>
            </w:pPr>
            <w:r>
              <w:rPr>
                <w:rFonts w:ascii="Lucida Console" w:hAnsi="Lucida Console"/>
                <w:color w:val="000000"/>
              </w:rPr>
              <w:t>0.96716</w:t>
            </w:r>
          </w:p>
        </w:tc>
      </w:tr>
      <w:tr w:rsidR="00BB5414" w:rsidTr="00BB5414">
        <w:tc>
          <w:tcPr>
            <w:tcW w:w="675" w:type="dxa"/>
          </w:tcPr>
          <w:p w:rsidR="00BB5414" w:rsidRDefault="00BB5414" w:rsidP="00131B0D">
            <w:r>
              <w:t>U2</w:t>
            </w:r>
          </w:p>
        </w:tc>
        <w:tc>
          <w:tcPr>
            <w:tcW w:w="993" w:type="dxa"/>
          </w:tcPr>
          <w:p w:rsidR="00BB5414" w:rsidRDefault="00BB5414" w:rsidP="00131B0D">
            <w:r>
              <w:t>0.01438</w:t>
            </w:r>
          </w:p>
        </w:tc>
        <w:tc>
          <w:tcPr>
            <w:tcW w:w="1134" w:type="dxa"/>
          </w:tcPr>
          <w:p w:rsidR="00BB5414" w:rsidRPr="00BB5414" w:rsidRDefault="00BB5414" w:rsidP="00131B0D">
            <w:pPr>
              <w:rPr>
                <w:u w:val="single"/>
              </w:rPr>
            </w:pPr>
            <w:r w:rsidRPr="00BB5414">
              <w:rPr>
                <w:u w:val="single"/>
              </w:rPr>
              <w:t>0.01440</w:t>
            </w:r>
          </w:p>
        </w:tc>
      </w:tr>
    </w:tbl>
    <w:p w:rsidR="00464BEF" w:rsidRDefault="00464BEF" w:rsidP="00131B0D"/>
    <w:p w:rsidR="00BB5414" w:rsidRDefault="00BB5414" w:rsidP="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p>
    <w:tbl>
      <w:tblPr>
        <w:tblStyle w:val="TableGrid"/>
        <w:tblW w:w="0" w:type="auto"/>
        <w:tblLook w:val="04A0" w:firstRow="1" w:lastRow="0" w:firstColumn="1" w:lastColumn="0" w:noHBand="0" w:noVBand="1"/>
      </w:tblPr>
      <w:tblGrid>
        <w:gridCol w:w="1848"/>
        <w:gridCol w:w="1848"/>
        <w:gridCol w:w="1848"/>
        <w:gridCol w:w="1849"/>
      </w:tblGrid>
      <w:tr w:rsidR="00627E2C" w:rsidTr="00BB5414">
        <w:tc>
          <w:tcPr>
            <w:tcW w:w="1848" w:type="dxa"/>
          </w:tcPr>
          <w:p w:rsidR="00627E2C" w:rsidRDefault="00627E2C" w:rsidP="00131B0D"/>
        </w:tc>
        <w:tc>
          <w:tcPr>
            <w:tcW w:w="1848" w:type="dxa"/>
          </w:tcPr>
          <w:p w:rsidR="00627E2C" w:rsidRDefault="00627E2C" w:rsidP="00131B0D">
            <w:r>
              <w:t>U1</w:t>
            </w:r>
          </w:p>
        </w:tc>
        <w:tc>
          <w:tcPr>
            <w:tcW w:w="1848" w:type="dxa"/>
          </w:tcPr>
          <w:p w:rsidR="00627E2C" w:rsidRDefault="00627E2C" w:rsidP="00131B0D">
            <w:r>
              <w:t>U2</w:t>
            </w:r>
          </w:p>
        </w:tc>
        <w:tc>
          <w:tcPr>
            <w:tcW w:w="1849" w:type="dxa"/>
          </w:tcPr>
          <w:p w:rsidR="00627E2C" w:rsidRDefault="00627E2C" w:rsidP="00131B0D">
            <w:r>
              <w:t>U3</w:t>
            </w:r>
          </w:p>
        </w:tc>
      </w:tr>
      <w:tr w:rsidR="00627E2C" w:rsidTr="00BB5414">
        <w:tc>
          <w:tcPr>
            <w:tcW w:w="1848" w:type="dxa"/>
          </w:tcPr>
          <w:p w:rsidR="00627E2C" w:rsidRDefault="00627E2C" w:rsidP="00131B0D">
            <w:r>
              <w:t>U1</w:t>
            </w:r>
          </w:p>
        </w:tc>
        <w:tc>
          <w:tcPr>
            <w:tcW w:w="1848" w:type="dxa"/>
          </w:tcPr>
          <w:p w:rsidR="00627E2C" w:rsidRPr="00627E2C" w:rsidRDefault="00627E2C" w:rsidP="00131B0D">
            <w:pPr>
              <w:rPr>
                <w:u w:val="single"/>
              </w:rPr>
            </w:pPr>
            <w:r w:rsidRPr="00BB5414">
              <w:rPr>
                <w:rFonts w:ascii="Lucida Console" w:eastAsia="Times New Roman" w:hAnsi="Lucida Console" w:cs="Courier New"/>
                <w:color w:val="000000"/>
                <w:sz w:val="20"/>
                <w:szCs w:val="20"/>
                <w:u w:val="single"/>
                <w:lang w:eastAsia="en-GB"/>
              </w:rPr>
              <w:t>0.01718904</w:t>
            </w:r>
          </w:p>
        </w:tc>
        <w:tc>
          <w:tcPr>
            <w:tcW w:w="1848" w:type="dxa"/>
          </w:tcPr>
          <w:p w:rsidR="00627E2C" w:rsidRDefault="00627E2C" w:rsidP="00627E2C">
            <w:pPr>
              <w:pStyle w:val="HTMLPreformatted"/>
            </w:pPr>
            <w:r>
              <w:rPr>
                <w:rFonts w:ascii="Lucida Console" w:hAnsi="Lucida Console"/>
                <w:color w:val="000000"/>
              </w:rPr>
              <w:t>0.9778667</w:t>
            </w:r>
          </w:p>
        </w:tc>
        <w:tc>
          <w:tcPr>
            <w:tcW w:w="1849" w:type="dxa"/>
          </w:tcPr>
          <w:p w:rsidR="00627E2C" w:rsidRDefault="00627E2C" w:rsidP="00627E2C">
            <w:pPr>
              <w:pStyle w:val="HTMLPreformatted"/>
            </w:pPr>
            <w:r>
              <w:rPr>
                <w:rFonts w:ascii="Lucida Console" w:hAnsi="Lucida Console"/>
                <w:color w:val="000000"/>
              </w:rPr>
              <w:t>0.9567961</w:t>
            </w:r>
          </w:p>
        </w:tc>
      </w:tr>
      <w:tr w:rsidR="00627E2C" w:rsidTr="00627E2C">
        <w:trPr>
          <w:trHeight w:val="191"/>
        </w:trPr>
        <w:tc>
          <w:tcPr>
            <w:tcW w:w="1848" w:type="dxa"/>
          </w:tcPr>
          <w:p w:rsidR="00627E2C" w:rsidRDefault="00627E2C" w:rsidP="00131B0D">
            <w:r>
              <w:t>U2</w:t>
            </w:r>
          </w:p>
        </w:tc>
        <w:tc>
          <w:tcPr>
            <w:tcW w:w="1848" w:type="dxa"/>
          </w:tcPr>
          <w:p w:rsidR="00627E2C" w:rsidRDefault="00627E2C" w:rsidP="00131B0D">
            <w:r w:rsidRPr="00BB5414">
              <w:rPr>
                <w:rFonts w:ascii="Lucida Console" w:eastAsia="Times New Roman" w:hAnsi="Lucida Console" w:cs="Courier New"/>
                <w:color w:val="000000"/>
                <w:sz w:val="20"/>
                <w:szCs w:val="20"/>
                <w:lang w:eastAsia="en-GB"/>
              </w:rPr>
              <w:t>0.01588622</w:t>
            </w:r>
          </w:p>
        </w:tc>
        <w:tc>
          <w:tcPr>
            <w:tcW w:w="1848" w:type="dxa"/>
          </w:tcPr>
          <w:p w:rsidR="00627E2C" w:rsidRPr="00627E2C" w:rsidRDefault="00627E2C" w:rsidP="00131B0D">
            <w:pPr>
              <w:rPr>
                <w:u w:val="single"/>
              </w:rPr>
            </w:pPr>
            <w:r w:rsidRPr="00BB5414">
              <w:rPr>
                <w:rFonts w:ascii="Lucida Console" w:eastAsia="Times New Roman" w:hAnsi="Lucida Console" w:cs="Courier New"/>
                <w:color w:val="000000"/>
                <w:sz w:val="20"/>
                <w:szCs w:val="20"/>
                <w:u w:val="single"/>
                <w:lang w:eastAsia="en-GB"/>
              </w:rPr>
              <w:t>0.01535431</w:t>
            </w:r>
          </w:p>
        </w:tc>
        <w:tc>
          <w:tcPr>
            <w:tcW w:w="1849" w:type="dxa"/>
          </w:tcPr>
          <w:p w:rsidR="00627E2C" w:rsidRDefault="00627E2C" w:rsidP="00627E2C">
            <w:pPr>
              <w:pStyle w:val="HTMLPreformatted"/>
            </w:pPr>
            <w:r>
              <w:rPr>
                <w:rFonts w:ascii="Lucida Console" w:hAnsi="Lucida Console"/>
                <w:color w:val="000000"/>
              </w:rPr>
              <w:t>0.9671625</w:t>
            </w:r>
          </w:p>
        </w:tc>
      </w:tr>
      <w:tr w:rsidR="00627E2C" w:rsidTr="00BB5414">
        <w:tc>
          <w:tcPr>
            <w:tcW w:w="1848" w:type="dxa"/>
          </w:tcPr>
          <w:p w:rsidR="00627E2C" w:rsidRDefault="00627E2C" w:rsidP="00131B0D">
            <w:r>
              <w:t>U3</w:t>
            </w:r>
          </w:p>
        </w:tc>
        <w:tc>
          <w:tcPr>
            <w:tcW w:w="1848" w:type="dxa"/>
          </w:tcPr>
          <w:p w:rsidR="00627E2C" w:rsidRDefault="00627E2C" w:rsidP="00131B0D">
            <w:r w:rsidRPr="00BB5414">
              <w:rPr>
                <w:rFonts w:ascii="Lucida Console" w:eastAsia="Times New Roman" w:hAnsi="Lucida Console" w:cs="Courier New"/>
                <w:color w:val="000000"/>
                <w:sz w:val="20"/>
                <w:szCs w:val="20"/>
                <w:lang w:eastAsia="en-GB"/>
              </w:rPr>
              <w:t>0.01505169</w:t>
            </w:r>
          </w:p>
        </w:tc>
        <w:tc>
          <w:tcPr>
            <w:tcW w:w="1848" w:type="dxa"/>
          </w:tcPr>
          <w:p w:rsidR="00627E2C" w:rsidRDefault="00627E2C" w:rsidP="00131B0D">
            <w:r w:rsidRPr="00BB5414">
              <w:rPr>
                <w:rFonts w:ascii="Lucida Console" w:eastAsia="Times New Roman" w:hAnsi="Lucida Console" w:cs="Courier New"/>
                <w:color w:val="000000"/>
                <w:sz w:val="20"/>
                <w:szCs w:val="20"/>
                <w:lang w:eastAsia="en-GB"/>
              </w:rPr>
              <w:t>0.01437985</w:t>
            </w:r>
          </w:p>
        </w:tc>
        <w:tc>
          <w:tcPr>
            <w:tcW w:w="1849" w:type="dxa"/>
          </w:tcPr>
          <w:p w:rsidR="00627E2C" w:rsidRPr="00627E2C" w:rsidRDefault="00627E2C" w:rsidP="00131B0D">
            <w:pPr>
              <w:rPr>
                <w:u w:val="single"/>
              </w:rPr>
            </w:pPr>
            <w:r>
              <w:rPr>
                <w:rFonts w:ascii="Lucida Console" w:eastAsia="Times New Roman" w:hAnsi="Lucida Console" w:cs="Courier New"/>
                <w:color w:val="000000"/>
                <w:sz w:val="20"/>
                <w:szCs w:val="20"/>
                <w:u w:val="single"/>
                <w:lang w:eastAsia="en-GB"/>
              </w:rPr>
              <w:t>0.0143972</w:t>
            </w:r>
          </w:p>
        </w:tc>
      </w:tr>
    </w:tbl>
    <w:p w:rsidR="00BB5414" w:rsidRPr="00284FC4" w:rsidRDefault="00BB5414" w:rsidP="00131B0D"/>
    <w:p w:rsidR="00430AB7" w:rsidRDefault="00430AB7" w:rsidP="00430AB7">
      <w:pPr>
        <w:pStyle w:val="Heading3"/>
      </w:pPr>
      <w:r>
        <w:lastRenderedPageBreak/>
        <w:t>Para 5</w:t>
      </w:r>
    </w:p>
    <w:p w:rsidR="007C54F7" w:rsidRDefault="00872FF4" w:rsidP="00900EF8">
      <w:r>
        <w:t xml:space="preserve">Within stage two, the long list of ten candidate methodologies was reduced to a short list of two approaches which, given the hypothetical dataset, satisfied the twin aims of ensuring monotonicity was not violated, </w:t>
      </w:r>
      <w:r w:rsidR="00131B0D">
        <w:t xml:space="preserve">but also that the modellers uncertainty about the true difference between the two quantities U2 and U1 is not </w:t>
      </w:r>
      <w:proofErr w:type="spellStart"/>
      <w:r w:rsidR="00131B0D">
        <w:t>mis</w:t>
      </w:r>
      <w:proofErr w:type="spellEnd"/>
      <w:r w:rsidR="00131B0D">
        <w:t xml:space="preserve">-represented. </w:t>
      </w:r>
      <w:r>
        <w:t xml:space="preserve">The performance and statistical properties of the short list of distributions was assessed by extending the simulated dataset to include a third health state, </w:t>
      </w:r>
      <w:r w:rsidR="00C870A5">
        <w:t xml:space="preserve">mild disease, whose associated utility U0 </w:t>
      </w:r>
      <w:r>
        <w:t>can be assumed to relate monotonically U1 and U2 such that U2 &lt; U1</w:t>
      </w:r>
      <w:r w:rsidR="00C870A5">
        <w:t>&lt; U0</w:t>
      </w:r>
      <w:r>
        <w:t xml:space="preserve">. </w:t>
      </w:r>
    </w:p>
    <w:p w:rsidR="00430AB7" w:rsidRDefault="00430AB7" w:rsidP="00430AB7">
      <w:pPr>
        <w:pStyle w:val="Heading3"/>
      </w:pPr>
      <w:r>
        <w:t>Para 6</w:t>
      </w:r>
    </w:p>
    <w:p w:rsidR="00900EF8" w:rsidRDefault="00872FF4" w:rsidP="00900EF8">
      <w:r>
        <w:t xml:space="preserve">Within stage three, the properties of the hypothetical datasets were </w:t>
      </w:r>
      <w:proofErr w:type="spellStart"/>
      <w:r>
        <w:t>reevaluated</w:t>
      </w:r>
      <w:proofErr w:type="spellEnd"/>
      <w:r>
        <w:t xml:space="preserve"> to identify whether the </w:t>
      </w:r>
      <w:r w:rsidR="00432E45">
        <w:t xml:space="preserve">decision to reject </w:t>
      </w:r>
      <w:r>
        <w:t>one of the simpler approaches in the long-list resulted from an artefact of the hypothetical data generating process, and so whether in cases where the real data are unlike the hypothetical data, the simpler approach could be considered.</w:t>
      </w:r>
    </w:p>
    <w:p w:rsidR="00430AB7" w:rsidRDefault="00430AB7" w:rsidP="00430AB7">
      <w:pPr>
        <w:pStyle w:val="Heading3"/>
      </w:pPr>
      <w:r>
        <w:t>Para 7</w:t>
      </w:r>
    </w:p>
    <w:p w:rsidR="00872FF4" w:rsidRDefault="00872FF4" w:rsidP="00872FF4">
      <w:r>
        <w:t xml:space="preserve">Based on this iterated process of simulation and evaluation, a number of contingent conclusions, practical recommendations and suggested avenues for further research were developed. These are presented in the conclusion and discussion section at the end of the article. </w:t>
      </w:r>
    </w:p>
    <w:p w:rsidR="00430AB7" w:rsidRDefault="00430AB7" w:rsidP="00430AB7">
      <w:pPr>
        <w:pStyle w:val="Heading2"/>
      </w:pPr>
      <w:r>
        <w:t>Results: What did we find?</w:t>
      </w:r>
    </w:p>
    <w:tbl>
      <w:tblPr>
        <w:tblStyle w:val="TableGrid"/>
        <w:tblW w:w="0" w:type="auto"/>
        <w:tblLook w:val="04A0" w:firstRow="1" w:lastRow="0" w:firstColumn="1" w:lastColumn="0" w:noHBand="0" w:noVBand="1"/>
      </w:tblPr>
      <w:tblGrid>
        <w:gridCol w:w="817"/>
        <w:gridCol w:w="1701"/>
        <w:gridCol w:w="1418"/>
        <w:gridCol w:w="1701"/>
        <w:gridCol w:w="1275"/>
        <w:gridCol w:w="2330"/>
      </w:tblGrid>
      <w:tr w:rsidR="00717F8D" w:rsidTr="00717F8D">
        <w:tc>
          <w:tcPr>
            <w:tcW w:w="817" w:type="dxa"/>
          </w:tcPr>
          <w:p w:rsidR="00625FDD" w:rsidRDefault="00625FDD" w:rsidP="00625FDD"/>
        </w:tc>
        <w:tc>
          <w:tcPr>
            <w:tcW w:w="1701" w:type="dxa"/>
          </w:tcPr>
          <w:p w:rsidR="00625FDD" w:rsidRDefault="00625FDD" w:rsidP="00625FDD">
            <w:r>
              <w:t>1</w:t>
            </w:r>
          </w:p>
        </w:tc>
        <w:tc>
          <w:tcPr>
            <w:tcW w:w="1418" w:type="dxa"/>
          </w:tcPr>
          <w:p w:rsidR="00625FDD" w:rsidRDefault="00625FDD" w:rsidP="00625FDD">
            <w:r>
              <w:t>2</w:t>
            </w:r>
          </w:p>
        </w:tc>
        <w:tc>
          <w:tcPr>
            <w:tcW w:w="1701" w:type="dxa"/>
          </w:tcPr>
          <w:p w:rsidR="00625FDD" w:rsidRDefault="00625FDD" w:rsidP="00625FDD">
            <w:r>
              <w:t>3</w:t>
            </w:r>
          </w:p>
        </w:tc>
        <w:tc>
          <w:tcPr>
            <w:tcW w:w="1275" w:type="dxa"/>
          </w:tcPr>
          <w:p w:rsidR="00625FDD" w:rsidRDefault="00625FDD" w:rsidP="00625FDD">
            <w:r>
              <w:t>4</w:t>
            </w:r>
          </w:p>
        </w:tc>
        <w:tc>
          <w:tcPr>
            <w:tcW w:w="2330" w:type="dxa"/>
          </w:tcPr>
          <w:p w:rsidR="00625FDD" w:rsidRDefault="00625FDD" w:rsidP="00625FDD">
            <w:r>
              <w:t>5</w:t>
            </w:r>
          </w:p>
        </w:tc>
      </w:tr>
      <w:tr w:rsidR="00717F8D" w:rsidTr="00717F8D">
        <w:tc>
          <w:tcPr>
            <w:tcW w:w="817" w:type="dxa"/>
          </w:tcPr>
          <w:p w:rsidR="00625FDD" w:rsidRDefault="00625FDD" w:rsidP="00625FDD">
            <w:r>
              <w:t>1</w:t>
            </w:r>
          </w:p>
        </w:tc>
        <w:tc>
          <w:tcPr>
            <w:tcW w:w="1701" w:type="dxa"/>
          </w:tcPr>
          <w:p w:rsidR="00625FDD" w:rsidRDefault="00625FDD" w:rsidP="00625FDD">
            <w:r>
              <w:t xml:space="preserve">No. </w:t>
            </w:r>
          </w:p>
        </w:tc>
        <w:tc>
          <w:tcPr>
            <w:tcW w:w="1418" w:type="dxa"/>
          </w:tcPr>
          <w:p w:rsidR="00625FDD" w:rsidRDefault="00717F8D" w:rsidP="00625FDD">
            <w:r>
              <w:t>Yes</w:t>
            </w:r>
          </w:p>
        </w:tc>
        <w:tc>
          <w:tcPr>
            <w:tcW w:w="1701" w:type="dxa"/>
          </w:tcPr>
          <w:p w:rsidR="00625FDD" w:rsidRDefault="00717F8D" w:rsidP="00625FDD">
            <w:r>
              <w:t>Yes</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2</w:t>
            </w:r>
          </w:p>
        </w:tc>
        <w:tc>
          <w:tcPr>
            <w:tcW w:w="1701" w:type="dxa"/>
          </w:tcPr>
          <w:p w:rsidR="00625FDD" w:rsidRDefault="00625FDD" w:rsidP="00625FDD">
            <w:r>
              <w:t>Usually. Depends on U1 and U2</w:t>
            </w:r>
          </w:p>
        </w:tc>
        <w:tc>
          <w:tcPr>
            <w:tcW w:w="1418" w:type="dxa"/>
          </w:tcPr>
          <w:p w:rsidR="00625FDD" w:rsidRDefault="00717F8D" w:rsidP="00625FDD">
            <w:r>
              <w:t>Yes</w:t>
            </w:r>
          </w:p>
        </w:tc>
        <w:tc>
          <w:tcPr>
            <w:tcW w:w="1701" w:type="dxa"/>
          </w:tcPr>
          <w:p w:rsidR="00625FDD" w:rsidRDefault="00717F8D" w:rsidP="00625FDD">
            <w:r>
              <w:t>No/sometimes. Depends on U1 and U2.</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3</w:t>
            </w:r>
          </w:p>
        </w:tc>
        <w:tc>
          <w:tcPr>
            <w:tcW w:w="1701" w:type="dxa"/>
          </w:tcPr>
          <w:p w:rsidR="00625FDD" w:rsidRDefault="00625FDD" w:rsidP="00625FDD">
            <w:r>
              <w:t xml:space="preserve">Always </w:t>
            </w:r>
          </w:p>
        </w:tc>
        <w:tc>
          <w:tcPr>
            <w:tcW w:w="1418" w:type="dxa"/>
          </w:tcPr>
          <w:p w:rsidR="00625FDD" w:rsidRDefault="00717F8D"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4</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5</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6</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117"/>
        </w:trPr>
        <w:tc>
          <w:tcPr>
            <w:tcW w:w="817" w:type="dxa"/>
          </w:tcPr>
          <w:p w:rsidR="00625FDD" w:rsidRDefault="00625FDD" w:rsidP="00625FDD">
            <w:r>
              <w:t>7</w:t>
            </w:r>
          </w:p>
        </w:tc>
        <w:tc>
          <w:tcPr>
            <w:tcW w:w="1701" w:type="dxa"/>
          </w:tcPr>
          <w:p w:rsidR="00625FDD" w:rsidRDefault="00625FDD" w:rsidP="00625FDD">
            <w:r>
              <w:t>Sometimes. Depends on U1 and U2</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85"/>
        </w:trPr>
        <w:tc>
          <w:tcPr>
            <w:tcW w:w="817" w:type="dxa"/>
          </w:tcPr>
          <w:p w:rsidR="00625FDD" w:rsidRDefault="00625FDD" w:rsidP="00625FDD">
            <w:r>
              <w:t>8</w:t>
            </w:r>
          </w:p>
        </w:tc>
        <w:tc>
          <w:tcPr>
            <w:tcW w:w="1701" w:type="dxa"/>
          </w:tcPr>
          <w:p w:rsidR="00625FDD" w:rsidRDefault="00717F8D" w:rsidP="00625FDD">
            <w:r>
              <w:t xml:space="preserve">Yes, until covariance cannot be increased further due to implying correlations &gt; 1 </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50"/>
        </w:trPr>
        <w:tc>
          <w:tcPr>
            <w:tcW w:w="817" w:type="dxa"/>
          </w:tcPr>
          <w:p w:rsidR="00625FDD" w:rsidRDefault="00625FDD" w:rsidP="00625FDD">
            <w:r>
              <w:t>9</w:t>
            </w:r>
          </w:p>
        </w:tc>
        <w:tc>
          <w:tcPr>
            <w:tcW w:w="1701" w:type="dxa"/>
          </w:tcPr>
          <w:p w:rsidR="00625FDD" w:rsidRDefault="00717F8D" w:rsidP="00625FDD">
            <w:r>
              <w:t>As with 8</w:t>
            </w:r>
          </w:p>
        </w:tc>
        <w:tc>
          <w:tcPr>
            <w:tcW w:w="1418" w:type="dxa"/>
          </w:tcPr>
          <w:p w:rsidR="00625FDD" w:rsidRDefault="00920074" w:rsidP="00625FDD">
            <w:r>
              <w:t xml:space="preserve">Yes. </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02"/>
        </w:trPr>
        <w:tc>
          <w:tcPr>
            <w:tcW w:w="817" w:type="dxa"/>
          </w:tcPr>
          <w:p w:rsidR="00625FDD" w:rsidRDefault="00625FDD" w:rsidP="00625FDD">
            <w:r>
              <w:lastRenderedPageBreak/>
              <w:t>10</w:t>
            </w:r>
          </w:p>
        </w:tc>
        <w:tc>
          <w:tcPr>
            <w:tcW w:w="1701" w:type="dxa"/>
          </w:tcPr>
          <w:p w:rsidR="00625FDD" w:rsidRDefault="00717F8D" w:rsidP="00625FDD">
            <w:r>
              <w:t>Always.</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No/Maybe.</w:t>
            </w:r>
          </w:p>
        </w:tc>
        <w:tc>
          <w:tcPr>
            <w:tcW w:w="2330" w:type="dxa"/>
          </w:tcPr>
          <w:p w:rsidR="00625FDD" w:rsidRDefault="00717F8D" w:rsidP="00625FDD">
            <w:r>
              <w:t>No. Maybe/Yes if approach developed. (See discussion)</w:t>
            </w:r>
          </w:p>
        </w:tc>
      </w:tr>
      <w:tr w:rsidR="00625FDD" w:rsidTr="00625FD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242" w:type="dxa"/>
            <w:gridSpan w:val="6"/>
            <w:tcBorders>
              <w:top w:val="single" w:sz="4" w:space="0" w:color="auto"/>
            </w:tcBorders>
          </w:tcPr>
          <w:p w:rsidR="00625FDD" w:rsidRDefault="00625FDD" w:rsidP="00625FDD"/>
        </w:tc>
      </w:tr>
    </w:tbl>
    <w:p w:rsidR="00625FDD" w:rsidRDefault="00625FDD" w:rsidP="00625FDD"/>
    <w:p w:rsidR="00625FDD" w:rsidRPr="00625FDD" w:rsidRDefault="00625FDD" w:rsidP="00625FDD"/>
    <w:p w:rsidR="00430AB7" w:rsidRDefault="00430AB7" w:rsidP="00430AB7">
      <w:pPr>
        <w:pStyle w:val="Heading3"/>
      </w:pPr>
      <w:r>
        <w:t>Para 1</w:t>
      </w:r>
    </w:p>
    <w:p w:rsidR="00872FF4" w:rsidRDefault="00872FF4" w:rsidP="00872FF4">
      <w:r>
        <w:t>Given the summary data available</w:t>
      </w:r>
      <w:r w:rsidR="00131B0D">
        <w:t xml:space="preserve">, it is known that, as the mean value of U1 is 0.60, and the mean value of U2 is 0.55, the mean difference between the two values should be 0.05. If a methodology produces a set of predicted values for this difference between U2 and U1 which has a mean value significantly different to 0.05, then this indicates the methodology produces biased estimates of the distributions, and so should be </w:t>
      </w:r>
      <w:r w:rsidR="00A7702F">
        <w:t xml:space="preserve">rejected as an appropriate method for this reason. The estimated </w:t>
      </w:r>
      <w:proofErr w:type="gramStart"/>
      <w:r w:rsidR="00A7702F">
        <w:t>differences produced by 1000 bootstraps of the ten methods is</w:t>
      </w:r>
      <w:proofErr w:type="gramEnd"/>
      <w:r w:rsidR="00A7702F">
        <w:t xml:space="preserve"> shown in </w:t>
      </w:r>
      <w:r w:rsidR="00A7702F">
        <w:fldChar w:fldCharType="begin"/>
      </w:r>
      <w:r w:rsidR="00A7702F">
        <w:instrText xml:space="preserve"> REF _Ref323293499 \h </w:instrText>
      </w:r>
      <w:r w:rsidR="00A7702F">
        <w:fldChar w:fldCharType="separate"/>
      </w:r>
      <w:r w:rsidR="00A7702F">
        <w:t xml:space="preserve">Figure </w:t>
      </w:r>
      <w:r w:rsidR="00A7702F">
        <w:rPr>
          <w:noProof/>
        </w:rPr>
        <w:t>2</w:t>
      </w:r>
      <w:r w:rsidR="00A7702F">
        <w:fldChar w:fldCharType="end"/>
      </w:r>
      <w:r w:rsidR="00A7702F">
        <w:t xml:space="preserve"> below. It is seen that the methodologies which artificially adjust either U1 or U2 (methodologies 3 to 6) introduce bias by inflating the expected differences.</w:t>
      </w:r>
    </w:p>
    <w:p w:rsidR="00A7702F" w:rsidRDefault="00A7702F" w:rsidP="00A7702F">
      <w:pPr>
        <w:pStyle w:val="Caption"/>
      </w:pPr>
      <w:bookmarkStart w:id="4" w:name="_Ref323293499"/>
      <w:r w:rsidRPr="00A7702F">
        <w:rPr>
          <w:noProof/>
          <w:lang w:eastAsia="en-GB"/>
        </w:rPr>
        <w:drawing>
          <wp:inline distT="0" distB="0" distL="0" distR="0" wp14:anchorId="49AAE278" wp14:editId="3BBEF0EF">
            <wp:extent cx="5731510" cy="3449928"/>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8" cstate="print"/>
                    <a:srcRect/>
                    <a:stretch>
                      <a:fillRect/>
                    </a:stretch>
                  </pic:blipFill>
                  <pic:spPr bwMode="auto">
                    <a:xfrm>
                      <a:off x="0" y="0"/>
                      <a:ext cx="5731510" cy="3449928"/>
                    </a:xfrm>
                    <a:prstGeom prst="rect">
                      <a:avLst/>
                    </a:prstGeom>
                    <a:noFill/>
                    <a:ln w="9525">
                      <a:noFill/>
                      <a:miter lim="800000"/>
                      <a:headEnd/>
                      <a:tailEnd/>
                    </a:ln>
                  </pic:spPr>
                </pic:pic>
              </a:graphicData>
            </a:graphic>
          </wp:inline>
        </w:drawing>
      </w:r>
      <w:r>
        <w:t xml:space="preserve">Figure </w:t>
      </w:r>
      <w:fldSimple w:instr=" SEQ Figure \* ARABIC ">
        <w:r w:rsidR="00D16FF3">
          <w:rPr>
            <w:noProof/>
          </w:rPr>
          <w:t>2</w:t>
        </w:r>
      </w:fldSimple>
      <w:bookmarkEnd w:id="4"/>
      <w:r>
        <w:t xml:space="preserve"> </w:t>
      </w:r>
      <w:proofErr w:type="gramStart"/>
      <w:r>
        <w:t>The</w:t>
      </w:r>
      <w:proofErr w:type="gramEnd"/>
      <w:r>
        <w:t xml:space="preserve"> estimated mean diff</w:t>
      </w:r>
      <w:r>
        <w:rPr>
          <w:noProof/>
        </w:rPr>
        <w:t>erences between U1 and U2 according to the ten methodologies</w:t>
      </w:r>
    </w:p>
    <w:p w:rsidR="00430AB7" w:rsidRDefault="00430AB7" w:rsidP="00430AB7">
      <w:pPr>
        <w:pStyle w:val="Heading3"/>
      </w:pPr>
      <w:r>
        <w:t>Para 2</w:t>
      </w:r>
    </w:p>
    <w:p w:rsidR="00A7702F" w:rsidRDefault="00A7702F" w:rsidP="00A7702F">
      <w:r>
        <w:t xml:space="preserve">A second condition that the methodologies should satisfy is that they should not misrepresent uncertainty about the variation of the differences between U1 and U2. This is a distinct issue to under-reporting the variance associated with either U1 or U2 independently as, in principle, the distributions U1 and U2 could </w:t>
      </w:r>
      <w:r w:rsidR="00131B0D">
        <w:t>each have equal variance</w:t>
      </w:r>
      <w:r>
        <w:t>. One could then simply define U2 as U1 plus the mean value of the difference between U2 and U2 (in this case 0.05). Although from this it might appear that variability has not been underreported, the strong assumption involved in defining U2</w:t>
      </w:r>
      <w:r w:rsidR="0012061B">
        <w:t xml:space="preserve"> in this way, such that all values within U2 move in lock step with corresponding values of U1,</w:t>
      </w:r>
      <w:r>
        <w:t xml:space="preserve"> means </w:t>
      </w:r>
      <w:r>
        <w:lastRenderedPageBreak/>
        <w:t>that the representation of uncertainty used within the PSA is unrealistic, reducing the validity of the estimates produced by the economic model</w:t>
      </w:r>
      <w:r w:rsidR="00BD4E41">
        <w:t>.</w:t>
      </w:r>
    </w:p>
    <w:p w:rsidR="00430AB7" w:rsidRDefault="00430AB7" w:rsidP="00430AB7">
      <w:pPr>
        <w:pStyle w:val="Heading3"/>
      </w:pPr>
      <w:r>
        <w:t>Para 3</w:t>
      </w:r>
    </w:p>
    <w:p w:rsidR="0012061B" w:rsidRDefault="0012061B" w:rsidP="0012061B">
      <w:r>
        <w:fldChar w:fldCharType="begin"/>
      </w:r>
      <w:r>
        <w:instrText xml:space="preserve"> REF _Ref323294399 \h </w:instrText>
      </w:r>
      <w:r>
        <w:fldChar w:fldCharType="separate"/>
      </w:r>
      <w:r>
        <w:t xml:space="preserve">Figure </w:t>
      </w:r>
      <w:r>
        <w:rPr>
          <w:noProof/>
        </w:rPr>
        <w:t>3</w:t>
      </w:r>
      <w:r>
        <w:fldChar w:fldCharType="end"/>
      </w:r>
      <w:r>
        <w:t xml:space="preserve"> below reports the mean estimated differences between U1 and U2 produced by each of the ten candidate methodologies. Where the minimum of these differences is below zero, it is demonstrated that monotonicity has been violated on some occasions as some estimates for U2 are greater than corresponding estimates for U1. Where the differences between the mean, minimum and maximum estimated differences are minimal or non-existent, then the appropriateness of the methodology should be doubted due to the lock-step issue mentioned above. It is seen that u</w:t>
      </w:r>
      <w:r w:rsidRPr="0012061B">
        <w:t xml:space="preserve">sing the same random number or setting a CV value equal to </w:t>
      </w:r>
      <w:r>
        <w:t>AIVM</w:t>
      </w:r>
      <w:r w:rsidRPr="0012061B">
        <w:t xml:space="preserve"> does not allow the uncertainty to be captured in the Monte Carlo sampling.  Methods 3-6, which were shown to produce a bias mean estimate of the difference, also provided a greatly inflated estimate of the uncertainty.</w:t>
      </w:r>
    </w:p>
    <w:p w:rsidR="0012061B" w:rsidRDefault="0012061B" w:rsidP="0012061B">
      <w:pPr>
        <w:keepNext/>
      </w:pPr>
      <w:r w:rsidRPr="0012061B">
        <w:t xml:space="preserve"> </w:t>
      </w:r>
      <w:r>
        <w:rPr>
          <w:noProof/>
          <w:lang w:eastAsia="en-GB"/>
        </w:rPr>
        <w:drawing>
          <wp:inline distT="0" distB="0" distL="0" distR="0" wp14:anchorId="272DC469" wp14:editId="21D4C3D7">
            <wp:extent cx="5731510" cy="341196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cstate="print"/>
                    <a:srcRect/>
                    <a:stretch>
                      <a:fillRect/>
                    </a:stretch>
                  </pic:blipFill>
                  <pic:spPr bwMode="auto">
                    <a:xfrm>
                      <a:off x="0" y="0"/>
                      <a:ext cx="5731510" cy="3411963"/>
                    </a:xfrm>
                    <a:prstGeom prst="rect">
                      <a:avLst/>
                    </a:prstGeom>
                    <a:noFill/>
                    <a:ln w="9525">
                      <a:noFill/>
                      <a:miter lim="800000"/>
                      <a:headEnd/>
                      <a:tailEnd/>
                    </a:ln>
                  </pic:spPr>
                </pic:pic>
              </a:graphicData>
            </a:graphic>
          </wp:inline>
        </w:drawing>
      </w:r>
    </w:p>
    <w:p w:rsidR="00A7702F" w:rsidRDefault="0012061B" w:rsidP="0012061B">
      <w:pPr>
        <w:pStyle w:val="Caption"/>
      </w:pPr>
      <w:bookmarkStart w:id="5" w:name="_Ref323294399"/>
      <w:r>
        <w:t xml:space="preserve">Figure </w:t>
      </w:r>
      <w:fldSimple w:instr=" SEQ Figure \* ARABIC ">
        <w:r w:rsidR="00D16FF3">
          <w:rPr>
            <w:noProof/>
          </w:rPr>
          <w:t>3</w:t>
        </w:r>
      </w:fldSimple>
      <w:bookmarkEnd w:id="5"/>
      <w:r>
        <w:t xml:space="preserve"> </w:t>
      </w:r>
      <w:proofErr w:type="gramStart"/>
      <w:r>
        <w:t>The</w:t>
      </w:r>
      <w:proofErr w:type="gramEnd"/>
      <w:r>
        <w:t xml:space="preserve"> mean, maximum and minimum differences between U1 and U2</w:t>
      </w:r>
    </w:p>
    <w:p w:rsidR="00430AB7" w:rsidRDefault="00430AB7" w:rsidP="00430AB7">
      <w:pPr>
        <w:pStyle w:val="Heading3"/>
      </w:pPr>
      <w:r>
        <w:t>Para 4</w:t>
      </w:r>
    </w:p>
    <w:p w:rsidR="00C870A5" w:rsidRDefault="00C870A5" w:rsidP="00C870A5">
      <w:r>
        <w:t xml:space="preserve">Based on the above analyses, all but </w:t>
      </w:r>
      <w:r w:rsidR="00D84401">
        <w:t>three</w:t>
      </w:r>
      <w:r>
        <w:t xml:space="preserve"> approaches were contingently rejected due to either violating monotonicity (method 1), producing biased estimates of mean differences (methods 3</w:t>
      </w:r>
      <w:proofErr w:type="gramStart"/>
      <w:r>
        <w:t>,4</w:t>
      </w:r>
      <w:proofErr w:type="gramEnd"/>
      <w:r>
        <w:t xml:space="preserve">, 5, and 6), </w:t>
      </w:r>
      <w:r w:rsidR="00D84401">
        <w:t>or misrepresenting the difference between U1 and U2 as zero (methods 2 and 7). The three approaches judged assessing further within stage two were thus methods 8, 9 and 10.</w:t>
      </w:r>
    </w:p>
    <w:p w:rsidR="00430AB7" w:rsidRDefault="00430AB7" w:rsidP="00430AB7">
      <w:pPr>
        <w:pStyle w:val="Heading3"/>
      </w:pPr>
      <w:r>
        <w:t>Para 5</w:t>
      </w:r>
    </w:p>
    <w:p w:rsidR="00D84401" w:rsidRDefault="00D84401" w:rsidP="00D84401">
      <w:r>
        <w:t>The</w:t>
      </w:r>
      <w:r w:rsidRPr="0012061B">
        <w:t xml:space="preserve"> differences in the non-rejected methods were further explored with the addition of a third health state (mild disease – U0) to the dummy data set. The value for U0 was greater than for U1. The summary data for U0 was a mean of 0.65 and a 95% confidence interval of 0.603 – 0.697. </w:t>
      </w:r>
      <w:r>
        <w:t>The three retained methods were adapted to the three-variable condition as follows:</w:t>
      </w:r>
    </w:p>
    <w:p w:rsidR="00D84401" w:rsidRPr="00D84401" w:rsidRDefault="00D84401" w:rsidP="009858AC">
      <w:pPr>
        <w:pStyle w:val="ListParagraph"/>
        <w:numPr>
          <w:ilvl w:val="0"/>
          <w:numId w:val="3"/>
        </w:numPr>
      </w:pPr>
      <w:r w:rsidRPr="009858AC">
        <w:rPr>
          <w:lang w:val="en-US"/>
        </w:rPr>
        <w:lastRenderedPageBreak/>
        <w:t>8) Using independent Beta distributions to describe the difference between U0 and U1 and U1 and U2. Both Beta distributions were assumed to be (1</w:t>
      </w:r>
      <w:proofErr w:type="gramStart"/>
      <w:r w:rsidRPr="009858AC">
        <w:rPr>
          <w:lang w:val="en-US"/>
        </w:rPr>
        <w:t>,19</w:t>
      </w:r>
      <w:proofErr w:type="gramEnd"/>
      <w:r w:rsidRPr="009858AC">
        <w:rPr>
          <w:lang w:val="en-US"/>
        </w:rPr>
        <w:t>).</w:t>
      </w:r>
    </w:p>
    <w:p w:rsidR="00D84401" w:rsidRPr="00D84401" w:rsidRDefault="00D84401" w:rsidP="009858AC">
      <w:pPr>
        <w:pStyle w:val="ListParagraph"/>
        <w:numPr>
          <w:ilvl w:val="0"/>
          <w:numId w:val="3"/>
        </w:numPr>
      </w:pPr>
      <w:r w:rsidRPr="009858AC">
        <w:rPr>
          <w:lang w:val="en-US"/>
        </w:rPr>
        <w:t>9) Using a Beta distribution to describe the difference between U0 and U2, (assumed to be 16,144) and a second Beta distribution (assumed to be 70</w:t>
      </w:r>
      <w:proofErr w:type="gramStart"/>
      <w:r w:rsidRPr="009858AC">
        <w:rPr>
          <w:lang w:val="en-US"/>
        </w:rPr>
        <w:t>,70</w:t>
      </w:r>
      <w:proofErr w:type="gramEnd"/>
      <w:r w:rsidRPr="009858AC">
        <w:rPr>
          <w:lang w:val="en-US"/>
        </w:rPr>
        <w:t>) to indicate where the value of U1 was estimated to lie within this range.</w:t>
      </w:r>
    </w:p>
    <w:p w:rsidR="00D84401" w:rsidRPr="00D84401" w:rsidRDefault="00D84401" w:rsidP="009858AC">
      <w:pPr>
        <w:pStyle w:val="ListParagraph"/>
        <w:numPr>
          <w:ilvl w:val="0"/>
          <w:numId w:val="3"/>
        </w:numPr>
      </w:pPr>
      <w:r w:rsidRPr="009858AC">
        <w:rPr>
          <w:lang w:val="en-US"/>
        </w:rPr>
        <w:t xml:space="preserve">10) Selecting co-variance parameters (U0-U1; U0-U2; and U0-U3). Three different sets of parameters were chosen to provide a positive correlation between U0-U1 and U1 to U2, a negative correlation and a small correlation. </w:t>
      </w:r>
    </w:p>
    <w:p w:rsidR="00D84401" w:rsidRPr="00D84401" w:rsidRDefault="00D84401" w:rsidP="00D84401">
      <w:r w:rsidRPr="00D84401">
        <w:t>The values chosen to populate these models are illustrative only and assumed to be reasonable representations of the differences between U0, U1 and U2.</w:t>
      </w:r>
    </w:p>
    <w:p w:rsidR="00D84401" w:rsidRDefault="00D84401" w:rsidP="00D84401"/>
    <w:p w:rsidR="00D84401" w:rsidRDefault="00D84401" w:rsidP="00D84401">
      <w:r w:rsidRPr="0012061B">
        <w:t>Particular attention was paid to the potential for correlations between the values in each methodology. The suitability of each method for incorporating clinical belief, such as that if the difference between U0 and U1 were larger than average, the difference between U1 and U2 was also likely to  be larger (or would be smaller) than average, was assessed.</w:t>
      </w:r>
    </w:p>
    <w:p w:rsidR="00430AB7" w:rsidRDefault="00430AB7" w:rsidP="00430AB7">
      <w:pPr>
        <w:pStyle w:val="Heading3"/>
      </w:pPr>
      <w:r>
        <w:t>Para 6</w:t>
      </w:r>
    </w:p>
    <w:p w:rsidR="008C446F" w:rsidRDefault="008C446F" w:rsidP="008C446F">
      <w:pPr>
        <w:keepNext/>
      </w:pPr>
      <w:r>
        <w:rPr>
          <w:noProof/>
          <w:lang w:eastAsia="en-GB"/>
        </w:rPr>
        <w:drawing>
          <wp:inline distT="0" distB="0" distL="0" distR="0" wp14:anchorId="7A69E4D2" wp14:editId="4B7C44B3">
            <wp:extent cx="5082582" cy="306217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cstate="print"/>
                    <a:srcRect/>
                    <a:stretch>
                      <a:fillRect/>
                    </a:stretch>
                  </pic:blipFill>
                  <pic:spPr bwMode="auto">
                    <a:xfrm>
                      <a:off x="0" y="0"/>
                      <a:ext cx="5081477" cy="3061511"/>
                    </a:xfrm>
                    <a:prstGeom prst="rect">
                      <a:avLst/>
                    </a:prstGeom>
                    <a:noFill/>
                    <a:ln w="9525">
                      <a:noFill/>
                      <a:miter lim="800000"/>
                      <a:headEnd/>
                      <a:tailEnd/>
                    </a:ln>
                  </pic:spPr>
                </pic:pic>
              </a:graphicData>
            </a:graphic>
          </wp:inline>
        </w:drawing>
      </w:r>
    </w:p>
    <w:p w:rsidR="00C870A5" w:rsidRDefault="008C446F" w:rsidP="008C446F">
      <w:pPr>
        <w:pStyle w:val="Caption"/>
      </w:pPr>
      <w:r>
        <w:t xml:space="preserve">Figure </w:t>
      </w:r>
      <w:fldSimple w:instr=" SEQ Figure \* ARABIC ">
        <w:r w:rsidR="00D16FF3">
          <w:rPr>
            <w:noProof/>
          </w:rPr>
          <w:t>4</w:t>
        </w:r>
      </w:fldSimple>
      <w:r>
        <w:t xml:space="preserve"> Methodology 8</w:t>
      </w:r>
    </w:p>
    <w:p w:rsidR="008C446F" w:rsidRDefault="008C446F" w:rsidP="008C446F">
      <w:pPr>
        <w:keepNext/>
      </w:pPr>
      <w:r w:rsidRPr="008C446F">
        <w:rPr>
          <w:noProof/>
          <w:lang w:eastAsia="en-GB"/>
        </w:rPr>
        <w:lastRenderedPageBreak/>
        <w:drawing>
          <wp:inline distT="0" distB="0" distL="0" distR="0" wp14:anchorId="79645CF8" wp14:editId="1A4F7D0C">
            <wp:extent cx="5082363" cy="306204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5099363" cy="3072287"/>
                    </a:xfrm>
                    <a:prstGeom prst="rect">
                      <a:avLst/>
                    </a:prstGeom>
                    <a:noFill/>
                    <a:ln w="9525">
                      <a:noFill/>
                      <a:miter lim="800000"/>
                      <a:headEnd/>
                      <a:tailEnd/>
                    </a:ln>
                  </pic:spPr>
                </pic:pic>
              </a:graphicData>
            </a:graphic>
          </wp:inline>
        </w:drawing>
      </w:r>
    </w:p>
    <w:p w:rsidR="008C446F" w:rsidRDefault="008C446F" w:rsidP="008C446F">
      <w:pPr>
        <w:pStyle w:val="Caption"/>
      </w:pPr>
      <w:r>
        <w:t xml:space="preserve">Figure </w:t>
      </w:r>
      <w:fldSimple w:instr=" SEQ Figure \* ARABIC ">
        <w:r w:rsidR="00D16FF3">
          <w:rPr>
            <w:noProof/>
          </w:rPr>
          <w:t>5</w:t>
        </w:r>
      </w:fldSimple>
      <w:r>
        <w:t xml:space="preserve"> Methodology 9</w:t>
      </w:r>
    </w:p>
    <w:p w:rsidR="008C446F" w:rsidRDefault="008C446F" w:rsidP="008C446F"/>
    <w:p w:rsidR="008C446F" w:rsidRDefault="008C446F" w:rsidP="008C446F">
      <w:pPr>
        <w:sectPr w:rsidR="008C446F" w:rsidSect="009B762A">
          <w:pgSz w:w="11906" w:h="16838"/>
          <w:pgMar w:top="1440" w:right="1440" w:bottom="1440" w:left="1440" w:header="708" w:footer="708" w:gutter="0"/>
          <w:cols w:space="708"/>
          <w:docGrid w:linePitch="360"/>
        </w:sectPr>
      </w:pPr>
    </w:p>
    <w:p w:rsidR="008C446F" w:rsidRDefault="008C446F" w:rsidP="008C446F"/>
    <w:tbl>
      <w:tblPr>
        <w:tblStyle w:val="TableGrid"/>
        <w:tblW w:w="14850" w:type="dxa"/>
        <w:tblLook w:val="04A0" w:firstRow="1" w:lastRow="0" w:firstColumn="1" w:lastColumn="0" w:noHBand="0" w:noVBand="1"/>
      </w:tblPr>
      <w:tblGrid>
        <w:gridCol w:w="5071"/>
        <w:gridCol w:w="4971"/>
        <w:gridCol w:w="4959"/>
      </w:tblGrid>
      <w:tr w:rsidR="008C446F" w:rsidTr="008C446F">
        <w:tc>
          <w:tcPr>
            <w:tcW w:w="5071" w:type="dxa"/>
          </w:tcPr>
          <w:p w:rsidR="008C446F" w:rsidRDefault="008C446F" w:rsidP="008C446F">
            <w:r w:rsidRPr="008C446F">
              <w:rPr>
                <w:noProof/>
                <w:lang w:eastAsia="en-GB"/>
              </w:rPr>
              <w:drawing>
                <wp:inline distT="0" distB="0" distL="0" distR="0" wp14:anchorId="246E28D5" wp14:editId="312140DB">
                  <wp:extent cx="3083442" cy="185772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cstate="print"/>
                          <a:srcRect/>
                          <a:stretch>
                            <a:fillRect/>
                          </a:stretch>
                        </pic:blipFill>
                        <pic:spPr bwMode="auto">
                          <a:xfrm>
                            <a:off x="0" y="0"/>
                            <a:ext cx="3089730" cy="1861515"/>
                          </a:xfrm>
                          <a:prstGeom prst="rect">
                            <a:avLst/>
                          </a:prstGeom>
                          <a:noFill/>
                          <a:ln w="9525">
                            <a:noFill/>
                            <a:miter lim="800000"/>
                            <a:headEnd/>
                            <a:tailEnd/>
                          </a:ln>
                        </pic:spPr>
                      </pic:pic>
                    </a:graphicData>
                  </a:graphic>
                </wp:inline>
              </w:drawing>
            </w:r>
          </w:p>
        </w:tc>
        <w:tc>
          <w:tcPr>
            <w:tcW w:w="5102" w:type="dxa"/>
          </w:tcPr>
          <w:p w:rsidR="008C446F" w:rsidRDefault="008C446F" w:rsidP="008C446F">
            <w:r w:rsidRPr="008C446F">
              <w:rPr>
                <w:noProof/>
                <w:lang w:eastAsia="en-GB"/>
              </w:rPr>
              <w:drawing>
                <wp:inline distT="0" distB="0" distL="0" distR="0" wp14:anchorId="63C1E45A" wp14:editId="206245E3">
                  <wp:extent cx="3019647" cy="181929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3" cstate="print"/>
                          <a:srcRect/>
                          <a:stretch>
                            <a:fillRect/>
                          </a:stretch>
                        </pic:blipFill>
                        <pic:spPr bwMode="auto">
                          <a:xfrm>
                            <a:off x="0" y="0"/>
                            <a:ext cx="3025805" cy="1823000"/>
                          </a:xfrm>
                          <a:prstGeom prst="rect">
                            <a:avLst/>
                          </a:prstGeom>
                          <a:noFill/>
                          <a:ln w="9525">
                            <a:noFill/>
                            <a:miter lim="800000"/>
                            <a:headEnd/>
                            <a:tailEnd/>
                          </a:ln>
                        </pic:spPr>
                      </pic:pic>
                    </a:graphicData>
                  </a:graphic>
                </wp:inline>
              </w:drawing>
            </w:r>
          </w:p>
        </w:tc>
        <w:tc>
          <w:tcPr>
            <w:tcW w:w="4677" w:type="dxa"/>
          </w:tcPr>
          <w:p w:rsidR="008C446F" w:rsidRDefault="008C446F" w:rsidP="008C446F">
            <w:r w:rsidRPr="008C446F">
              <w:rPr>
                <w:noProof/>
                <w:lang w:eastAsia="en-GB"/>
              </w:rPr>
              <w:drawing>
                <wp:inline distT="0" distB="0" distL="0" distR="0" wp14:anchorId="5B6556B0" wp14:editId="59BB7813">
                  <wp:extent cx="3012414" cy="1814932"/>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4" cstate="print"/>
                          <a:srcRect/>
                          <a:stretch>
                            <a:fillRect/>
                          </a:stretch>
                        </pic:blipFill>
                        <pic:spPr bwMode="auto">
                          <a:xfrm>
                            <a:off x="0" y="0"/>
                            <a:ext cx="3018557" cy="1818633"/>
                          </a:xfrm>
                          <a:prstGeom prst="rect">
                            <a:avLst/>
                          </a:prstGeom>
                          <a:noFill/>
                          <a:ln w="9525">
                            <a:noFill/>
                            <a:miter lim="800000"/>
                            <a:headEnd/>
                            <a:tailEnd/>
                          </a:ln>
                        </pic:spPr>
                      </pic:pic>
                    </a:graphicData>
                  </a:graphic>
                </wp:inline>
              </w:drawing>
            </w:r>
          </w:p>
        </w:tc>
      </w:tr>
      <w:tr w:rsidR="008C446F" w:rsidTr="008C446F">
        <w:tc>
          <w:tcPr>
            <w:tcW w:w="5071" w:type="dxa"/>
          </w:tcPr>
          <w:p w:rsidR="008C446F" w:rsidRDefault="008C446F" w:rsidP="008C446F">
            <w:r w:rsidRPr="008C446F">
              <w:rPr>
                <w:noProof/>
                <w:lang w:eastAsia="en-GB"/>
              </w:rPr>
              <w:drawing>
                <wp:inline distT="0" distB="0" distL="0" distR="0" wp14:anchorId="3793C9EC" wp14:editId="3BB63E5F">
                  <wp:extent cx="2447925" cy="7715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5"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c>
          <w:tcPr>
            <w:tcW w:w="5102" w:type="dxa"/>
          </w:tcPr>
          <w:p w:rsidR="008C446F" w:rsidRDefault="008C446F" w:rsidP="008C446F">
            <w:r w:rsidRPr="008C446F">
              <w:rPr>
                <w:noProof/>
                <w:lang w:eastAsia="en-GB"/>
              </w:rPr>
              <w:drawing>
                <wp:inline distT="0" distB="0" distL="0" distR="0" wp14:anchorId="5983A1F8" wp14:editId="29E990AB">
                  <wp:extent cx="2447925" cy="77152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c>
          <w:tcPr>
            <w:tcW w:w="4677" w:type="dxa"/>
          </w:tcPr>
          <w:p w:rsidR="008C446F" w:rsidRDefault="008C446F" w:rsidP="008C446F">
            <w:pPr>
              <w:keepNext/>
            </w:pPr>
            <w:r w:rsidRPr="008C446F">
              <w:rPr>
                <w:noProof/>
                <w:lang w:eastAsia="en-GB"/>
              </w:rPr>
              <w:drawing>
                <wp:inline distT="0" distB="0" distL="0" distR="0" wp14:anchorId="62C48D93" wp14:editId="29781E97">
                  <wp:extent cx="2447925" cy="7715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r>
    </w:tbl>
    <w:p w:rsidR="008C446F" w:rsidRDefault="008C446F" w:rsidP="008C446F">
      <w:pPr>
        <w:pStyle w:val="Caption"/>
      </w:pPr>
      <w:r>
        <w:t xml:space="preserve">Figure </w:t>
      </w:r>
      <w:fldSimple w:instr=" SEQ Figure \* ARABIC ">
        <w:r w:rsidR="00D16FF3">
          <w:rPr>
            <w:noProof/>
          </w:rPr>
          <w:t>6</w:t>
        </w:r>
      </w:fldSimple>
      <w:r>
        <w:t xml:space="preserve"> Methodology 10</w:t>
      </w:r>
    </w:p>
    <w:p w:rsidR="008C446F" w:rsidRPr="008C446F" w:rsidRDefault="008C446F" w:rsidP="008C446F"/>
    <w:p w:rsidR="008C446F" w:rsidRDefault="008C446F" w:rsidP="008C446F">
      <w:pPr>
        <w:sectPr w:rsidR="008C446F" w:rsidSect="008C446F">
          <w:pgSz w:w="16838" w:h="11906" w:orient="landscape"/>
          <w:pgMar w:top="1440" w:right="1440" w:bottom="1440" w:left="1440" w:header="708" w:footer="708" w:gutter="0"/>
          <w:cols w:space="708"/>
          <w:docGrid w:linePitch="360"/>
        </w:sectPr>
      </w:pPr>
    </w:p>
    <w:p w:rsidR="008C446F" w:rsidRPr="008C446F" w:rsidRDefault="008C446F" w:rsidP="008C446F"/>
    <w:p w:rsidR="00430AB7" w:rsidRDefault="00430AB7" w:rsidP="00430AB7">
      <w:pPr>
        <w:pStyle w:val="Heading3"/>
      </w:pPr>
      <w:r>
        <w:t>Para 7</w:t>
      </w:r>
    </w:p>
    <w:p w:rsidR="00DF2845" w:rsidRDefault="00C61C03" w:rsidP="009858AC">
      <w:r>
        <w:t>After reviewing the results presented above, it was noted by one author that the decision to reject approach 3, use of the same number seed</w:t>
      </w:r>
      <w:r w:rsidR="00DF2845">
        <w:t>,</w:t>
      </w:r>
      <w:r>
        <w:t xml:space="preserve"> may be contingent on the type of simulated data used, which may not be </w:t>
      </w:r>
      <w:proofErr w:type="spellStart"/>
      <w:r>
        <w:t>generalisable</w:t>
      </w:r>
      <w:proofErr w:type="spellEnd"/>
      <w:r>
        <w:t xml:space="preserve"> to </w:t>
      </w:r>
      <w:r w:rsidR="00DF2845">
        <w:t xml:space="preserve">other forms of summary data. This was because the simulated dataset made the assumption that the confidence intervals of the standard errors of the two distributions </w:t>
      </w:r>
      <w:r w:rsidR="00BD4E41">
        <w:t>were</w:t>
      </w:r>
      <w:r w:rsidR="00DF2845">
        <w:t xml:space="preserve"> approximately equal. In cases where the standard errors were not equal, it was considered that this finding may not hold. In order to test this concept more comprehensively, a follow-up simulation was created, whereby two normal distributions were generated a fixed difference </w:t>
      </w:r>
      <w:r w:rsidR="00BD4E41">
        <w:t xml:space="preserve">(one unit) </w:t>
      </w:r>
      <w:r w:rsidR="00DF2845">
        <w:t xml:space="preserve">apart, and the ratio of the variances of the two distributions was varied systematically. For each of these variance ratios, the effect of </w:t>
      </w:r>
      <w:proofErr w:type="spellStart"/>
      <w:r w:rsidR="00DF2845">
        <w:t>quantile</w:t>
      </w:r>
      <w:proofErr w:type="spellEnd"/>
      <w:r w:rsidR="00DF2845">
        <w:t xml:space="preserve"> matching (effectively the same as using the same random number stream for both distributions) </w:t>
      </w:r>
      <w:r w:rsidR="006D2EBC">
        <w:t xml:space="preserve">on two metrics was </w:t>
      </w:r>
      <w:r w:rsidR="00BD4E41">
        <w:t>estimated</w:t>
      </w:r>
      <w:r w:rsidR="006D2EBC">
        <w:t xml:space="preserve">, by comparing </w:t>
      </w:r>
      <w:proofErr w:type="spellStart"/>
      <w:r w:rsidR="006D2EBC">
        <w:t>quantile</w:t>
      </w:r>
      <w:proofErr w:type="spellEnd"/>
      <w:r w:rsidR="006D2EBC">
        <w:t>-matched with independent</w:t>
      </w:r>
      <w:r w:rsidR="00BD4E41">
        <w:t>ly</w:t>
      </w:r>
      <w:r w:rsidR="006D2EBC">
        <w:t xml:space="preserve"> sampling from the two distributions. These two metrics are: </w:t>
      </w:r>
      <w:r w:rsidR="00DF2845">
        <w:t xml:space="preserve">the proportion of draws </w:t>
      </w:r>
      <w:r w:rsidR="006D2EBC">
        <w:t xml:space="preserve">where monotonicity was </w:t>
      </w:r>
      <w:r w:rsidR="00DF2845">
        <w:t>violated</w:t>
      </w:r>
      <w:r w:rsidR="00D16FF3">
        <w:t xml:space="preserve">, shown in </w:t>
      </w:r>
      <w:r w:rsidR="00D16FF3">
        <w:fldChar w:fldCharType="begin"/>
      </w:r>
      <w:r w:rsidR="00D16FF3">
        <w:instrText xml:space="preserve"> REF _Ref323459916 \h </w:instrText>
      </w:r>
      <w:r w:rsidR="00D16FF3">
        <w:fldChar w:fldCharType="separate"/>
      </w:r>
      <w:r w:rsidR="00D16FF3">
        <w:t xml:space="preserve">Figure </w:t>
      </w:r>
      <w:r w:rsidR="00D16FF3">
        <w:rPr>
          <w:noProof/>
        </w:rPr>
        <w:t>7</w:t>
      </w:r>
      <w:r w:rsidR="00D16FF3">
        <w:fldChar w:fldCharType="end"/>
      </w:r>
      <w:r w:rsidR="00BD4E41">
        <w:t>,</w:t>
      </w:r>
      <w:r w:rsidR="006D2EBC">
        <w:t xml:space="preserve"> and the estimated variance of the difference between the two component distributions</w:t>
      </w:r>
      <w:r w:rsidR="00D16FF3">
        <w:t xml:space="preserve">, shown in </w:t>
      </w:r>
      <w:r w:rsidR="00D16FF3">
        <w:fldChar w:fldCharType="begin"/>
      </w:r>
      <w:r w:rsidR="00D16FF3">
        <w:instrText xml:space="preserve"> REF _Ref323459935 \h </w:instrText>
      </w:r>
      <w:r w:rsidR="00D16FF3">
        <w:fldChar w:fldCharType="separate"/>
      </w:r>
      <w:r w:rsidR="00D16FF3">
        <w:t xml:space="preserve">Figure </w:t>
      </w:r>
      <w:r w:rsidR="00D16FF3">
        <w:rPr>
          <w:noProof/>
        </w:rPr>
        <w:t>8</w:t>
      </w:r>
      <w:r w:rsidR="00D16FF3">
        <w:fldChar w:fldCharType="end"/>
      </w:r>
      <w:r w:rsidR="00D16FF3">
        <w:t>.</w:t>
      </w:r>
    </w:p>
    <w:p w:rsidR="00D16FF3" w:rsidRDefault="00D16FF3" w:rsidP="00D16FF3">
      <w:pPr>
        <w:keepNext/>
      </w:pPr>
      <w:r>
        <w:rPr>
          <w:noProof/>
          <w:lang w:eastAsia="en-GB"/>
        </w:rPr>
        <w:lastRenderedPageBreak/>
        <w:drawing>
          <wp:inline distT="0" distB="0" distL="0" distR="0" wp14:anchorId="54DAC30F" wp14:editId="6779FF6C">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ncon.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D16FF3" w:rsidRDefault="00D16FF3" w:rsidP="00D16FF3">
      <w:pPr>
        <w:pStyle w:val="Caption"/>
        <w:rPr>
          <w:noProof/>
        </w:rPr>
      </w:pPr>
      <w:bookmarkStart w:id="6" w:name="_Ref323459916"/>
      <w:r>
        <w:t xml:space="preserve">Figure </w:t>
      </w:r>
      <w:fldSimple w:instr=" SEQ Figure \* ARABIC ">
        <w:r>
          <w:rPr>
            <w:noProof/>
          </w:rPr>
          <w:t>7</w:t>
        </w:r>
      </w:fldSimple>
      <w:bookmarkEnd w:id="6"/>
      <w:r>
        <w:t xml:space="preserve"> Proportion of inconsistent draws</w:t>
      </w:r>
      <w:r>
        <w:rPr>
          <w:noProof/>
        </w:rPr>
        <w:t xml:space="preserve"> (violating monotonicity) as a function of ratio of SDs of distributions</w:t>
      </w:r>
    </w:p>
    <w:p w:rsidR="00D16FF3" w:rsidRDefault="00D16FF3" w:rsidP="00D16FF3">
      <w:pPr>
        <w:keepNext/>
      </w:pPr>
      <w:r>
        <w:rPr>
          <w:noProof/>
          <w:lang w:eastAsia="en-GB"/>
        </w:rPr>
        <w:lastRenderedPageBreak/>
        <w:drawing>
          <wp:inline distT="0" distB="0" distL="0" distR="0" wp14:anchorId="4E48BE6E" wp14:editId="57BE66E3">
            <wp:extent cx="5731510" cy="573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Diff.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D16FF3" w:rsidRPr="00D16FF3" w:rsidRDefault="00D16FF3" w:rsidP="00D16FF3">
      <w:pPr>
        <w:pStyle w:val="Caption"/>
      </w:pPr>
      <w:bookmarkStart w:id="7" w:name="_Ref323459935"/>
      <w:r>
        <w:t xml:space="preserve">Figure </w:t>
      </w:r>
      <w:fldSimple w:instr=" SEQ Figure \* ARABIC ">
        <w:r>
          <w:rPr>
            <w:noProof/>
          </w:rPr>
          <w:t>8</w:t>
        </w:r>
      </w:fldSimple>
      <w:bookmarkEnd w:id="7"/>
      <w:r>
        <w:t xml:space="preserve"> Variance of differences between distributions as a function of ratio of SDs of distributions</w:t>
      </w:r>
    </w:p>
    <w:p w:rsidR="009858AC" w:rsidRPr="009858AC" w:rsidRDefault="00DF2845" w:rsidP="00086EF3">
      <w:r>
        <w:t xml:space="preserve">It is seen that </w:t>
      </w:r>
      <w:r w:rsidR="00432E45">
        <w:t xml:space="preserve">there is only zero predicted variance of the difference between U1 and U2 in cases where the variance of both U1 and U2 are assumed to be equal, as was the case for the hypothetical distribution used to assess the ten methodologies described above. In cases where the variances of the two component distributions are unequal, as summarised by the ratio of the variances, the ratio of the predicted differences between the two distributions increases rapidly. However, for all variance ratios, the range of predicted differences between the distributions is significantly less than for the base case where the two distributions are drawn independently and not paired with each other. A trade-off in conditions appears to exist, such that larger predicted variances of differences exist as the ratio of the variances moves away from unity, but as this happens so the proportion of paired draws that violate the monotonicity assumption increases as well. There appears to be a small but potentially usable ‘sweet spot’, a series of ranges of ratios of variance, where </w:t>
      </w:r>
      <w:r w:rsidR="00086EF3">
        <w:t xml:space="preserve">both non-zero predicted variance of difference exists, and where there is also no violation of monotonicity. Where summary statistics for two monotonically paired distributions suggest that the ratio of </w:t>
      </w:r>
      <w:r w:rsidR="00086EF3">
        <w:lastRenderedPageBreak/>
        <w:t>variances is likely to be within this acceptable range, then this simpler approach could be considered.</w:t>
      </w:r>
    </w:p>
    <w:p w:rsidR="00430AB7" w:rsidRDefault="00430AB7" w:rsidP="00430AB7">
      <w:pPr>
        <w:pStyle w:val="Heading2"/>
      </w:pPr>
      <w:r>
        <w:t xml:space="preserve">Discussion: </w:t>
      </w:r>
    </w:p>
    <w:p w:rsidR="00430AB7" w:rsidRDefault="00430AB7" w:rsidP="00430AB7">
      <w:pPr>
        <w:pStyle w:val="Heading3"/>
      </w:pPr>
      <w:r>
        <w:t>Para 1: Summary of what found</w:t>
      </w:r>
    </w:p>
    <w:p w:rsidR="00364E77" w:rsidRDefault="00086EF3" w:rsidP="009858AC">
      <w:r>
        <w:t xml:space="preserve">The analyses presented here confirm the rationale for performing the analyses: simply drawing estimates for parameters that are known to be monotonically paired from independent distributions is liable to produce paired estimates for these parameters that violate the monotonicity assumption, and so producing a series of scenarios within probabilistic sensitivity analyses which lack clinical face validity. Trying to correct these monotonicity violations by simply resampling from the distributions, or forcing a predicted value which violates the monotonicity assumption, can however </w:t>
      </w:r>
      <w:proofErr w:type="spellStart"/>
      <w:r>
        <w:t>produced</w:t>
      </w:r>
      <w:proofErr w:type="spellEnd"/>
      <w:r>
        <w:t xml:space="preserve"> biased estimates of the mean value of the parameters, and so should also not be done. Approaches involving fixing paired estimates, within a given PSA draw, of one parameter so as to be equal to a paired value of another draw plus or minus an increment analytically determined to be positive, appears to be the type of solution required. However, </w:t>
      </w:r>
      <w:r w:rsidR="00364E77">
        <w:t xml:space="preserve">the correct way to </w:t>
      </w:r>
      <w:proofErr w:type="gramStart"/>
      <w:r w:rsidR="00364E77">
        <w:t>do this</w:t>
      </w:r>
      <w:proofErr w:type="gramEnd"/>
      <w:r w:rsidR="00364E77">
        <w:t xml:space="preserve"> remains to be determined. A very naïve approach would be simple add on the mean difference of the two distributions onto one distribution. However, doing this would lead to some of the information available to the modeller being disregarded, and as the point of acknowledging monotonicity is to incorporate one additional piece of information in our models this approach thus appears counterproductive, as well as misleading in terms of how it represents the relationship between parameters and our degree of knowledge or ignorance of this. Drawing parameters for both distributions jointly in a way that assumes nonzero covariance between variables necessarily leads to a reduction in the degree of monotonicity reported. However doing this requires imposing another assumption about the relationship between variables for which clear clinical or epidemiological evidence may be lacking. At the limit, this approach converges upon the lock-step approach described and dismissed previously. </w:t>
      </w:r>
    </w:p>
    <w:p w:rsidR="009858AC" w:rsidRDefault="00364E77" w:rsidP="009858AC">
      <w:r>
        <w:t xml:space="preserve"> </w:t>
      </w:r>
      <w:r w:rsidR="009858AC">
        <w:t xml:space="preserve">[Found that most approaches considered had disadvantages. </w:t>
      </w:r>
    </w:p>
    <w:p w:rsidR="009858AC" w:rsidRDefault="009858AC" w:rsidP="009858AC">
      <w:r>
        <w:tab/>
        <w:t xml:space="preserve">Assuming independence produces violations of </w:t>
      </w:r>
      <w:proofErr w:type="spellStart"/>
      <w:r>
        <w:t>monotoncitiy</w:t>
      </w:r>
      <w:proofErr w:type="spellEnd"/>
    </w:p>
    <w:p w:rsidR="009858AC" w:rsidRDefault="009858AC" w:rsidP="009858AC">
      <w:r>
        <w:tab/>
        <w:t>Selective resampling produces bias</w:t>
      </w:r>
    </w:p>
    <w:p w:rsidR="009858AC" w:rsidRDefault="009858AC" w:rsidP="009858AC">
      <w:r>
        <w:tab/>
        <w:t>Same random number seed produces underestimate of differences (but contingent results)</w:t>
      </w:r>
    </w:p>
    <w:p w:rsidR="009858AC" w:rsidRDefault="009858AC" w:rsidP="009858AC">
      <w:r>
        <w:tab/>
        <w:t xml:space="preserve">Appropriate approaches involve setting correlation either explicitly </w:t>
      </w:r>
      <w:proofErr w:type="spellStart"/>
      <w:r>
        <w:t>var-covar</w:t>
      </w:r>
      <w:proofErr w:type="spellEnd"/>
      <w:r>
        <w:t xml:space="preserve"> matrix) or implicitly (beta distributions). However these require greater clinical input and/or more technical expertise, and involve adding new assumptions which are difficult to verify.]</w:t>
      </w:r>
    </w:p>
    <w:p w:rsidR="009858AC" w:rsidRPr="009858AC" w:rsidRDefault="009858AC" w:rsidP="009858AC">
      <w:r>
        <w:tab/>
      </w:r>
    </w:p>
    <w:p w:rsidR="00C870A5" w:rsidRPr="0012061B" w:rsidRDefault="00C870A5" w:rsidP="00C870A5">
      <w:r w:rsidRPr="0012061B">
        <w:t xml:space="preserve">Those methods that were not rejected </w:t>
      </w:r>
      <w:r>
        <w:t xml:space="preserve">[at stage 1] </w:t>
      </w:r>
      <w:r w:rsidRPr="0012061B">
        <w:t>involved judiciously selecting a co-variance parameter or expressing a belief in the difference in the utilities via a statistical distribution (in this case a Beta distribution). Both of these approaches would need the input of a clinical expert in order to produce a confidence interval around the difference that would be seen as plausible.</w:t>
      </w:r>
    </w:p>
    <w:p w:rsidR="00C870A5" w:rsidRDefault="00C870A5" w:rsidP="0012061B"/>
    <w:p w:rsidR="0012061B" w:rsidRPr="0012061B" w:rsidRDefault="0012061B" w:rsidP="0012061B">
      <w:r w:rsidRPr="0012061B">
        <w:lastRenderedPageBreak/>
        <w:t xml:space="preserve">It is seen that a number of methods that have been used in economic evaluations are not appropriate when monotonicity must be upheld. </w:t>
      </w:r>
    </w:p>
    <w:p w:rsidR="0012061B" w:rsidRPr="0012061B" w:rsidRDefault="0012061B" w:rsidP="0012061B">
      <w:r w:rsidRPr="0012061B">
        <w:t xml:space="preserve">Those methodologies that provide a bias expectation in the </w:t>
      </w:r>
      <w:proofErr w:type="gramStart"/>
      <w:r w:rsidRPr="0012061B">
        <w:t>difference  will</w:t>
      </w:r>
      <w:proofErr w:type="gramEnd"/>
      <w:r w:rsidRPr="0012061B">
        <w:t xml:space="preserve"> also provide a biased estimation of the incremental cost-effectiveness ratio and should thus be avoided.</w:t>
      </w:r>
    </w:p>
    <w:p w:rsidR="0012061B" w:rsidRPr="0012061B" w:rsidRDefault="0012061B" w:rsidP="0012061B">
      <w:r w:rsidRPr="0012061B">
        <w:t xml:space="preserve">Those methods which are known to under (or over) estimate the uncertainty </w:t>
      </w:r>
      <w:proofErr w:type="gramStart"/>
      <w:r w:rsidRPr="0012061B">
        <w:t>will  produce</w:t>
      </w:r>
      <w:proofErr w:type="gramEnd"/>
      <w:r w:rsidRPr="0012061B">
        <w:t xml:space="preserve"> answers from value of information analyses that are incorrect, in addition to providing the decision maker with inappropriate certainty in the adoption decision.</w:t>
      </w:r>
    </w:p>
    <w:p w:rsidR="0012061B" w:rsidRPr="0012061B" w:rsidRDefault="0012061B" w:rsidP="0012061B">
      <w:r w:rsidRPr="0012061B">
        <w:t>Two broad methodologies were not rejected. The parameters for the co-variances and the parameters for the Beta distribution were selected through a trial and error process (prior to the results of the bootstrapped analysis being known). Ideally a Bayesian approach should be undertaken where a clinical expert would provide certain characteristics that a distribution would demonstrate, with the analyst attempting to replicate this.</w:t>
      </w:r>
    </w:p>
    <w:p w:rsidR="0012061B" w:rsidRPr="0012061B" w:rsidRDefault="0012061B" w:rsidP="0012061B">
      <w:r w:rsidRPr="0012061B">
        <w:t>Where only two variables were considered there was little difference between the recommended methods. However, where there were three variables and a prior belief that there would be correlation between these the co-variance method was observed to have an advantage in replicating clinical reality.</w:t>
      </w:r>
    </w:p>
    <w:p w:rsidR="00430AB7" w:rsidRDefault="00430AB7" w:rsidP="00430AB7">
      <w:pPr>
        <w:pStyle w:val="Heading3"/>
      </w:pPr>
      <w:r>
        <w:t>Para 2: Shortcomings</w:t>
      </w:r>
    </w:p>
    <w:p w:rsidR="009858AC" w:rsidRDefault="009858AC" w:rsidP="009858AC">
      <w:r>
        <w:t xml:space="preserve">[Implications of research dependent on assumed validity of simulation approach. </w:t>
      </w:r>
      <w:proofErr w:type="gramStart"/>
      <w:r>
        <w:t>Have already addressed this shortcoming through stage three.]</w:t>
      </w:r>
      <w:proofErr w:type="gramEnd"/>
    </w:p>
    <w:p w:rsidR="009858AC" w:rsidRDefault="009858AC" w:rsidP="009858AC">
      <w:r>
        <w:t xml:space="preserve">[Within research particular approach to parameterising distribution was informal, and so difficult to justify externally] </w:t>
      </w:r>
    </w:p>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6D2EBC" w:rsidRDefault="006D2EBC" w:rsidP="009858AC">
      <w:r>
        <w:t xml:space="preserve">It is critical, when the amount of information available to modellers about input distributions is already limited, not to discard useful and usable information where possible. In effect, when the modeller knows that two variables are monotonically linked in a particular way, but nonetheless chooses to draw the two distributions independently within the PSA runs, the modeller is doing just this, because they are not incorporating this information into the model. However, as the results above have shown attempting to incorporate this knowledge in an inappropriate way can </w:t>
      </w:r>
      <w:proofErr w:type="gramStart"/>
      <w:r>
        <w:t>itself</w:t>
      </w:r>
      <w:proofErr w:type="gramEnd"/>
      <w:r>
        <w:t xml:space="preserve"> be problematic. For example, simply discarding draws which violate the monotonicity assumption can produce biases in the estimated results, disregarding and contradicting the modellers’ knowledge about the true mean sample values of a parameter. Likewise, other approaches can indirectly disregard other knowledge about the range of estimated differences between two or more distributions, by forcing predicted values to move in lock-step. In effect this can result in </w:t>
      </w:r>
      <w:r w:rsidR="00DC30F4">
        <w:t>predictions disregarding one form of information – that of the variance of each separate distribution – in order to incorporate another source of information (that the variables are monotonically associated).</w:t>
      </w:r>
    </w:p>
    <w:p w:rsidR="009858AC" w:rsidRDefault="009858AC" w:rsidP="009858AC">
      <w:r>
        <w:lastRenderedPageBreak/>
        <w:t>[Good method should avoid throwing away relevant information about the relationship parameters. This includes both formal information such as reported SE and mean values, and also implicit information such as knowledge that values are correlated.]</w:t>
      </w:r>
    </w:p>
    <w:p w:rsidR="009858AC" w:rsidRDefault="009858AC" w:rsidP="009858AC">
      <w:r>
        <w:tab/>
        <w:t>[Example of this: throwing away SE estimates when estimating 2</w:t>
      </w:r>
      <w:r w:rsidRPr="009858AC">
        <w:rPr>
          <w:vertAlign w:val="superscript"/>
        </w:rPr>
        <w:t>nd</w:t>
      </w:r>
      <w:r>
        <w:t xml:space="preserve"> value]</w:t>
      </w:r>
    </w:p>
    <w:p w:rsidR="00DC30F4" w:rsidRDefault="00DC30F4" w:rsidP="009858AC">
      <w:r>
        <w:t xml:space="preserve">The follow-up simulation indicated that a fairly simple approach, using the same random number seed; or equivalently taking equal numbers of independent samples from each distribution, then matching them by </w:t>
      </w:r>
      <w:proofErr w:type="spellStart"/>
      <w:r>
        <w:t>quantile</w:t>
      </w:r>
      <w:proofErr w:type="spellEnd"/>
      <w:r>
        <w:t xml:space="preserve">, can produce estimates with satisfactory properties when particular conditions hold. However, in the equal or near equal variance situation they do not. It remains a matter of modeller judgement whether the drop in </w:t>
      </w:r>
      <w:r w:rsidR="0048769E">
        <w:t xml:space="preserve">… </w:t>
      </w:r>
    </w:p>
    <w:p w:rsidR="009858AC" w:rsidRDefault="009858AC" w:rsidP="009858AC">
      <w:r>
        <w:t xml:space="preserve">[Standardised approach to parameterising </w:t>
      </w:r>
      <w:r w:rsidR="00E70A72">
        <w:t xml:space="preserve">Beta distributions. </w:t>
      </w:r>
    </w:p>
    <w:p w:rsidR="00E70A72" w:rsidRDefault="00E70A72" w:rsidP="009858AC">
      <w:r>
        <w:tab/>
        <w:t>[Classicist maximum likelihood estimation]</w:t>
      </w:r>
    </w:p>
    <w:p w:rsidR="00DD7D4D" w:rsidRDefault="00DD7D4D" w:rsidP="009858AC">
      <w:r>
        <w:tab/>
      </w:r>
      <w:r>
        <w:tab/>
        <w:t xml:space="preserve">Simulate two (e.g.) lognormal or normal distributions independently using summary data. </w:t>
      </w:r>
    </w:p>
    <w:p w:rsidR="00DD7D4D" w:rsidRDefault="00DD7D4D" w:rsidP="009858AC">
      <w:r>
        <w:tab/>
      </w:r>
      <w:r>
        <w:tab/>
        <w:t>Use lower distribution directly</w:t>
      </w:r>
    </w:p>
    <w:p w:rsidR="00DD7D4D" w:rsidRDefault="00DD7D4D" w:rsidP="009858AC">
      <w:r>
        <w:tab/>
      </w:r>
      <w:r>
        <w:tab/>
        <w:t>Use upper distribution using additive fashion.</w:t>
      </w:r>
    </w:p>
    <w:p w:rsidR="00DD7D4D" w:rsidRDefault="00DD7D4D" w:rsidP="009858AC">
      <w:r>
        <w:tab/>
      </w:r>
      <w:r>
        <w:tab/>
      </w:r>
      <w:r>
        <w:tab/>
        <w:t xml:space="preserve">Estimate a DELTA distribution in which an additional (e.g.) Beta distribution is parameterised according to a rule involving model fit to simulated data. </w:t>
      </w:r>
    </w:p>
    <w:p w:rsidR="00DD7D4D" w:rsidRDefault="00DD7D4D" w:rsidP="009858AC">
      <w:r>
        <w:tab/>
      </w:r>
      <w:r>
        <w:tab/>
      </w:r>
      <w:r>
        <w:tab/>
        <w:t xml:space="preserve">PSA run estimates for upper distribution is equal to corresponding PSA run estimates for lower distribution plus draw from DELTA distribution. </w:t>
      </w:r>
    </w:p>
    <w:p w:rsidR="00DD7D4D" w:rsidRDefault="00DD7D4D" w:rsidP="009858AC">
      <w:r>
        <w:tab/>
      </w:r>
      <w:r>
        <w:tab/>
        <w:t xml:space="preserve">Issue is how to parameterise DELTA distribution intelligently. </w:t>
      </w:r>
    </w:p>
    <w:p w:rsidR="00DD7D4D" w:rsidRDefault="00DD7D4D" w:rsidP="009858AC">
      <w:r>
        <w:tab/>
      </w:r>
      <w:r>
        <w:tab/>
      </w:r>
      <w:r>
        <w:tab/>
        <w:t>Classical statistical method</w:t>
      </w:r>
    </w:p>
    <w:p w:rsidR="00DD7D4D" w:rsidRDefault="00DD7D4D" w:rsidP="009858AC">
      <w:r>
        <w:tab/>
      </w:r>
      <w:r>
        <w:tab/>
      </w:r>
      <w:r>
        <w:tab/>
      </w:r>
      <w:r>
        <w:tab/>
        <w:t>Maximum likelihood estimation using e.g. Newton-</w:t>
      </w:r>
      <w:proofErr w:type="spellStart"/>
      <w:r>
        <w:t>Ralphson</w:t>
      </w:r>
      <w:proofErr w:type="spellEnd"/>
      <w:r>
        <w:t xml:space="preserve"> approach</w:t>
      </w:r>
    </w:p>
    <w:p w:rsidR="00DD7D4D" w:rsidRDefault="00DD7D4D" w:rsidP="009858AC">
      <w:r>
        <w:tab/>
      </w:r>
      <w:r>
        <w:tab/>
      </w:r>
      <w:r>
        <w:tab/>
      </w:r>
      <w:r>
        <w:tab/>
      </w:r>
      <w:r>
        <w:tab/>
      </w:r>
      <w:proofErr w:type="gramStart"/>
      <w:r>
        <w:t>Or more computationally intensive approach.</w:t>
      </w:r>
      <w:proofErr w:type="gramEnd"/>
    </w:p>
    <w:p w:rsidR="00DD7D4D" w:rsidRDefault="00DD7D4D" w:rsidP="009858AC">
      <w:r>
        <w:tab/>
      </w:r>
      <w:r>
        <w:tab/>
      </w:r>
      <w:r>
        <w:tab/>
      </w:r>
      <w:r>
        <w:tab/>
        <w:t xml:space="preserve">Or minimising maximum absolute error; squared error </w:t>
      </w:r>
      <w:proofErr w:type="spellStart"/>
      <w:r>
        <w:t>etc</w:t>
      </w:r>
      <w:proofErr w:type="spellEnd"/>
    </w:p>
    <w:p w:rsidR="00DD7D4D" w:rsidRDefault="00DD7D4D" w:rsidP="009858AC">
      <w:r>
        <w:tab/>
      </w:r>
      <w:r>
        <w:tab/>
      </w:r>
      <w:r>
        <w:tab/>
        <w:t>Bayesian approaches</w:t>
      </w:r>
    </w:p>
    <w:p w:rsidR="00DD7D4D" w:rsidRDefault="00DD7D4D" w:rsidP="009858AC">
      <w:r>
        <w:tab/>
      </w:r>
      <w:r>
        <w:tab/>
      </w:r>
      <w:r>
        <w:tab/>
      </w:r>
      <w:r>
        <w:tab/>
        <w:t>Non-normal distribution of errors on parameters</w:t>
      </w:r>
    </w:p>
    <w:p w:rsidR="00DD7D4D" w:rsidRDefault="00DD7D4D" w:rsidP="009858AC">
      <w:r>
        <w:tab/>
      </w:r>
      <w:r>
        <w:tab/>
      </w:r>
      <w:r>
        <w:tab/>
      </w:r>
      <w:r>
        <w:tab/>
        <w:t xml:space="preserve">MCMC, Metropolis Hastings Algorithms </w:t>
      </w:r>
      <w:proofErr w:type="spellStart"/>
      <w:r>
        <w:t>etc</w:t>
      </w:r>
      <w:proofErr w:type="spellEnd"/>
    </w:p>
    <w:p w:rsidR="00DD7D4D" w:rsidRDefault="00DD7D4D" w:rsidP="009858AC">
      <w:r>
        <w:tab/>
      </w:r>
      <w:r>
        <w:tab/>
        <w:t xml:space="preserve">Other smaller potential issue is to ensure mechanism for simulating values from distribution does not bias results. </w:t>
      </w:r>
    </w:p>
    <w:p w:rsidR="00430AB7" w:rsidRDefault="00430AB7" w:rsidP="00430AB7">
      <w:pPr>
        <w:pStyle w:val="Heading3"/>
      </w:pPr>
      <w:r>
        <w:t>Para 5: Implications for practice</w:t>
      </w:r>
    </w:p>
    <w:p w:rsidR="009858AC" w:rsidRDefault="009858AC" w:rsidP="009858AC">
      <w:r>
        <w:t xml:space="preserve">[Depends how much of an issue one considers violation of monotonicity assumption to be. </w:t>
      </w:r>
    </w:p>
    <w:p w:rsidR="009858AC" w:rsidRPr="009858AC" w:rsidRDefault="009858AC" w:rsidP="009858AC">
      <w:proofErr w:type="gramStart"/>
      <w:r>
        <w:lastRenderedPageBreak/>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t>Para 6</w:t>
      </w:r>
    </w:p>
    <w:p w:rsidR="00430AB7" w:rsidRDefault="00430AB7" w:rsidP="00430AB7">
      <w:pPr>
        <w:pStyle w:val="Heading1"/>
      </w:pPr>
      <w:r>
        <w:t>Notes</w:t>
      </w:r>
    </w:p>
    <w:p w:rsidR="00430AB7" w:rsidRDefault="00430AB7" w:rsidP="00430AB7">
      <w:pPr>
        <w:pStyle w:val="ListParagraph"/>
        <w:numPr>
          <w:ilvl w:val="0"/>
          <w:numId w:val="1"/>
        </w:numPr>
      </w:pPr>
      <w:r>
        <w:t>Each paragraph should start with a clear message (a ‘topic sentence’)</w:t>
      </w:r>
    </w:p>
    <w:p w:rsidR="00430AB7" w:rsidRDefault="00430AB7" w:rsidP="00430AB7">
      <w:pPr>
        <w:pStyle w:val="ListParagraph"/>
        <w:numPr>
          <w:ilvl w:val="0"/>
          <w:numId w:val="1"/>
        </w:numPr>
      </w:pPr>
      <w:r>
        <w:t>Try to do each sentence in one go (for consistency)</w:t>
      </w:r>
    </w:p>
    <w:p w:rsidR="00430AB7" w:rsidRDefault="00430AB7" w:rsidP="00430AB7">
      <w:pPr>
        <w:pStyle w:val="Heading1"/>
      </w:pPr>
      <w:r>
        <w:lastRenderedPageBreak/>
        <w:t>Editing</w:t>
      </w:r>
    </w:p>
    <w:p w:rsidR="00430AB7" w:rsidRDefault="00430AB7" w:rsidP="00430AB7">
      <w:pPr>
        <w:pStyle w:val="Heading2"/>
      </w:pPr>
      <w:r>
        <w:t>Micro-editing</w:t>
      </w:r>
    </w:p>
    <w:p w:rsidR="00430AB7" w:rsidRDefault="00430AB7" w:rsidP="00430AB7">
      <w:pPr>
        <w:pStyle w:val="Heading3"/>
      </w:pPr>
      <w:r>
        <w:t>Is the information correct?</w:t>
      </w:r>
    </w:p>
    <w:p w:rsidR="00430AB7" w:rsidRDefault="00430AB7" w:rsidP="00430AB7">
      <w:pPr>
        <w:pStyle w:val="Heading3"/>
      </w:pPr>
      <w:r>
        <w:t>Are requirements stated in ‘Instructions to authors’ met?</w:t>
      </w:r>
    </w:p>
    <w:p w:rsidR="00430AB7" w:rsidRDefault="00430AB7" w:rsidP="00430AB7">
      <w:pPr>
        <w:pStyle w:val="Heading3"/>
      </w:pPr>
      <w:r>
        <w:t>Is the English clear and simple?</w:t>
      </w:r>
    </w:p>
    <w:p w:rsidR="00430AB7" w:rsidRDefault="00430AB7" w:rsidP="00430AB7">
      <w:pPr>
        <w:pStyle w:val="Heading3"/>
      </w:pPr>
      <w:r>
        <w:t>Is the grammar and spelling correct?</w:t>
      </w:r>
    </w:p>
    <w:p w:rsidR="00430AB7" w:rsidRDefault="00430AB7" w:rsidP="00430AB7">
      <w:pPr>
        <w:pStyle w:val="Heading2"/>
      </w:pPr>
      <w:r>
        <w:t>Macro-editing</w:t>
      </w:r>
    </w:p>
    <w:p w:rsidR="00430AB7" w:rsidRDefault="00430AB7" w:rsidP="00430AB7">
      <w:pPr>
        <w:pStyle w:val="Heading3"/>
      </w:pPr>
      <w:r>
        <w:t>Is there a clear message?</w:t>
      </w:r>
    </w:p>
    <w:p w:rsidR="00430AB7" w:rsidRDefault="00430AB7" w:rsidP="00430AB7">
      <w:pPr>
        <w:pStyle w:val="Heading4"/>
      </w:pPr>
      <w:r>
        <w:t>Is there a clear message?</w:t>
      </w:r>
    </w:p>
    <w:p w:rsidR="00430AB7" w:rsidRDefault="00430AB7" w:rsidP="00430AB7">
      <w:pPr>
        <w:pStyle w:val="Heading4"/>
      </w:pPr>
      <w:r>
        <w:t>Is the message worth giving?</w:t>
      </w:r>
    </w:p>
    <w:p w:rsidR="00430AB7" w:rsidRDefault="00430AB7" w:rsidP="00430AB7">
      <w:pPr>
        <w:pStyle w:val="Heading4"/>
      </w:pPr>
      <w:r>
        <w:t>Is the message proven?</w:t>
      </w:r>
    </w:p>
    <w:p w:rsidR="00430AB7" w:rsidRDefault="00430AB7" w:rsidP="00430AB7">
      <w:pPr>
        <w:pStyle w:val="Heading4"/>
      </w:pPr>
      <w:r>
        <w:t>Where does the message appear</w:t>
      </w:r>
    </w:p>
    <w:p w:rsidR="00430AB7" w:rsidRDefault="00430AB7" w:rsidP="00430AB7">
      <w:pPr>
        <w:pStyle w:val="Heading3"/>
      </w:pPr>
      <w:r>
        <w:t>Is the market appropriate?</w:t>
      </w:r>
    </w:p>
    <w:p w:rsidR="00430AB7" w:rsidRDefault="00430AB7" w:rsidP="00430AB7">
      <w:pPr>
        <w:pStyle w:val="Heading3"/>
      </w:pPr>
      <w:r>
        <w:t>Is the structure appropriate?</w:t>
      </w:r>
    </w:p>
    <w:p w:rsidR="00430AB7" w:rsidRDefault="00430AB7" w:rsidP="00430AB7">
      <w:pPr>
        <w:pStyle w:val="Heading4"/>
      </w:pPr>
      <w:r>
        <w:t>Does it follow IMARD structure?</w:t>
      </w:r>
    </w:p>
    <w:p w:rsidR="00430AB7" w:rsidRDefault="00430AB7" w:rsidP="00430AB7">
      <w:pPr>
        <w:pStyle w:val="Heading4"/>
      </w:pPr>
      <w:r>
        <w:t>Are paragraphs clearly written?</w:t>
      </w:r>
    </w:p>
    <w:p w:rsidR="00430AB7" w:rsidRDefault="00430AB7" w:rsidP="00430AB7">
      <w:pPr>
        <w:pStyle w:val="Heading3"/>
      </w:pPr>
      <w:r>
        <w:t>Is the tone appropriate?</w:t>
      </w:r>
    </w:p>
    <w:p w:rsidR="00430AB7" w:rsidRDefault="00430AB7" w:rsidP="00430AB7">
      <w:pPr>
        <w:pStyle w:val="Heading2"/>
      </w:pPr>
      <w:r>
        <w:t>Yellow marker test</w:t>
      </w:r>
    </w:p>
    <w:p w:rsidR="00430AB7" w:rsidRDefault="00430AB7" w:rsidP="00430AB7">
      <w:pPr>
        <w:pStyle w:val="Heading3"/>
      </w:pPr>
      <w:r>
        <w:t>Highlight most important sentences</w:t>
      </w:r>
    </w:p>
    <w:p w:rsidR="00430AB7" w:rsidRDefault="00430AB7" w:rsidP="00430AB7">
      <w:pPr>
        <w:pStyle w:val="Heading4"/>
      </w:pPr>
      <w:r>
        <w:t>Are the first sentences of paragraphs highlighted? (Otherwise meaning may be buried)</w:t>
      </w:r>
    </w:p>
    <w:sectPr w:rsidR="00430AB7" w:rsidSect="009B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2">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430AB7"/>
    <w:rsid w:val="00086EF3"/>
    <w:rsid w:val="0012061B"/>
    <w:rsid w:val="00131B0D"/>
    <w:rsid w:val="00257BA1"/>
    <w:rsid w:val="002625DA"/>
    <w:rsid w:val="00284FC4"/>
    <w:rsid w:val="002C422F"/>
    <w:rsid w:val="00364E77"/>
    <w:rsid w:val="003D2C1B"/>
    <w:rsid w:val="00430AB7"/>
    <w:rsid w:val="00432E45"/>
    <w:rsid w:val="00464BEF"/>
    <w:rsid w:val="0048769E"/>
    <w:rsid w:val="00625FDD"/>
    <w:rsid w:val="00627E2C"/>
    <w:rsid w:val="006D2EBC"/>
    <w:rsid w:val="00717F8D"/>
    <w:rsid w:val="007C54F7"/>
    <w:rsid w:val="00872FF4"/>
    <w:rsid w:val="008C446F"/>
    <w:rsid w:val="008E6EBD"/>
    <w:rsid w:val="00900EF8"/>
    <w:rsid w:val="00920074"/>
    <w:rsid w:val="009858AC"/>
    <w:rsid w:val="009B762A"/>
    <w:rsid w:val="00A7702F"/>
    <w:rsid w:val="00B1103F"/>
    <w:rsid w:val="00BB5414"/>
    <w:rsid w:val="00BD4E41"/>
    <w:rsid w:val="00BE3F5D"/>
    <w:rsid w:val="00BE5A50"/>
    <w:rsid w:val="00C3479E"/>
    <w:rsid w:val="00C61C03"/>
    <w:rsid w:val="00C870A5"/>
    <w:rsid w:val="00CF35A2"/>
    <w:rsid w:val="00D16FF3"/>
    <w:rsid w:val="00D456D2"/>
    <w:rsid w:val="00D80909"/>
    <w:rsid w:val="00D84401"/>
    <w:rsid w:val="00DB38DE"/>
    <w:rsid w:val="00DC30F4"/>
    <w:rsid w:val="00DD7D4D"/>
    <w:rsid w:val="00DF2845"/>
    <w:rsid w:val="00E70A72"/>
    <w:rsid w:val="00E95D58"/>
    <w:rsid w:val="00F74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semiHidden/>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AEB37-3DCB-446C-8EC1-AA1C5F04B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18</Pages>
  <Words>4455</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29790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11</cp:revision>
  <dcterms:created xsi:type="dcterms:W3CDTF">2012-04-27T11:55:00Z</dcterms:created>
  <dcterms:modified xsi:type="dcterms:W3CDTF">2012-09-04T08:18:00Z</dcterms:modified>
</cp:coreProperties>
</file>