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9E2AE4">
        <w:fldChar w:fldCharType="separate"/>
      </w:r>
      <w:r w:rsidRPr="00261C32">
        <w:rPr>
          <w:noProof/>
        </w:rPr>
        <w:t>(Claxton et al., 2005; NICE, 2008)</w:t>
      </w:r>
      <w:r w:rsidR="009E2AE4">
        <w:fldChar w:fldCharType="end"/>
      </w:r>
      <w:r>
        <w:t xml:space="preserve"> This requires producing numerous samples of parameter values,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HRQoL for thirty patients with a hypothetical disease. For each patient, we have </w:t>
      </w:r>
      <w:r w:rsidR="008C20E7">
        <w:t xml:space="preserve">produced values for </w:t>
      </w:r>
      <w:r w:rsidR="00CF5DBC">
        <w:t xml:space="preserve">their HRQoL in the </w:t>
      </w:r>
      <w:r w:rsidR="009041DA">
        <w:t xml:space="preserve">moderate </w:t>
      </w:r>
      <w:r w:rsidR="00CF5DBC">
        <w:t>state</w:t>
      </w:r>
      <w:r w:rsidR="009041DA">
        <w:t>, and also their HRQoL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HRQoL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6A5E2C" w:rsidRDefault="006A5E2C" w:rsidP="00975116">
      <w:r>
        <w:lastRenderedPageBreak/>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are 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p>
    <w:p w:rsidR="0028566C" w:rsidRDefault="00DA2697" w:rsidP="0028566C">
      <w:pPr>
        <w:keepNext/>
      </w:pPr>
      <w:r>
        <w:rPr>
          <w:noProof/>
        </w:rPr>
        <w:drawing>
          <wp:inline distT="0" distB="0" distL="0" distR="0">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w:t>
      </w:r>
      <w:r w:rsidR="0031366F">
        <w:t xml:space="preserve">all values are below </w:t>
      </w:r>
      <w:r>
        <w:t xml:space="preserve">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t xml:space="preserve">Table </w:t>
      </w:r>
      <w:r w:rsidR="009E2AE4">
        <w:fldChar w:fldCharType="begin"/>
      </w:r>
      <w:r w:rsidR="00100A52">
        <w:instrText xml:space="preserve"> SEQ Table \* ARABIC </w:instrText>
      </w:r>
      <w:r w:rsidR="009E2AE4">
        <w:fldChar w:fldCharType="separate"/>
      </w:r>
      <w:r w:rsidR="000444A0">
        <w:rPr>
          <w:noProof/>
        </w:rPr>
        <w:t>1</w:t>
      </w:r>
      <w:r w:rsidR="009E2AE4">
        <w:rPr>
          <w:noProof/>
        </w:rPr>
        <w:fldChar w:fldCharType="end"/>
      </w:r>
      <w:bookmarkEnd w:id="2"/>
      <w:r>
        <w:t xml:space="preserve"> The assumed available summary data</w:t>
      </w:r>
      <w:r w:rsidR="003A0530">
        <w:t>. This is assumed to be the only information available to the modeller</w:t>
      </w:r>
    </w:p>
    <w:p w:rsidR="00284FC4" w:rsidRDefault="001D7B8E" w:rsidP="00284FC4">
      <w:pPr>
        <w:pStyle w:val="Heading3"/>
      </w:pPr>
      <w:r>
        <w:t>The Montonicity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lastRenderedPageBreak/>
        <w:t>lower</w:t>
      </w:r>
      <w:r>
        <w:t xml:space="preserve"> than a corresponding estimate for U1. More formally, if there are M runs within the PSA, and the subscript i defines predicted values from the ith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i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and </w:t>
      </w:r>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9E2AE4">
        <w:fldChar w:fldCharType="separate"/>
      </w:r>
      <w:r w:rsidR="0086407B" w:rsidRPr="0086407B">
        <w:rPr>
          <w:noProof/>
        </w:rPr>
        <w:t>(R Development Core Team, 2011)</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r>
              <w:t>Quantile Matching/</w:t>
            </w:r>
          </w:p>
          <w:p w:rsidR="00A86571" w:rsidRDefault="00A86571" w:rsidP="00BE3F5D">
            <w:r>
              <w:t>Number Seed Recycling</w:t>
            </w:r>
          </w:p>
        </w:tc>
        <w:tc>
          <w:tcPr>
            <w:tcW w:w="5084" w:type="dxa"/>
          </w:tcPr>
          <w:p w:rsidR="00A86571" w:rsidRDefault="00A86571" w:rsidP="008C20E7">
            <w:r>
              <w:t>For each of the PSA runs, use the same random number seed when drawing a sample from U2 and U1. (This is equivalent to selecting the same quantile from both distributions.)</w:t>
            </w:r>
          </w:p>
        </w:tc>
      </w:tr>
      <w:tr w:rsidR="00A86571" w:rsidTr="00A86571">
        <w:tc>
          <w:tcPr>
            <w:tcW w:w="1351" w:type="dxa"/>
            <w:vMerge w:val="restart"/>
          </w:tcPr>
          <w:p w:rsidR="00A86571" w:rsidRDefault="00A86571" w:rsidP="00131B0D">
            <w:r>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lastRenderedPageBreak/>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lastRenderedPageBreak/>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Beta(a,b).</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Beta(a,b)</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lastRenderedPageBreak/>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3" w:name="_Ref323291518"/>
      <w:r>
        <w:lastRenderedPageBreak/>
        <w:t xml:space="preserve">Table </w:t>
      </w:r>
      <w:r w:rsidR="009E2AE4">
        <w:fldChar w:fldCharType="begin"/>
      </w:r>
      <w:r w:rsidR="00100A52">
        <w:instrText xml:space="preserve"> SEQ Table \* ARABIC </w:instrText>
      </w:r>
      <w:r w:rsidR="009E2AE4">
        <w:fldChar w:fldCharType="separate"/>
      </w:r>
      <w:r w:rsidR="000444A0">
        <w:rPr>
          <w:noProof/>
        </w:rPr>
        <w:t>2</w:t>
      </w:r>
      <w:r w:rsidR="009E2AE4">
        <w:rPr>
          <w:noProof/>
        </w:rPr>
        <w:fldChar w:fldCharType="end"/>
      </w:r>
      <w:bookmarkEnd w:id="3"/>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is broadly equivalent to pairing the quantiles from the estimated distributions of U1 and U2 within PSA runs, matching the lowest estimate of U1 with the lowest estimate of U2, the second lowest estimate of U1 with the second lowest estimate of U2, and so on. For this reason, quantile-pairing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prove this for the novice </w:t>
      </w:r>
      <w:commentRangeStart w:id="4"/>
      <w:r w:rsidR="00366FEC">
        <w:t>reader</w:t>
      </w:r>
      <w:commentRangeEnd w:id="4"/>
      <w:r w:rsidR="00E05AE9">
        <w:rPr>
          <w:rStyle w:val="CommentReference"/>
        </w:rPr>
        <w:commentReference w:id="4"/>
      </w:r>
      <w:r w:rsidR="00366FEC">
        <w:t xml:space="preserve">.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covariances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w:t>
      </w:r>
      <w:r w:rsidR="00AA771D">
        <w:lastRenderedPageBreak/>
        <w:t>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covariances cannot imply a correlation of greater than 1.</w:t>
      </w:r>
      <w:r w:rsidR="00A2397C">
        <w:t xml:space="preserve"> </w:t>
      </w:r>
      <w:r w:rsidR="00AE2C7F">
        <w:t>The</w:t>
      </w:r>
      <w:r w:rsidR="00A2397C">
        <w:t xml:space="preserve"> correlation of two random variables X and Y is defined as follows:</w:t>
      </w:r>
    </w:p>
    <w:p w:rsidR="00A2397C" w:rsidRDefault="00E05AE9"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be </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covariances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is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variable </w:t>
      </w:r>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of </w:t>
      </w:r>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of </w:t>
      </w:r>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both U1 and U2 are in the range between 0 and </w:t>
      </w:r>
      <w:commentRangeStart w:id="5"/>
      <w:r>
        <w:t>1</w:t>
      </w:r>
      <w:commentRangeEnd w:id="5"/>
      <w:r w:rsidR="00DB2EEE">
        <w:rPr>
          <w:rStyle w:val="CommentReference"/>
        </w:rPr>
        <w:commentReference w:id="5"/>
      </w:r>
      <w:r>
        <w:t xml:space="preserve">, the difference </w:t>
      </w:r>
      <m:oMath>
        <m:r>
          <w:rPr>
            <w:rFonts w:ascii="Cambria Math" w:hAnsi="Cambria Math"/>
          </w:rPr>
          <m:t>∆</m:t>
        </m:r>
      </m:oMath>
      <w:r>
        <w:t xml:space="preserve"> need</w:t>
      </w:r>
      <w:r w:rsidR="00C86CD6">
        <w:rPr>
          <w:rFonts w:hint="eastAsia"/>
          <w:lang w:eastAsia="zh-CN"/>
        </w:rPr>
        <w:t>s</w:t>
      </w:r>
      <w:r>
        <w:t xml:space="preserve"> to be bounded between 0 and 1 as well. We assume a beta distribution </w:t>
      </w:r>
      <w:r w:rsidR="00C86CD6">
        <w:rPr>
          <w:rFonts w:hint="eastAsia"/>
          <w:lang w:eastAsia="zh-CN"/>
        </w:rPr>
        <w:t xml:space="preserve">Beta(a,b)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We calculate the two beta parameters a and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Beta(a,b),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r>
        <w:rPr>
          <w:rFonts w:cstheme="minorHAnsi"/>
        </w:rPr>
        <w:t xml:space="preserve">be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r>
        <w:rPr>
          <w:rFonts w:cstheme="minorHAnsi"/>
        </w:rPr>
        <w:t xml:space="preserve">be </w:t>
      </w:r>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w:t>
      </w:r>
      <w:commentRangeStart w:id="6"/>
      <w:r>
        <w:rPr>
          <w:rFonts w:cstheme="minorHAnsi" w:hint="eastAsia"/>
          <w:lang w:eastAsia="zh-CN"/>
        </w:rPr>
        <w:t>as</w:t>
      </w:r>
      <w:commentRangeEnd w:id="6"/>
      <w:r w:rsidR="00DB2EEE">
        <w:rPr>
          <w:rStyle w:val="CommentReference"/>
        </w:rPr>
        <w:commentReference w:id="6"/>
      </w:r>
      <w:r>
        <w:rPr>
          <w:rFonts w:cstheme="minorHAnsi" w:hint="eastAsia"/>
          <w:lang w:eastAsia="zh-CN"/>
        </w:rPr>
        <w:t xml:space="preserve">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covariances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9E2AE4">
        <w:fldChar w:fldCharType="separate"/>
      </w:r>
      <w:r w:rsidR="004B2A9B" w:rsidRPr="00264F0F">
        <w:rPr>
          <w:noProof/>
        </w:rPr>
        <w:t xml:space="preserve">(Hintze &amp; </w:t>
      </w:r>
      <w:r w:rsidR="004B2A9B" w:rsidRPr="00264F0F">
        <w:rPr>
          <w:noProof/>
        </w:rPr>
        <w:lastRenderedPageBreak/>
        <w:t>Nelson, 1998)</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a=33.0224 and b=536.330.</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7" w:name="_Ref340230165"/>
      <w:r>
        <w:t xml:space="preserve">Figure </w:t>
      </w:r>
      <w:fldSimple w:instr=" SEQ Figure \* ARABIC ">
        <w:r w:rsidR="001463F3">
          <w:rPr>
            <w:noProof/>
          </w:rPr>
          <w:t>3</w:t>
        </w:r>
      </w:fldSimple>
      <w:bookmarkEnd w:id="7"/>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t xml:space="preserve">a for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all produce uncorrelated scatter that is too wide,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nine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j)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1463F3">
      <w:pPr>
        <w:keepNext/>
      </w:pPr>
      <w:r>
        <w:rPr>
          <w:noProof/>
        </w:rPr>
        <w:lastRenderedPageBreak/>
        <w:drawing>
          <wp:inline distT="0" distB="0" distL="0" distR="0">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1463F3">
      <w:pPr>
        <w:pStyle w:val="Caption"/>
      </w:pPr>
      <w:bookmarkStart w:id="8" w:name="_Ref340653784"/>
      <w:r>
        <w:t xml:space="preserve">Figure </w:t>
      </w:r>
      <w:fldSimple w:instr=" SEQ Figure \* ARABIC ">
        <w:r>
          <w:rPr>
            <w:noProof/>
          </w:rPr>
          <w:t>4</w:t>
        </w:r>
      </w:fldSimple>
      <w:bookmarkEnd w:id="8"/>
      <w:r>
        <w:t xml:space="preserve"> Scatterplots of U1 against U2 for each of the </w:t>
      </w:r>
      <w:commentRangeStart w:id="9"/>
      <w:r>
        <w:t>methods</w:t>
      </w:r>
      <w:commentRangeEnd w:id="9"/>
      <w:r w:rsidR="00E05AE9">
        <w:rPr>
          <w:rStyle w:val="CommentReference"/>
          <w:b w:val="0"/>
          <w:bCs w:val="0"/>
          <w:color w:val="auto"/>
        </w:rPr>
        <w:commentReference w:id="9"/>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3C0A89" w:rsidP="00EC0C0F">
      <w:r>
        <w:rPr>
          <w:noProof/>
        </w:rPr>
        <w:lastRenderedPageBreak/>
        <w:drawing>
          <wp:inline distT="0" distB="0" distL="0" distR="0">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524D9D">
      <w:pPr>
        <w:pStyle w:val="Caption"/>
      </w:pPr>
      <w:bookmarkStart w:id="10" w:name="_Ref340241271"/>
      <w:r>
        <w:lastRenderedPageBreak/>
        <w:t xml:space="preserve">Figure </w:t>
      </w:r>
      <w:fldSimple w:instr=" SEQ Figure \* ARABIC ">
        <w:r w:rsidR="001463F3">
          <w:rPr>
            <w:noProof/>
          </w:rPr>
          <w:t>5</w:t>
        </w:r>
      </w:fldSimple>
      <w:bookmarkEnd w:id="10"/>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although such biases were not </w:t>
      </w:r>
      <w:r w:rsidR="002F55D5">
        <w:t xml:space="preserve">overly </w:t>
      </w:r>
      <w:r w:rsidR="009F309A">
        <w:t xml:space="preserve">apparent in our results.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9B5207"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covariances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non-macro enabled Excel worksheet [Ref], and will produce identical estimates 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the size of the ‘training’ sets</w:t>
      </w:r>
      <w:r w:rsidR="00017FFA">
        <w:t xml:space="preserve">; and using distributions which bounded the range of </w:t>
      </w:r>
      <w:r w:rsidR="0031366F">
        <w:t xml:space="preserve">utility </w:t>
      </w:r>
      <w:r w:rsidR="00017FFA">
        <w:t>values between the range 0 to 1</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lastRenderedPageBreak/>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r>
        <w:t xml:space="preserve">Further research to see whether using method 10 in a previous HTA would have affected decision uncertainty. </w:t>
      </w:r>
    </w:p>
    <w:p w:rsidR="00A90C1A" w:rsidRDefault="00A90C1A" w:rsidP="009858AC">
      <w:r>
        <w:t>[ Need to think about this section again as we’ve now done both of the things we flagged for further research!]</w:t>
      </w:r>
    </w:p>
    <w:p w:rsidR="00430AB7" w:rsidRDefault="00430AB7" w:rsidP="00430AB7">
      <w:pPr>
        <w:pStyle w:val="Heading3"/>
      </w:pPr>
      <w:r>
        <w:t>Implications for practice</w:t>
      </w:r>
    </w:p>
    <w:p w:rsidR="00A05CE5" w:rsidRDefault="00A05CE5" w:rsidP="00056F93">
      <w:r>
        <w:t xml:space="preserve">Although our analyses were performed in the statistical programming language R, method ten, which has better theoretical properties than the other methods and compares very well against the other methods in our example, can be easily implemented in Excel. Because of this, we recommend this method be used in practice. </w:t>
      </w:r>
    </w:p>
    <w:p w:rsidR="00056F93" w:rsidRDefault="00DF6C54" w:rsidP="00056F93">
      <w:r>
        <w:t xml:space="preserve">In cases where </w:t>
      </w:r>
      <w:r w:rsidR="00056F93">
        <w:t xml:space="preserve">the means for U1 and U2 are very close together and the standard errors are large, </w:t>
      </w:r>
      <w:r>
        <w:t xml:space="preserve">it is important to ask </w:t>
      </w:r>
      <w:r w:rsidR="00056F93">
        <w:t>how confident we are about the validity of the monotonicity assumption, and how implausible it would be that the mean HRQoL in U1 is actually l</w:t>
      </w:r>
      <w:r>
        <w:t>ower than the mean HRQoL in U2.  If we are confident that the monotonicity assumption is correct, then method ten should be able to ensure that this relationship is represented in the PSA.</w:t>
      </w:r>
    </w:p>
    <w:p w:rsidR="00430AB7" w:rsidRDefault="00DF6C54" w:rsidP="00430AB7">
      <w:pPr>
        <w:pStyle w:val="Heading3"/>
      </w:pPr>
      <w:r>
        <w:lastRenderedPageBreak/>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w:t>
      </w:r>
      <w:commentRangeStart w:id="11"/>
      <w:r>
        <w:t>assessments</w:t>
      </w:r>
      <w:commentRangeEnd w:id="11"/>
      <w:r w:rsidR="008F3162">
        <w:rPr>
          <w:rStyle w:val="CommentReference"/>
        </w:rPr>
        <w:commentReference w:id="11"/>
      </w:r>
      <w:r>
        <w:t xml:space="preserve">. </w:t>
      </w:r>
    </w:p>
    <w:sectPr w:rsidR="006C78E2" w:rsidSect="006F0B1D">
      <w:footerReference w:type="default" r:id="rId1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Nicholas Latimer" w:date="2012-12-06T11:34:00Z" w:initials="NRL">
    <w:p w:rsidR="00E05AE9" w:rsidRDefault="00E05AE9">
      <w:pPr>
        <w:pStyle w:val="CommentText"/>
      </w:pPr>
      <w:r>
        <w:rPr>
          <w:rStyle w:val="CommentReference"/>
        </w:rPr>
        <w:annotationRef/>
      </w:r>
      <w:r>
        <w:t>Just delete “for the novice reader”?</w:t>
      </w:r>
    </w:p>
  </w:comment>
  <w:comment w:id="5" w:author="Nicholas Latimer" w:date="2012-12-06T11:52:00Z" w:initials="NRL">
    <w:p w:rsidR="00DB2EEE" w:rsidRDefault="00DB2EEE">
      <w:pPr>
        <w:pStyle w:val="CommentText"/>
      </w:pPr>
      <w:r>
        <w:rPr>
          <w:rStyle w:val="CommentReference"/>
        </w:rPr>
        <w:annotationRef/>
      </w:r>
      <w:r>
        <w:t>…in our example</w:t>
      </w:r>
    </w:p>
  </w:comment>
  <w:comment w:id="6" w:author="Nicholas Latimer" w:date="2012-12-06T12:04:00Z" w:initials="NRL">
    <w:p w:rsidR="00DB2EEE" w:rsidRDefault="00DB2EEE">
      <w:pPr>
        <w:pStyle w:val="CommentText"/>
      </w:pPr>
      <w:r>
        <w:rPr>
          <w:rStyle w:val="CommentReference"/>
        </w:rPr>
        <w:annotationRef/>
      </w:r>
      <w:r>
        <w:t>I’m really unsure about the statistics of all this stuff</w:t>
      </w:r>
      <w:r w:rsidR="008F3162">
        <w:t>, I just don’t know much about it all</w:t>
      </w:r>
      <w:r>
        <w:t xml:space="preserve">.  My questions </w:t>
      </w:r>
      <w:r w:rsidR="008F3162">
        <w:t xml:space="preserve">(which are probably very basic and possibly stupid) </w:t>
      </w:r>
      <w:r>
        <w:t>would be:</w:t>
      </w:r>
    </w:p>
    <w:p w:rsidR="00DB2EEE" w:rsidRDefault="00DB2EEE" w:rsidP="00DB2EEE">
      <w:pPr>
        <w:pStyle w:val="CommentText"/>
        <w:numPr>
          <w:ilvl w:val="0"/>
          <w:numId w:val="9"/>
        </w:numPr>
      </w:pPr>
      <w:r>
        <w:t xml:space="preserve"> Is this all reasonable, eg the assumptions around cov</w:t>
      </w:r>
      <w:r w:rsidR="008F3162">
        <w:t>ariances equalling variances, variance of the difference equalling the variance of u2-u1 etc.</w:t>
      </w:r>
    </w:p>
    <w:p w:rsidR="008F3162" w:rsidRDefault="008F3162" w:rsidP="00DB2EEE">
      <w:pPr>
        <w:pStyle w:val="CommentText"/>
        <w:numPr>
          <w:ilvl w:val="0"/>
          <w:numId w:val="9"/>
        </w:numPr>
      </w:pPr>
      <w:r>
        <w:t xml:space="preserve">  Are there any other ways we could plausibly come up with a and b?  If so, we should say why we took this approach and not a different one.</w:t>
      </w:r>
    </w:p>
    <w:p w:rsidR="008F3162" w:rsidRDefault="008F3162" w:rsidP="008F3162">
      <w:pPr>
        <w:pStyle w:val="CommentText"/>
      </w:pPr>
    </w:p>
    <w:p w:rsidR="008F3162" w:rsidRDefault="008F3162" w:rsidP="008F3162">
      <w:pPr>
        <w:pStyle w:val="CommentText"/>
      </w:pPr>
      <w:r>
        <w:t>The second point goes for methods 7, 8 and 9 too.  Some of the assumptions in there are pretty arbitrary and presumably lots of slightly different versions of these could be used – hence the importance of getting some clinical input (eg on what might be expected to be the minimum differences between the health states).</w:t>
      </w:r>
    </w:p>
  </w:comment>
  <w:comment w:id="9" w:author="Nicholas Latimer" w:date="2012-12-06T11:38:00Z" w:initials="NRL">
    <w:p w:rsidR="00E05AE9" w:rsidRDefault="00E05AE9">
      <w:pPr>
        <w:pStyle w:val="CommentText"/>
      </w:pPr>
      <w:r>
        <w:rPr>
          <w:rStyle w:val="CommentReference"/>
        </w:rPr>
        <w:annotationRef/>
      </w:r>
      <w:r>
        <w:t>The distribution for u1 in method 10 still looks a bit different from method 1 (although it might not be).  Could you check this?</w:t>
      </w:r>
    </w:p>
  </w:comment>
  <w:comment w:id="11" w:author="Nicholas Latimer" w:date="2012-12-06T12:10:00Z" w:initials="NRL">
    <w:p w:rsidR="008F3162" w:rsidRDefault="008F3162">
      <w:pPr>
        <w:pStyle w:val="CommentText"/>
      </w:pPr>
      <w:r>
        <w:rPr>
          <w:rStyle w:val="CommentReference"/>
        </w:rPr>
        <w:annotationRef/>
      </w:r>
      <w:r>
        <w:t>I admit my concern about recommending method 10 is linked completely to my lack of understanding of whether the way you’ve worked out the a’s and b’s is the “only” way of doing it, or whether it is a bit arbitrary and other methods for doing it might be just as plausible.  Addressing that would set my mind at rest I think, as in general I agree that the “difference” approach makes sense.  I would say more about obtaining clinical opinion though, which could help make methods 8 and 9 practical.  And I’d probably include in the conclusion something about independent sampling being fine when we are not sure about the monotonicity assumption.</w:t>
      </w:r>
      <w:bookmarkStart w:id="12" w:name="_GoBack"/>
      <w:bookmarkEnd w:id="1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AE9" w:rsidRDefault="00E05AE9" w:rsidP="00751271">
      <w:pPr>
        <w:spacing w:after="0" w:line="240" w:lineRule="auto"/>
      </w:pPr>
      <w:r>
        <w:separator/>
      </w:r>
    </w:p>
  </w:endnote>
  <w:endnote w:type="continuationSeparator" w:id="0">
    <w:p w:rsidR="00E05AE9" w:rsidRDefault="00E05AE9"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E05AE9" w:rsidRDefault="00E05AE9">
        <w:pPr>
          <w:pStyle w:val="Footer"/>
          <w:jc w:val="center"/>
        </w:pPr>
        <w:r>
          <w:fldChar w:fldCharType="begin"/>
        </w:r>
        <w:r>
          <w:instrText xml:space="preserve"> PAGE   \* MERGEFORMAT </w:instrText>
        </w:r>
        <w:r>
          <w:fldChar w:fldCharType="separate"/>
        </w:r>
        <w:r w:rsidR="008F3162">
          <w:rPr>
            <w:noProof/>
          </w:rPr>
          <w:t>17</w:t>
        </w:r>
        <w:r>
          <w:rPr>
            <w:noProof/>
          </w:rPr>
          <w:fldChar w:fldCharType="end"/>
        </w:r>
      </w:p>
    </w:sdtContent>
  </w:sdt>
  <w:p w:rsidR="00E05AE9" w:rsidRDefault="00E05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AE9" w:rsidRDefault="00E05AE9" w:rsidP="00751271">
      <w:pPr>
        <w:spacing w:after="0" w:line="240" w:lineRule="auto"/>
      </w:pPr>
      <w:r>
        <w:separator/>
      </w:r>
    </w:p>
  </w:footnote>
  <w:footnote w:type="continuationSeparator" w:id="0">
    <w:p w:rsidR="00E05AE9" w:rsidRDefault="00E05AE9"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3A2576"/>
    <w:multiLevelType w:val="hybridMultilevel"/>
    <w:tmpl w:val="8828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5"/>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B7"/>
    <w:rsid w:val="0000364E"/>
    <w:rsid w:val="000071B0"/>
    <w:rsid w:val="00011837"/>
    <w:rsid w:val="00017FFA"/>
    <w:rsid w:val="00024205"/>
    <w:rsid w:val="00027CAE"/>
    <w:rsid w:val="000444A0"/>
    <w:rsid w:val="00056F93"/>
    <w:rsid w:val="00072341"/>
    <w:rsid w:val="00084D3F"/>
    <w:rsid w:val="00086EF3"/>
    <w:rsid w:val="00091BB9"/>
    <w:rsid w:val="000A6FF5"/>
    <w:rsid w:val="000B14B7"/>
    <w:rsid w:val="000B5D3F"/>
    <w:rsid w:val="000C21A2"/>
    <w:rsid w:val="000E2BD3"/>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1017"/>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314A"/>
    <w:rsid w:val="004B25EB"/>
    <w:rsid w:val="004B2A9B"/>
    <w:rsid w:val="004D6DDF"/>
    <w:rsid w:val="004E593F"/>
    <w:rsid w:val="004E5985"/>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F0B1D"/>
    <w:rsid w:val="007078FF"/>
    <w:rsid w:val="00707C32"/>
    <w:rsid w:val="00717F8D"/>
    <w:rsid w:val="007260F2"/>
    <w:rsid w:val="00751271"/>
    <w:rsid w:val="00762D85"/>
    <w:rsid w:val="007631B1"/>
    <w:rsid w:val="00775489"/>
    <w:rsid w:val="007A51D0"/>
    <w:rsid w:val="007B482F"/>
    <w:rsid w:val="007C54F7"/>
    <w:rsid w:val="007D2A85"/>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3162"/>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2697"/>
    <w:rsid w:val="00DA744F"/>
    <w:rsid w:val="00DB2EEE"/>
    <w:rsid w:val="00DB38DE"/>
    <w:rsid w:val="00DC30F4"/>
    <w:rsid w:val="00DC38DD"/>
    <w:rsid w:val="00DC700E"/>
    <w:rsid w:val="00DD41F7"/>
    <w:rsid w:val="00DD7D4D"/>
    <w:rsid w:val="00DF2845"/>
    <w:rsid w:val="00DF407F"/>
    <w:rsid w:val="00DF6C54"/>
    <w:rsid w:val="00E05AE9"/>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3AF8-4165-4BF4-AFFE-893F4048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5642</Words>
  <Characters>32165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Nicholas Latimer</cp:lastModifiedBy>
  <cp:revision>2</cp:revision>
  <dcterms:created xsi:type="dcterms:W3CDTF">2012-12-06T12:10:00Z</dcterms:created>
  <dcterms:modified xsi:type="dcterms:W3CDTF">2012-12-06T12:10:00Z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