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821" w:rsidRDefault="00047821" w:rsidP="00C81A35">
      <w:pPr>
        <w:pStyle w:val="Heading1"/>
        <w:spacing w:line="480" w:lineRule="auto"/>
      </w:pPr>
      <w:r>
        <w:t>Abstract</w:t>
      </w:r>
    </w:p>
    <w:p w:rsidR="0055628C" w:rsidRDefault="0055628C" w:rsidP="00C81A35">
      <w:pPr>
        <w:spacing w:line="480" w:lineRule="auto"/>
      </w:pPr>
      <w:r>
        <w:rPr>
          <w:rStyle w:val="Heading2Char"/>
        </w:rPr>
        <w:t>Background</w:t>
      </w:r>
      <w:r w:rsidR="00330E69">
        <w:rPr>
          <w:rStyle w:val="Heading2Char"/>
        </w:rPr>
        <w:t>:</w:t>
      </w:r>
      <w:r w:rsidRPr="00B74806">
        <w:rPr>
          <w:rStyle w:val="Heading2Char"/>
          <w:b w:val="0"/>
        </w:rPr>
        <w:t xml:space="preserve"> </w:t>
      </w:r>
      <w:r w:rsidR="00B74806">
        <w:rPr>
          <w:bCs/>
        </w:rPr>
        <w:t xml:space="preserve">Some clinical parameters which need to be incorporated in health economic models are known to be monotonically related, </w:t>
      </w:r>
      <w:r w:rsidR="00330E69">
        <w:rPr>
          <w:bCs/>
        </w:rPr>
        <w:t xml:space="preserve">meaning </w:t>
      </w:r>
      <w:r w:rsidR="00B74806">
        <w:rPr>
          <w:bCs/>
        </w:rPr>
        <w:t xml:space="preserve">that for two parameters no estimate of one of the parameters should be greater than the corresponding estimate of the other parameter. </w:t>
      </w:r>
      <w:r w:rsidR="00330E69">
        <w:rPr>
          <w:bCs/>
        </w:rPr>
        <w:t>I</w:t>
      </w:r>
      <w:r w:rsidR="00B74806">
        <w:rPr>
          <w:bCs/>
        </w:rPr>
        <w:t xml:space="preserve">ndependent sampling of each parameter </w:t>
      </w:r>
      <w:r w:rsidR="00330E69">
        <w:rPr>
          <w:bCs/>
        </w:rPr>
        <w:t xml:space="preserve">from known distributions </w:t>
      </w:r>
      <w:r w:rsidR="00B74806">
        <w:rPr>
          <w:bCs/>
        </w:rPr>
        <w:t xml:space="preserve">could produce violations of the monotonicity assumption. </w:t>
      </w:r>
      <w:r w:rsidR="00355F07">
        <w:rPr>
          <w:bCs/>
        </w:rPr>
        <w:t xml:space="preserve">A comparison of </w:t>
      </w:r>
      <w:r w:rsidR="00330E69">
        <w:rPr>
          <w:bCs/>
        </w:rPr>
        <w:t xml:space="preserve">alternative </w:t>
      </w:r>
      <w:r w:rsidR="00355F07">
        <w:rPr>
          <w:bCs/>
        </w:rPr>
        <w:t xml:space="preserve">methods for </w:t>
      </w:r>
      <w:r w:rsidR="00330E69">
        <w:rPr>
          <w:bCs/>
        </w:rPr>
        <w:t xml:space="preserve">preventing or minimising violations of monotonicity </w:t>
      </w:r>
      <w:r w:rsidR="00355F07">
        <w:rPr>
          <w:bCs/>
        </w:rPr>
        <w:t xml:space="preserve">has not, to our knowledge, previously been </w:t>
      </w:r>
      <w:r w:rsidR="00330E69">
        <w:rPr>
          <w:bCs/>
        </w:rPr>
        <w:t>published</w:t>
      </w:r>
      <w:r w:rsidR="00355F07">
        <w:rPr>
          <w:bCs/>
        </w:rPr>
        <w:t>.</w:t>
      </w:r>
    </w:p>
    <w:p w:rsidR="0055628C" w:rsidRDefault="0055628C" w:rsidP="00C81A35">
      <w:pPr>
        <w:spacing w:line="480" w:lineRule="auto"/>
      </w:pPr>
      <w:r>
        <w:rPr>
          <w:rStyle w:val="Heading2Char"/>
        </w:rPr>
        <w:t>Objective</w:t>
      </w:r>
      <w:r w:rsidR="00330E69">
        <w:rPr>
          <w:rStyle w:val="Heading2Char"/>
        </w:rPr>
        <w:t>:</w:t>
      </w:r>
      <w:r>
        <w:t xml:space="preserve"> </w:t>
      </w:r>
      <w:r w:rsidR="00B74806">
        <w:t xml:space="preserve">To compare the appropriateness of ten </w:t>
      </w:r>
      <w:r w:rsidR="00330E69">
        <w:t xml:space="preserve">chosen </w:t>
      </w:r>
      <w:r w:rsidR="00B74806">
        <w:t xml:space="preserve">methods which could be used in </w:t>
      </w:r>
      <w:r w:rsidR="00330E69">
        <w:t xml:space="preserve">when sampling from </w:t>
      </w:r>
      <w:r w:rsidR="00B74806">
        <w:t xml:space="preserve">monotonically related parameters. </w:t>
      </w:r>
    </w:p>
    <w:p w:rsidR="00501F16" w:rsidRDefault="0055628C" w:rsidP="00C81A35">
      <w:pPr>
        <w:spacing w:line="480" w:lineRule="auto"/>
      </w:pPr>
      <w:r>
        <w:rPr>
          <w:rStyle w:val="Heading2Char"/>
        </w:rPr>
        <w:t>Methods</w:t>
      </w:r>
      <w:r w:rsidR="00330E69">
        <w:rPr>
          <w:rStyle w:val="Heading2Char"/>
        </w:rPr>
        <w:t>:</w:t>
      </w:r>
      <w:r>
        <w:t xml:space="preserve"> </w:t>
      </w:r>
      <w:r w:rsidR="00330E69">
        <w:t>S</w:t>
      </w:r>
      <w:r w:rsidR="00B74806">
        <w:t xml:space="preserve">ummary statistics </w:t>
      </w:r>
      <w:r w:rsidR="00330E69">
        <w:t xml:space="preserve">(mean and SE) </w:t>
      </w:r>
      <w:r w:rsidR="00B74806">
        <w:t>are produced for two parameters known to be monotonically related</w:t>
      </w:r>
      <w:r w:rsidR="00501F16">
        <w:t xml:space="preserve">. The ten methods compared use only these summary statistics based on hypothetical individual patient data (IPD). The joint uncertainty about the mean values of two parameters produced by each of the methods is compared with </w:t>
      </w:r>
      <w:r w:rsidR="00330E69">
        <w:t xml:space="preserve">that </w:t>
      </w:r>
      <w:r w:rsidR="00501F16">
        <w:t>derived directly from the IPD using a bootstrapping procedure. The similarity between the joint uncertainty based on the IPD, and those of the methods</w:t>
      </w:r>
      <w:r w:rsidR="002C4675">
        <w:t>, is assessed. For those methods which produced appropriate joint estimates, a supplementary analysis</w:t>
      </w:r>
      <w:r w:rsidR="00330E69">
        <w:t xml:space="preserve"> is performed to assess these methods performance in situations where the summary estimates are based on different populations.</w:t>
      </w:r>
      <w:r w:rsidR="002C4675">
        <w:t xml:space="preserve">  </w:t>
      </w:r>
    </w:p>
    <w:p w:rsidR="0055628C" w:rsidRDefault="0055628C" w:rsidP="00C81A35">
      <w:pPr>
        <w:spacing w:line="480" w:lineRule="auto"/>
      </w:pPr>
      <w:r w:rsidRPr="0055628C">
        <w:rPr>
          <w:rStyle w:val="Heading2Char"/>
        </w:rPr>
        <w:t>Results</w:t>
      </w:r>
      <w:r w:rsidR="00330E69">
        <w:rPr>
          <w:rStyle w:val="Heading2Char"/>
        </w:rPr>
        <w:t>:</w:t>
      </w:r>
      <w:r>
        <w:t xml:space="preserve"> </w:t>
      </w:r>
      <w:r w:rsidR="002C4675" w:rsidRPr="00330E69">
        <w:rPr>
          <w:b/>
        </w:rPr>
        <w:t>Main analysis</w:t>
      </w:r>
      <w:r w:rsidR="002C4675">
        <w:t>: three of the ten methods were found to produce joint estimates of the parameters which did</w:t>
      </w:r>
      <w:r w:rsidR="00B50085">
        <w:t xml:space="preserve"> violate the monotonicity assumption, and did</w:t>
      </w:r>
      <w:r w:rsidR="002C4675">
        <w:t xml:space="preserve"> not introduce any noticeable discontinuities and biases into the joint parameter estimate. This included two types of covariance-based method, and a ‘difference method’ where one of the parameters is modelled using a two-stage process. The covariance-based methods cannot be guaranteed to violate the monotonicity assumption.</w:t>
      </w:r>
      <w:r w:rsidR="00F7190D">
        <w:t xml:space="preserve"> </w:t>
      </w:r>
      <w:r w:rsidR="00F7190D" w:rsidRPr="00330E69">
        <w:rPr>
          <w:b/>
        </w:rPr>
        <w:t>Supplementary analysis</w:t>
      </w:r>
      <w:r w:rsidR="00330E69">
        <w:rPr>
          <w:b/>
        </w:rPr>
        <w:t>:</w:t>
      </w:r>
      <w:r w:rsidR="00F7190D">
        <w:t xml:space="preserve"> </w:t>
      </w:r>
      <w:r w:rsidR="00330E69">
        <w:t xml:space="preserve">the ‘difference method’ was shown to perform appropriately </w:t>
      </w:r>
      <w:r w:rsidR="00330E69">
        <w:lastRenderedPageBreak/>
        <w:t>in this analysis, whereas one of the covariance-based methods produced violations of the monotonicity assumption.</w:t>
      </w:r>
      <w:r w:rsidR="00F7190D">
        <w:t xml:space="preserve"> </w:t>
      </w:r>
    </w:p>
    <w:p w:rsidR="0055628C" w:rsidRDefault="0055628C" w:rsidP="00C81A35">
      <w:pPr>
        <w:spacing w:line="480" w:lineRule="auto"/>
      </w:pPr>
      <w:r w:rsidRPr="0055628C">
        <w:rPr>
          <w:rStyle w:val="Heading2Char"/>
        </w:rPr>
        <w:t>Limitati</w:t>
      </w:r>
      <w:r>
        <w:rPr>
          <w:rStyle w:val="Heading2Char"/>
        </w:rPr>
        <w:t>ons</w:t>
      </w:r>
      <w:r w:rsidR="00F446BF">
        <w:t xml:space="preserve"> </w:t>
      </w:r>
      <w:r w:rsidR="00330E69">
        <w:t xml:space="preserve">A systematic review of methods used to take monotonicity into account was not undertaken. </w:t>
      </w:r>
      <w:r w:rsidR="00F446BF">
        <w:t>Only two hypothetical datasets were used to assess the results</w:t>
      </w:r>
      <w:r w:rsidR="00330E69">
        <w:t>.</w:t>
      </w:r>
      <w:r w:rsidR="00F446BF">
        <w:t xml:space="preserve"> </w:t>
      </w:r>
    </w:p>
    <w:p w:rsidR="0055628C" w:rsidRDefault="0055628C" w:rsidP="00C81A35">
      <w:pPr>
        <w:spacing w:line="480" w:lineRule="auto"/>
      </w:pPr>
      <w:r w:rsidRPr="0055628C">
        <w:rPr>
          <w:rStyle w:val="Heading2Char"/>
        </w:rPr>
        <w:t>Conclusions</w:t>
      </w:r>
      <w:r w:rsidR="002C4675">
        <w:rPr>
          <w:rStyle w:val="Heading2Char"/>
        </w:rPr>
        <w:t xml:space="preserve"> </w:t>
      </w:r>
      <w:r w:rsidR="002C4675">
        <w:t xml:space="preserve">The ‘difference method’ </w:t>
      </w:r>
      <w:r w:rsidR="00F446BF">
        <w:t xml:space="preserve">cannot produce estimates which violate the normality assumption, and also does not appear to introduce the discontinuities and biases observed when many of the other methods are used. It is also consistent </w:t>
      </w:r>
      <w:r w:rsidR="00424EBC">
        <w:t xml:space="preserve">in the results it produces </w:t>
      </w:r>
      <w:r w:rsidR="00F446BF">
        <w:t xml:space="preserve">and easy to use. An Excel </w:t>
      </w:r>
      <w:proofErr w:type="spellStart"/>
      <w:r w:rsidR="00F446BF">
        <w:t>spreadsheet</w:t>
      </w:r>
      <w:proofErr w:type="spellEnd"/>
      <w:r w:rsidR="00F446BF">
        <w:t xml:space="preserve"> has been developed to facilitate its use in health economic modelling, and </w:t>
      </w:r>
      <w:r w:rsidR="00424EBC">
        <w:t xml:space="preserve">is included along with this </w:t>
      </w:r>
      <w:r w:rsidR="00EF6A5A">
        <w:t xml:space="preserve">manuscript. </w:t>
      </w:r>
    </w:p>
    <w:p w:rsidR="00C81A35" w:rsidRDefault="00C81A35">
      <w:pPr>
        <w:rPr>
          <w:rStyle w:val="Heading1Char"/>
        </w:rPr>
      </w:pPr>
      <w:r>
        <w:rPr>
          <w:rStyle w:val="Heading1Char"/>
        </w:rPr>
        <w:br w:type="page"/>
      </w:r>
    </w:p>
    <w:p w:rsidR="0055628C" w:rsidRDefault="0055628C" w:rsidP="0055628C">
      <w:r w:rsidRPr="0055628C">
        <w:rPr>
          <w:rStyle w:val="Heading1Char"/>
        </w:rPr>
        <w:lastRenderedPageBreak/>
        <w:t>Key words</w:t>
      </w:r>
      <w:r>
        <w:t xml:space="preserve">: </w:t>
      </w:r>
    </w:p>
    <w:p w:rsidR="0055628C" w:rsidRDefault="0055628C" w:rsidP="0055628C"/>
    <w:p w:rsidR="00EF6A5A" w:rsidRDefault="00EF6A5A" w:rsidP="0055628C">
      <w:r>
        <w:t>Health economics</w:t>
      </w:r>
    </w:p>
    <w:p w:rsidR="00EF6A5A" w:rsidRDefault="00EF6A5A" w:rsidP="0055628C">
      <w:r>
        <w:t>Decision analytic models</w:t>
      </w:r>
    </w:p>
    <w:p w:rsidR="00EF6A5A" w:rsidRDefault="00EF6A5A" w:rsidP="0055628C">
      <w:r>
        <w:t>Parameter uncertainty</w:t>
      </w:r>
    </w:p>
    <w:p w:rsidR="00EF6A5A" w:rsidRDefault="00EF6A5A" w:rsidP="0055628C">
      <w:r>
        <w:t>Monotonicity</w:t>
      </w:r>
    </w:p>
    <w:p w:rsidR="00EF6A5A" w:rsidRDefault="00EF6A5A" w:rsidP="0055628C"/>
    <w:p w:rsidR="00EF6A5A" w:rsidRDefault="00EF6A5A" w:rsidP="0055628C">
      <w:pPr>
        <w:sectPr w:rsidR="00EF6A5A" w:rsidSect="00047821">
          <w:footerReference w:type="default" r:id="rId9"/>
          <w:type w:val="continuous"/>
          <w:pgSz w:w="11906" w:h="16838"/>
          <w:pgMar w:top="1440" w:right="1440" w:bottom="1440" w:left="1440" w:header="708" w:footer="708" w:gutter="0"/>
          <w:lnNumType w:countBy="1"/>
          <w:cols w:space="708"/>
          <w:docGrid w:linePitch="360"/>
        </w:sectPr>
      </w:pPr>
    </w:p>
    <w:p w:rsidR="009B762A" w:rsidRDefault="00430AB7" w:rsidP="00047821">
      <w:pPr>
        <w:pStyle w:val="Heading1"/>
      </w:pPr>
      <w:r w:rsidRPr="00047821">
        <w:lastRenderedPageBreak/>
        <w:t>Introduction</w:t>
      </w:r>
    </w:p>
    <w:p w:rsidR="00261C32" w:rsidRDefault="00FB6527" w:rsidP="00D210AA">
      <w:pPr>
        <w:pStyle w:val="Heading2"/>
      </w:pPr>
      <w:r w:rsidRPr="00047821">
        <w:t>Background</w:t>
      </w:r>
    </w:p>
    <w:p w:rsidR="00047821" w:rsidRDefault="00047821" w:rsidP="00047821">
      <w:pPr>
        <w:spacing w:line="480" w:lineRule="auto"/>
      </w:pPr>
      <w:r>
        <w:t>The use of probabilistic sensitivity analysis (PSA) in cost-effectiveness models is strongly encouraged and widely used.</w:t>
      </w:r>
      <w:r w:rsidR="00261C32">
        <w:t xml:space="preserve"> </w:t>
      </w:r>
      <w:r w:rsidR="009E2AE4">
        <w:fldChar w:fldCharType="begin" w:fldLock="1"/>
      </w:r>
      <w:r w:rsidR="0038052F">
        <w:instrText>ADDIN CSL_CITATION { "citationItems" : [ { "id" : "ITEM-1", "itemData" : { "URL" : "http://www.nice.org.uk/media/B52/A7/TAMethodsGuideUpdatedJune2008.pdf", "accessed" : { "date-parts" : [ [ "2012", "10", "15" ] ] }, "author" : [ { "dropping-particle" : "", "family" : "NICE", "given" : "", "non-dropping-particle" : "", "parse-names" : false, "suffix" : "" } ], "container-title" : "NICE methods guide", "id" : "ITEM-1", "issued" : { "date-parts" : [ [ "2008" ] ] }, "page" : "80", "title" : "Guide to the methods of technology appraisal", "type" : "webpage" }, "uris" : [ "http://www.mendeley.com/documents/?uuid=cd033cb2-d65d-48dd-9230-e0ece575195f" ] }, { "id" : "ITEM-2", "itemData" : { "DOI" : "10.1002/hec.985", "abstract" : "Recently the National Institute for Clinical Excellence (NICE) updated its methods guidance for technology assessment. One aspect of the new guidance is to require the use of probabilistic sensitivity analysis with all cost-effectiveness models submitted to the Institute. The purpose of this paper is to place the NICE guidance on dealing with uncertainty into a broader context of the requirements for decision making; to explain the general approach that was taken in its development; and to address each of the issues which have been raised in the debate about the role of probabilistic sensitivity analysis in general. The most appropriate starting point for developing guidance is to establish what is required for decision making. On the basis of these requirements, the methods and framework of analysis which can best meet these needs can then be identified. It will be argued that the guidance on dealing with uncertainty and, in particular, the requirement for probabilistic sensitivity analysis, is justified by the requirements of the type of decisions that NICE is asked to make. Given this foundation, the main issues and criticisms raised during and after the consultation process are reviewed. Finally, some of the methodological challenges posed by the need fully to characterise decision uncertainty and to inform the research agenda will be identified and discussed.", "author" : [ { "dropping-particle" : "", "family" : "Claxton", "given" : "Karl", "non-dropping-particle" : "", "parse-names" : false, "suffix" : "" }, { "dropping-particle" : "", "family" : "Sculpher", "given" : "Mark", "non-dropping-particle" : "", "parse-names" : false, "suffix" : "" }, { "dropping-particle" : "", "family" : "McCabe", "given" : "Chris", "non-dropping-particle" : "", "parse-names" : false, "suffix" : "" }, { "dropping-particle" : "", "family" : "Briggs", "given" : "Andrew", "non-dropping-particle" : "", "parse-names" : false, "suffix" : "" }, { "dropping-particle" : "", "family" : "Akehurst", "given" : "Ron", "non-dropping-particle" : "", "parse-names" : false, "suffix" : "" }, { "dropping-particle" : "", "family" : "Buxton", "given" : "Martin", "non-dropping-particle" : "", "parse-names" : false, "suffix" : "" }, { "dropping-particle" : "", "family" : "Brazier", "given" : "John", "non-dropping-particle" : "", "parse-names" : false, "suffix" : "" }, { "dropping-particle" : "", "family" : "O'Hagan", "given" : "Tony", "non-dropping-particle" : "", "parse-names" : false, "suffix" : "" } ], "container-title" : "Health economics", "id" : "ITEM-2", "issue" : "4", "issued" : { "date-parts" : [ [ "2005", "4" ] ] }, "page" : "339-47", "title" : "Probabilistic sensitivity analysis for NICE technology assessment: not an optional extra.", "type" : "article-journal", "volume" : "14" }, "uris" : [ "http://www.mendeley.com/documents/?uuid=5990ecd1-56ea-4bf5-b684-aa9aee148da1" ] } ], "mendeley" : { "previouslyFormattedCitation" : "(1,2)" }, "properties" : { "noteIndex" : 0 }, "schema" : "https://github.com/citation-style-language/schema/raw/master/csl-citation.json" }</w:instrText>
      </w:r>
      <w:r w:rsidR="009E2AE4">
        <w:fldChar w:fldCharType="separate"/>
      </w:r>
      <w:r w:rsidR="000E7974" w:rsidRPr="000E7974">
        <w:rPr>
          <w:noProof/>
        </w:rPr>
        <w:t>(1,2)</w:t>
      </w:r>
      <w:r w:rsidR="009E2AE4">
        <w:fldChar w:fldCharType="end"/>
      </w:r>
      <w:r w:rsidR="00261C32">
        <w:t xml:space="preserve"> </w:t>
      </w:r>
      <w:r>
        <w:t xml:space="preserve">Where two or more parameters are known to be related in some way, this relationship needs to be reflected in the PSA estimates of these parameters. </w:t>
      </w:r>
      <w:r w:rsidR="00573178">
        <w:t>This paper discusses methods for handling one such type of relationship, namely parameters that are known or suspected to be monotonically related.</w:t>
      </w:r>
    </w:p>
    <w:p w:rsidR="00025316" w:rsidRDefault="00573178" w:rsidP="00025316">
      <w:pPr>
        <w:spacing w:line="480" w:lineRule="auto"/>
      </w:pPr>
      <w:r>
        <w:t xml:space="preserve">When two parameters X and Y are assumed to be monotonically related, the assumption is made that, though there is uncertainty about the true value of both X and Y individually, there is nevertheless a strong belief that the order of the two parameters is consistent, and that all estimates of X should be less than corresponding estimates of Y or vice-versa. </w:t>
      </w:r>
      <w:r w:rsidR="00587A6D">
        <w:t xml:space="preserve"> A common example of this </w:t>
      </w:r>
      <w:r>
        <w:t xml:space="preserve">in health economics is when modelling a disease which has a less severe state and a more severe state. </w:t>
      </w:r>
      <w:r w:rsidR="0031366F">
        <w:t xml:space="preserve">Assuming </w:t>
      </w:r>
      <w:r w:rsidR="0071048C">
        <w:t xml:space="preserve">no comorbidities, and that </w:t>
      </w:r>
      <w:r w:rsidR="0031366F">
        <w:t xml:space="preserve">both states were symptomatic, </w:t>
      </w:r>
      <w:r>
        <w:t>there are clinical reasons for having a strong belief that health related quality of life (</w:t>
      </w:r>
      <w:proofErr w:type="spellStart"/>
      <w:r>
        <w:t>HRQoL</w:t>
      </w:r>
      <w:proofErr w:type="spellEnd"/>
      <w:r>
        <w:t>) in the more severe state will be lower than in the less severe state</w:t>
      </w:r>
      <w:r w:rsidR="00FB6527">
        <w:t xml:space="preserve">. </w:t>
      </w:r>
      <w:r>
        <w:t xml:space="preserve">This paper </w:t>
      </w:r>
      <w:r w:rsidR="00FB6527">
        <w:t>compare</w:t>
      </w:r>
      <w:r>
        <w:t>s ten different methods for estimating PSA parameters where the monotonicity assumption applies for two parameters.</w:t>
      </w:r>
      <w:r w:rsidR="00025316">
        <w:t xml:space="preserve"> The inspiration for this paper was that we have observed authors of economic evaluations using naive and resampling approaches, which we show are inadequate for handing monotonicity in this context. </w:t>
      </w:r>
    </w:p>
    <w:p w:rsidR="00573178" w:rsidRDefault="00573178" w:rsidP="00D210AA">
      <w:pPr>
        <w:pStyle w:val="Heading2"/>
      </w:pPr>
      <w:r>
        <w:t>Classes of method</w:t>
      </w:r>
    </w:p>
    <w:p w:rsidR="0090309D" w:rsidRDefault="009B1933" w:rsidP="00047821">
      <w:pPr>
        <w:spacing w:line="480" w:lineRule="auto"/>
      </w:pPr>
      <w:r>
        <w:t xml:space="preserve">A systematic review of methods was not undertaken. Instead, the authors compiled a list of methods that they had personally undertaken, observed undertaken by modellers, or that appeared a potential solution. This produced a list of ten methods, which </w:t>
      </w:r>
      <w:r w:rsidR="0090309D">
        <w:t xml:space="preserve">fit broadly into one of </w:t>
      </w:r>
      <w:r>
        <w:t>four classes</w:t>
      </w:r>
      <w:r w:rsidR="0090309D">
        <w:t>:</w:t>
      </w:r>
    </w:p>
    <w:p w:rsidR="0090309D" w:rsidRDefault="0090309D" w:rsidP="00047821">
      <w:pPr>
        <w:pStyle w:val="ListParagraph"/>
        <w:numPr>
          <w:ilvl w:val="0"/>
          <w:numId w:val="6"/>
        </w:numPr>
        <w:spacing w:line="480" w:lineRule="auto"/>
      </w:pPr>
      <w:r w:rsidRPr="0090309D">
        <w:rPr>
          <w:b/>
        </w:rPr>
        <w:lastRenderedPageBreak/>
        <w:t>Naïve methods</w:t>
      </w:r>
      <w:r>
        <w:t xml:space="preserve"> (methods </w:t>
      </w:r>
      <w:r w:rsidR="00366FEC">
        <w:t>one</w:t>
      </w:r>
      <w:r>
        <w:t xml:space="preserve"> and </w:t>
      </w:r>
      <w:r w:rsidR="00366FEC">
        <w:t>two</w:t>
      </w:r>
      <w:r>
        <w:t>)</w:t>
      </w:r>
      <w:r w:rsidR="009B1933">
        <w:t>. A very naïve method is method one, independent sampling. A less naïve method is method two, in which the same random number approach is used</w:t>
      </w:r>
      <w:r>
        <w:t>;</w:t>
      </w:r>
    </w:p>
    <w:p w:rsidR="001021E8" w:rsidRDefault="0090309D" w:rsidP="00047821">
      <w:pPr>
        <w:pStyle w:val="ListParagraph"/>
        <w:numPr>
          <w:ilvl w:val="0"/>
          <w:numId w:val="6"/>
        </w:numPr>
        <w:spacing w:line="480" w:lineRule="auto"/>
      </w:pPr>
      <w:r w:rsidRPr="001021E8">
        <w:rPr>
          <w:b/>
        </w:rPr>
        <w:t xml:space="preserve">Resampling </w:t>
      </w:r>
      <w:r w:rsidR="001021E8" w:rsidRPr="001021E8">
        <w:rPr>
          <w:b/>
        </w:rPr>
        <w:t xml:space="preserve">and </w:t>
      </w:r>
      <w:r w:rsidR="001021E8">
        <w:rPr>
          <w:b/>
        </w:rPr>
        <w:t xml:space="preserve">replacement </w:t>
      </w:r>
      <w:r w:rsidRPr="001021E8">
        <w:rPr>
          <w:b/>
        </w:rPr>
        <w:t>methods</w:t>
      </w:r>
      <w:r>
        <w:t xml:space="preserve"> (methods </w:t>
      </w:r>
      <w:r w:rsidR="00366FEC">
        <w:t>three</w:t>
      </w:r>
      <w:r w:rsidR="00AB0860">
        <w:t xml:space="preserve"> to six</w:t>
      </w:r>
      <w:r>
        <w:t xml:space="preserve">), where draws from independent </w:t>
      </w:r>
      <w:r w:rsidR="001021E8">
        <w:t xml:space="preserve">distributions are either selectively resampled or replaced with </w:t>
      </w:r>
      <w:r w:rsidR="0031366F">
        <w:t>a value which ensures monotonicity</w:t>
      </w:r>
      <w:r w:rsidR="001021E8">
        <w:t>;</w:t>
      </w:r>
    </w:p>
    <w:p w:rsidR="001021E8" w:rsidRDefault="001021E8" w:rsidP="00047821">
      <w:pPr>
        <w:pStyle w:val="ListParagraph"/>
        <w:numPr>
          <w:ilvl w:val="0"/>
          <w:numId w:val="6"/>
        </w:numPr>
        <w:spacing w:line="480" w:lineRule="auto"/>
      </w:pPr>
      <w:r>
        <w:rPr>
          <w:b/>
        </w:rPr>
        <w:t>Multivariate model methods</w:t>
      </w:r>
      <w:r>
        <w:t xml:space="preserve"> (methods </w:t>
      </w:r>
      <w:r w:rsidR="00366FEC">
        <w:t>seven</w:t>
      </w:r>
      <w:r>
        <w:t xml:space="preserve">, </w:t>
      </w:r>
      <w:r w:rsidR="00366FEC">
        <w:t>eight</w:t>
      </w:r>
      <w:r>
        <w:t xml:space="preserve"> and </w:t>
      </w:r>
      <w:r w:rsidR="00366FEC">
        <w:t>nine</w:t>
      </w:r>
      <w:r>
        <w:t>), where the variables used in the PSA are</w:t>
      </w:r>
      <w:r w:rsidR="008C20E7">
        <w:t xml:space="preserve"> sampled</w:t>
      </w:r>
      <w:r>
        <w:t xml:space="preserve"> jointly from a multivariate model where a covariance </w:t>
      </w:r>
      <w:r w:rsidR="00975116">
        <w:t>between variables is explicitly specified;</w:t>
      </w:r>
    </w:p>
    <w:p w:rsidR="00975116" w:rsidRDefault="00975116" w:rsidP="00047821">
      <w:pPr>
        <w:pStyle w:val="ListParagraph"/>
        <w:numPr>
          <w:ilvl w:val="0"/>
          <w:numId w:val="6"/>
        </w:numPr>
        <w:spacing w:line="480" w:lineRule="auto"/>
      </w:pPr>
      <w:r>
        <w:rPr>
          <w:b/>
        </w:rPr>
        <w:t>Difference model methods</w:t>
      </w:r>
      <w:r>
        <w:t xml:space="preserve"> (method </w:t>
      </w:r>
      <w:r w:rsidR="00366FEC">
        <w:t>ten</w:t>
      </w:r>
      <w:r>
        <w:t>), where PSA draws for all but one of the variables are produced by adding a draw from a positively bounded distribution onto a draw for another distribution</w:t>
      </w:r>
    </w:p>
    <w:p w:rsidR="00345DD5" w:rsidRDefault="00573178" w:rsidP="00047821">
      <w:pPr>
        <w:spacing w:line="480" w:lineRule="auto"/>
      </w:pPr>
      <w:r>
        <w:t>Each method has access to the same basic summary statistics about the two parameters. These are the sample means and standard errors of each parameter. Although some methods involve assuming a correlation between</w:t>
      </w:r>
      <w:r w:rsidR="00345DD5">
        <w:t xml:space="preserve"> variables, the true correlation between parameters is not used </w:t>
      </w:r>
      <w:r w:rsidR="00175781">
        <w:t>by</w:t>
      </w:r>
      <w:r w:rsidR="00345DD5">
        <w:t xml:space="preserve"> any method, because it is not something that is commonly reported. The summary statistics reported are based on a dataset of hypothetical </w:t>
      </w:r>
      <w:r w:rsidR="009B1933">
        <w:t>IPD</w:t>
      </w:r>
      <w:r w:rsidR="00345DD5">
        <w:t xml:space="preserve">. This IPD reports the </w:t>
      </w:r>
      <w:proofErr w:type="spellStart"/>
      <w:r w:rsidR="00CF5DBC">
        <w:t>HRQoL</w:t>
      </w:r>
      <w:proofErr w:type="spellEnd"/>
      <w:r w:rsidR="00CF5DBC">
        <w:t xml:space="preserve"> for thirty patients with a hypothetical disease</w:t>
      </w:r>
      <w:r w:rsidR="00345DD5">
        <w:t xml:space="preserve"> which has two discrete states: moderate (U1), and severe (U2). It is assumed that there are no missing observations, i.e. that for each patient </w:t>
      </w:r>
      <w:proofErr w:type="gramStart"/>
      <w:r w:rsidR="00345DD5">
        <w:t>an</w:t>
      </w:r>
      <w:proofErr w:type="gramEnd"/>
      <w:r w:rsidR="00345DD5">
        <w:t xml:space="preserve"> </w:t>
      </w:r>
      <w:proofErr w:type="spellStart"/>
      <w:r w:rsidR="00345DD5">
        <w:t>HRQoL</w:t>
      </w:r>
      <w:proofErr w:type="spellEnd"/>
      <w:r w:rsidR="00345DD5">
        <w:t xml:space="preserve"> rating is reported when they were in the moderate state, and also when they were in the severe state. </w:t>
      </w:r>
    </w:p>
    <w:p w:rsidR="009041DA" w:rsidRDefault="00345DD5" w:rsidP="00047821">
      <w:pPr>
        <w:spacing w:line="480" w:lineRule="auto"/>
      </w:pPr>
      <w:r>
        <w:t>Because of the above assumptions, the ‘true’ joint uncertainty of the mean values of U1 and U2 can be determined using a bootstrapping procedure, in which the pairs of observations from each of the patients in the original dataset are repeat</w:t>
      </w:r>
      <w:r w:rsidR="00025316">
        <w:t xml:space="preserve">edly resampled with replacement, and the joint mean scores of U1 and U2 recorded. Doing this 1,000 times produces a set of PSA </w:t>
      </w:r>
      <w:r w:rsidR="0055628C">
        <w:t xml:space="preserve">results </w:t>
      </w:r>
      <w:r w:rsidR="009B1933">
        <w:t xml:space="preserve">that were considered a gold standard </w:t>
      </w:r>
      <w:r w:rsidR="00025316">
        <w:t xml:space="preserve">against which the PSA produced by each of the methods can be </w:t>
      </w:r>
      <w:r w:rsidR="00025316">
        <w:lastRenderedPageBreak/>
        <w:t>compared. In general, the more similar the PSA produced by one of the methods is to that produced by the bootstrapping procedure, the more appropriate it should be considered to be for handling this form of monotonicity.</w:t>
      </w:r>
      <w:r w:rsidR="009041DA">
        <w:t xml:space="preserve"> </w:t>
      </w:r>
    </w:p>
    <w:p w:rsidR="0064679C" w:rsidRPr="0064679C" w:rsidRDefault="004E5985" w:rsidP="00047821">
      <w:pPr>
        <w:pStyle w:val="Heading1"/>
      </w:pPr>
      <w:r>
        <w:t>Method</w:t>
      </w:r>
    </w:p>
    <w:p w:rsidR="00430AB7" w:rsidRDefault="004E5985" w:rsidP="00D210AA">
      <w:pPr>
        <w:pStyle w:val="Heading2"/>
      </w:pPr>
      <w:r>
        <w:t>Simulated Data</w:t>
      </w:r>
      <w:r w:rsidR="00F7190D">
        <w:t xml:space="preserve"> for main analysis</w:t>
      </w:r>
    </w:p>
    <w:p w:rsidR="006C78E2" w:rsidRDefault="00DD41F7" w:rsidP="00047821">
      <w:pPr>
        <w:spacing w:line="480" w:lineRule="auto"/>
      </w:pPr>
      <w:r>
        <w:t xml:space="preserve">The individual patient data </w:t>
      </w:r>
      <w:r w:rsidR="009143A3">
        <w:t xml:space="preserve">(IPD) </w:t>
      </w:r>
      <w:r>
        <w:t xml:space="preserve">are </w:t>
      </w:r>
      <w:r w:rsidR="0071048C">
        <w:t xml:space="preserve">provided </w:t>
      </w:r>
      <w:r w:rsidR="006C78E2">
        <w:t xml:space="preserve">in the appendix </w:t>
      </w:r>
      <w:r>
        <w:t xml:space="preserve">in </w:t>
      </w:r>
      <w:r w:rsidR="009E2AE4">
        <w:fldChar w:fldCharType="begin"/>
      </w:r>
      <w:r>
        <w:instrText xml:space="preserve"> REF _Ref338767681 \h </w:instrText>
      </w:r>
      <w:r w:rsidR="00047821">
        <w:instrText xml:space="preserve"> \* MERGEFORMAT </w:instrText>
      </w:r>
      <w:r w:rsidR="009E2AE4">
        <w:fldChar w:fldCharType="separate"/>
      </w:r>
      <w:r>
        <w:t xml:space="preserve">Table </w:t>
      </w:r>
      <w:r>
        <w:rPr>
          <w:noProof/>
        </w:rPr>
        <w:t>1</w:t>
      </w:r>
      <w:r w:rsidR="009E2AE4">
        <w:fldChar w:fldCharType="end"/>
      </w:r>
      <w:r>
        <w:t xml:space="preserve">, and the corresponding scatter plot for these data </w:t>
      </w:r>
      <w:r w:rsidR="0071048C">
        <w:t xml:space="preserve">is </w:t>
      </w:r>
      <w:r>
        <w:t xml:space="preserve">shown in </w:t>
      </w:r>
      <w:r w:rsidR="009E2AE4">
        <w:fldChar w:fldCharType="begin"/>
      </w:r>
      <w:r w:rsidR="003B2A39">
        <w:instrText xml:space="preserve"> REF _Ref323290699 \h </w:instrText>
      </w:r>
      <w:r w:rsidR="00047821">
        <w:instrText xml:space="preserve"> \* MERGEFORMAT </w:instrText>
      </w:r>
      <w:r w:rsidR="009E2AE4">
        <w:fldChar w:fldCharType="separate"/>
      </w:r>
      <w:r w:rsidR="003B2A39">
        <w:t xml:space="preserve">Figure </w:t>
      </w:r>
      <w:r w:rsidR="003B2A39">
        <w:rPr>
          <w:noProof/>
        </w:rPr>
        <w:t>1</w:t>
      </w:r>
      <w:r w:rsidR="009E2AE4">
        <w:fldChar w:fldCharType="end"/>
      </w:r>
      <w:r w:rsidR="003B2A39">
        <w:t xml:space="preserve">. </w:t>
      </w:r>
      <w:r w:rsidR="0071048C">
        <w:t>Note that monotonicity applies in all cases as all points are below the diagonal line</w:t>
      </w:r>
      <w:r w:rsidR="00F7190D">
        <w:t>.</w:t>
      </w:r>
    </w:p>
    <w:p w:rsidR="0028566C" w:rsidRDefault="00DA2697" w:rsidP="00047821">
      <w:pPr>
        <w:keepNext/>
        <w:spacing w:line="480" w:lineRule="auto"/>
      </w:pPr>
      <w:r>
        <w:rPr>
          <w:noProof/>
        </w:rPr>
        <w:drawing>
          <wp:inline distT="0" distB="0" distL="0" distR="0" wp14:anchorId="657776A4" wp14:editId="330F63FF">
            <wp:extent cx="4300174" cy="4293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300174" cy="4293704"/>
                    </a:xfrm>
                    <a:prstGeom prst="rect">
                      <a:avLst/>
                    </a:prstGeom>
                  </pic:spPr>
                </pic:pic>
              </a:graphicData>
            </a:graphic>
          </wp:inline>
        </w:drawing>
      </w:r>
    </w:p>
    <w:p w:rsidR="0028566C" w:rsidRDefault="0028566C" w:rsidP="00047821">
      <w:pPr>
        <w:pStyle w:val="Caption"/>
        <w:spacing w:line="480" w:lineRule="auto"/>
      </w:pPr>
      <w:bookmarkStart w:id="0" w:name="_Ref323290699"/>
      <w:r>
        <w:t xml:space="preserve">Figure </w:t>
      </w:r>
      <w:fldSimple w:instr=" SEQ Figure \* ARABIC ">
        <w:r w:rsidR="00F2589E">
          <w:rPr>
            <w:noProof/>
          </w:rPr>
          <w:t>1</w:t>
        </w:r>
      </w:fldSimple>
      <w:bookmarkEnd w:id="0"/>
      <w:r>
        <w:t xml:space="preserve"> A plot of the simulated individual patient data</w:t>
      </w:r>
    </w:p>
    <w:p w:rsidR="006C78E2" w:rsidRDefault="006C78E2" w:rsidP="00D210AA">
      <w:pPr>
        <w:pStyle w:val="Heading2"/>
      </w:pPr>
      <w:r>
        <w:lastRenderedPageBreak/>
        <w:t>Bootstrapped estimates of means</w:t>
      </w:r>
    </w:p>
    <w:p w:rsidR="00DD41F7" w:rsidRDefault="00025316" w:rsidP="00047821">
      <w:pPr>
        <w:spacing w:line="480" w:lineRule="auto"/>
      </w:pPr>
      <w:r>
        <w:t xml:space="preserve">PSA usually aims to represent uncertainty about the mean value of a parameter, rather than the full distribution of that parameter. To do this with IPD, a bootstrapping procedure was </w:t>
      </w:r>
      <w:r w:rsidR="00022242">
        <w:t xml:space="preserve">used. </w:t>
      </w:r>
      <w:r w:rsidR="0071048C">
        <w:t>T</w:t>
      </w:r>
      <w:r w:rsidR="008C6FB9">
        <w:t xml:space="preserve">his produced the data </w:t>
      </w:r>
      <w:r w:rsidR="00DD41F7">
        <w:t xml:space="preserve">shown in </w:t>
      </w:r>
      <w:r w:rsidR="009E2AE4">
        <w:fldChar w:fldCharType="begin"/>
      </w:r>
      <w:r w:rsidR="00DD41F7">
        <w:instrText xml:space="preserve"> REF _Ref338767895 \h </w:instrText>
      </w:r>
      <w:r w:rsidR="00047821">
        <w:instrText xml:space="preserve"> \* MERGEFORMAT </w:instrText>
      </w:r>
      <w:r w:rsidR="009E2AE4">
        <w:fldChar w:fldCharType="separate"/>
      </w:r>
      <w:r w:rsidR="00DD41F7">
        <w:t xml:space="preserve">Figure </w:t>
      </w:r>
      <w:r w:rsidR="00DD41F7">
        <w:rPr>
          <w:noProof/>
        </w:rPr>
        <w:t>2</w:t>
      </w:r>
      <w:r w:rsidR="009E2AE4">
        <w:fldChar w:fldCharType="end"/>
      </w:r>
      <w:r w:rsidR="008C6FB9">
        <w:t>.</w:t>
      </w:r>
      <w:r w:rsidR="00573694">
        <w:t xml:space="preserve"> </w:t>
      </w:r>
      <w:r w:rsidR="00022242">
        <w:t>In this figure,</w:t>
      </w:r>
      <w:r w:rsidR="00197741">
        <w:t xml:space="preserve"> no estimate of U1 is less than t</w:t>
      </w:r>
      <w:r w:rsidR="00022242">
        <w:t>he corresponding estimate of U2.</w:t>
      </w:r>
      <w:r w:rsidR="00197741">
        <w:t xml:space="preserve"> </w:t>
      </w:r>
      <w:r w:rsidR="0071048C">
        <w:t>T</w:t>
      </w:r>
      <w:r w:rsidR="00197741">
        <w:t>he two</w:t>
      </w:r>
      <w:r w:rsidR="0028566C">
        <w:t xml:space="preserve"> means are strongly</w:t>
      </w:r>
      <w:r w:rsidR="008C20E7">
        <w:t xml:space="preserve"> but not perfectly</w:t>
      </w:r>
      <w:r w:rsidR="0028566C">
        <w:t xml:space="preserve"> correlated (r= 0.97)</w:t>
      </w:r>
      <w:r w:rsidR="00197741">
        <w:t>. Because of this, there is some variability in the differences between the two estimates, U1 – U2. This shows that simply adding E(U1) – E(U2), i.e. 0.60</w:t>
      </w:r>
      <w:r w:rsidR="00084D3F">
        <w:t>0</w:t>
      </w:r>
      <w:r w:rsidR="00197741">
        <w:t xml:space="preserve"> – 0.5</w:t>
      </w:r>
      <w:r w:rsidR="00084D3F">
        <w:t>42</w:t>
      </w:r>
      <w:r w:rsidR="00197741">
        <w:t xml:space="preserve"> = 0.05</w:t>
      </w:r>
      <w:r w:rsidR="00084D3F">
        <w:t>8</w:t>
      </w:r>
      <w:r w:rsidR="00197741">
        <w:t>, onto the PSA estimates of U2 to producing corresponding PSA estimates of U1 would not accurately represent the uncertainty in the differences between U1 and U2.</w:t>
      </w:r>
    </w:p>
    <w:p w:rsidR="00DD41F7" w:rsidRDefault="00707C32" w:rsidP="00047821">
      <w:pPr>
        <w:keepNext/>
        <w:spacing w:line="480" w:lineRule="auto"/>
      </w:pPr>
      <w:r>
        <w:rPr>
          <w:noProof/>
        </w:rPr>
        <w:drawing>
          <wp:inline distT="0" distB="0" distL="0" distR="0" wp14:anchorId="707BEF1F" wp14:editId="5D916F06">
            <wp:extent cx="4172762" cy="41664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172762" cy="4166484"/>
                    </a:xfrm>
                    <a:prstGeom prst="rect">
                      <a:avLst/>
                    </a:prstGeom>
                  </pic:spPr>
                </pic:pic>
              </a:graphicData>
            </a:graphic>
          </wp:inline>
        </w:drawing>
      </w:r>
    </w:p>
    <w:p w:rsidR="00DD41F7" w:rsidRDefault="00DD41F7" w:rsidP="00047821">
      <w:pPr>
        <w:pStyle w:val="Caption"/>
        <w:spacing w:line="480" w:lineRule="auto"/>
      </w:pPr>
      <w:bookmarkStart w:id="1" w:name="_Ref338767895"/>
      <w:r>
        <w:t xml:space="preserve">Figure </w:t>
      </w:r>
      <w:r w:rsidR="009E2AE4">
        <w:fldChar w:fldCharType="begin"/>
      </w:r>
      <w:r>
        <w:instrText xml:space="preserve"> SEQ Figure \* ARABIC </w:instrText>
      </w:r>
      <w:r w:rsidR="009E2AE4">
        <w:fldChar w:fldCharType="separate"/>
      </w:r>
      <w:r w:rsidR="00F2589E">
        <w:rPr>
          <w:noProof/>
        </w:rPr>
        <w:t>2</w:t>
      </w:r>
      <w:r w:rsidR="009E2AE4">
        <w:fldChar w:fldCharType="end"/>
      </w:r>
      <w:bookmarkEnd w:id="1"/>
      <w:r>
        <w:t xml:space="preserve"> Scatterplot of 1000 PSA draws of the joint means of U1 and U2 produced by bootstrapping the IPD in table 1</w:t>
      </w:r>
    </w:p>
    <w:p w:rsidR="009143A3" w:rsidRDefault="009143A3" w:rsidP="00D210AA">
      <w:pPr>
        <w:pStyle w:val="Heading2"/>
      </w:pPr>
      <w:r>
        <w:lastRenderedPageBreak/>
        <w:t>Summary statistics</w:t>
      </w:r>
      <w:r w:rsidR="00F7190D">
        <w:t xml:space="preserve"> for main analysis</w:t>
      </w:r>
    </w:p>
    <w:p w:rsidR="003A0530" w:rsidRPr="003A0530" w:rsidRDefault="00022242" w:rsidP="00047821">
      <w:pPr>
        <w:spacing w:line="480" w:lineRule="auto"/>
      </w:pPr>
      <w:r>
        <w:t xml:space="preserve">Only </w:t>
      </w:r>
      <w:proofErr w:type="spellStart"/>
      <w:r>
        <w:t>univariate</w:t>
      </w:r>
      <w:proofErr w:type="spellEnd"/>
      <w:r>
        <w:t xml:space="preserve"> summary statistics are assumed to be available to the health economic modeller. This is the information presented in </w:t>
      </w:r>
      <w:r w:rsidR="009E2AE4">
        <w:fldChar w:fldCharType="begin"/>
      </w:r>
      <w:r w:rsidR="00DD41F7">
        <w:instrText xml:space="preserve"> REF _Ref323290936 \h </w:instrText>
      </w:r>
      <w:r w:rsidR="00047821">
        <w:instrText xml:space="preserve"> \* MERGEFORMAT </w:instrText>
      </w:r>
      <w:r w:rsidR="009E2AE4">
        <w:fldChar w:fldCharType="separate"/>
      </w:r>
      <w:r w:rsidR="00DD41F7">
        <w:t xml:space="preserve">Table </w:t>
      </w:r>
      <w:r w:rsidR="00DD41F7">
        <w:rPr>
          <w:noProof/>
        </w:rPr>
        <w:t>2</w:t>
      </w:r>
      <w:r w:rsidR="009E2AE4">
        <w:fldChar w:fldCharType="end"/>
      </w:r>
      <w:r w:rsidR="00DD41F7">
        <w:t xml:space="preserve">. </w:t>
      </w:r>
      <w:r>
        <w:t>In addition to this, the modeller has a strong belief that U1 should be less than U2, but otherwise no further information is available.</w:t>
      </w:r>
      <w:r w:rsidR="00DD41F7">
        <w:t xml:space="preserve"> </w:t>
      </w:r>
    </w:p>
    <w:tbl>
      <w:tblPr>
        <w:tblStyle w:val="TableGrid"/>
        <w:tblW w:w="0" w:type="auto"/>
        <w:tblLook w:val="04A0" w:firstRow="1" w:lastRow="0" w:firstColumn="1" w:lastColumn="0" w:noHBand="0" w:noVBand="1"/>
      </w:tblPr>
      <w:tblGrid>
        <w:gridCol w:w="2093"/>
        <w:gridCol w:w="1559"/>
        <w:gridCol w:w="1559"/>
      </w:tblGrid>
      <w:tr w:rsidR="00900EF8" w:rsidTr="00BE3F5D">
        <w:tc>
          <w:tcPr>
            <w:tcW w:w="2093" w:type="dxa"/>
          </w:tcPr>
          <w:p w:rsidR="00900EF8" w:rsidRDefault="00900EF8" w:rsidP="00047821">
            <w:pPr>
              <w:spacing w:line="480" w:lineRule="auto"/>
            </w:pPr>
          </w:p>
        </w:tc>
        <w:tc>
          <w:tcPr>
            <w:tcW w:w="1559" w:type="dxa"/>
          </w:tcPr>
          <w:p w:rsidR="00900EF8" w:rsidRPr="00900EF8" w:rsidRDefault="00900EF8" w:rsidP="00047821">
            <w:pPr>
              <w:spacing w:line="480" w:lineRule="auto"/>
              <w:rPr>
                <w:b/>
              </w:rPr>
            </w:pPr>
            <w:r w:rsidRPr="00900EF8">
              <w:rPr>
                <w:b/>
              </w:rPr>
              <w:t>U1</w:t>
            </w:r>
          </w:p>
        </w:tc>
        <w:tc>
          <w:tcPr>
            <w:tcW w:w="1559" w:type="dxa"/>
          </w:tcPr>
          <w:p w:rsidR="00900EF8" w:rsidRPr="00900EF8" w:rsidRDefault="00900EF8" w:rsidP="00047821">
            <w:pPr>
              <w:spacing w:line="480" w:lineRule="auto"/>
              <w:rPr>
                <w:b/>
              </w:rPr>
            </w:pPr>
            <w:r w:rsidRPr="00900EF8">
              <w:rPr>
                <w:b/>
              </w:rPr>
              <w:t>U2</w:t>
            </w:r>
          </w:p>
        </w:tc>
      </w:tr>
      <w:tr w:rsidR="00900EF8" w:rsidTr="00BE3F5D">
        <w:tc>
          <w:tcPr>
            <w:tcW w:w="2093" w:type="dxa"/>
          </w:tcPr>
          <w:p w:rsidR="00900EF8" w:rsidRDefault="00513D80" w:rsidP="00047821">
            <w:pPr>
              <w:spacing w:line="480" w:lineRule="auto"/>
            </w:pPr>
            <w:r>
              <w:t>Sample mean</w:t>
            </w:r>
          </w:p>
        </w:tc>
        <w:tc>
          <w:tcPr>
            <w:tcW w:w="1559" w:type="dxa"/>
          </w:tcPr>
          <w:p w:rsidR="00900EF8" w:rsidRDefault="00900EF8" w:rsidP="00047821">
            <w:pPr>
              <w:spacing w:line="480" w:lineRule="auto"/>
            </w:pPr>
            <w:r>
              <w:t>0.60</w:t>
            </w:r>
            <w:r w:rsidR="008C20E7">
              <w:t>0</w:t>
            </w:r>
          </w:p>
        </w:tc>
        <w:tc>
          <w:tcPr>
            <w:tcW w:w="1559" w:type="dxa"/>
          </w:tcPr>
          <w:p w:rsidR="00900EF8" w:rsidRDefault="00900EF8" w:rsidP="00047821">
            <w:pPr>
              <w:spacing w:line="480" w:lineRule="auto"/>
            </w:pPr>
            <w:r>
              <w:t>0</w:t>
            </w:r>
            <w:r w:rsidR="00707C32">
              <w:t>.542</w:t>
            </w:r>
          </w:p>
        </w:tc>
      </w:tr>
      <w:tr w:rsidR="00900EF8" w:rsidTr="00BE3F5D">
        <w:tc>
          <w:tcPr>
            <w:tcW w:w="2093" w:type="dxa"/>
          </w:tcPr>
          <w:p w:rsidR="00900EF8" w:rsidRDefault="00900EF8" w:rsidP="00047821">
            <w:pPr>
              <w:spacing w:line="480" w:lineRule="auto"/>
            </w:pPr>
            <w:r>
              <w:t>95% confidence interval of mean</w:t>
            </w:r>
          </w:p>
        </w:tc>
        <w:tc>
          <w:tcPr>
            <w:tcW w:w="1559" w:type="dxa"/>
          </w:tcPr>
          <w:p w:rsidR="00900EF8" w:rsidRDefault="00900EF8" w:rsidP="00047821">
            <w:pPr>
              <w:spacing w:line="480" w:lineRule="auto"/>
            </w:pPr>
            <w:r>
              <w:t>0.555 to 0.644</w:t>
            </w:r>
          </w:p>
        </w:tc>
        <w:tc>
          <w:tcPr>
            <w:tcW w:w="1559" w:type="dxa"/>
          </w:tcPr>
          <w:p w:rsidR="00900EF8" w:rsidRDefault="00900EF8" w:rsidP="00047821">
            <w:pPr>
              <w:keepNext/>
              <w:spacing w:line="480" w:lineRule="auto"/>
            </w:pPr>
            <w:r>
              <w:t>0.</w:t>
            </w:r>
            <w:r w:rsidR="00707C32">
              <w:t>494</w:t>
            </w:r>
            <w:r>
              <w:t xml:space="preserve"> to 0.59</w:t>
            </w:r>
            <w:r w:rsidR="00707C32">
              <w:t>0</w:t>
            </w:r>
          </w:p>
        </w:tc>
      </w:tr>
    </w:tbl>
    <w:p w:rsidR="00900EF8" w:rsidRDefault="00900EF8" w:rsidP="00047821">
      <w:pPr>
        <w:pStyle w:val="Caption"/>
        <w:spacing w:line="480" w:lineRule="auto"/>
      </w:pPr>
      <w:bookmarkStart w:id="2" w:name="_Ref323290936"/>
      <w:r>
        <w:t xml:space="preserve">Table </w:t>
      </w:r>
      <w:fldSimple w:instr=" SEQ Table \* ARABIC ">
        <w:r w:rsidR="006E6329">
          <w:rPr>
            <w:noProof/>
          </w:rPr>
          <w:t>1</w:t>
        </w:r>
      </w:fldSimple>
      <w:bookmarkEnd w:id="2"/>
      <w:r>
        <w:t xml:space="preserve"> </w:t>
      </w:r>
      <w:proofErr w:type="gramStart"/>
      <w:r>
        <w:t>The</w:t>
      </w:r>
      <w:proofErr w:type="gramEnd"/>
      <w:r>
        <w:t xml:space="preserve"> assumed available summary data</w:t>
      </w:r>
      <w:r w:rsidR="003A0530">
        <w:t>. This is assumed to be the only information available to the modeller</w:t>
      </w:r>
    </w:p>
    <w:p w:rsidR="00F7190D" w:rsidRDefault="00F7190D" w:rsidP="009B1933">
      <w:pPr>
        <w:pStyle w:val="Heading2"/>
      </w:pPr>
      <w:r>
        <w:t>Summary statistics of supplementary analysis</w:t>
      </w:r>
    </w:p>
    <w:p w:rsidR="00F7190D" w:rsidRDefault="00F7190D" w:rsidP="00F7190D">
      <w:pPr>
        <w:spacing w:line="480" w:lineRule="auto"/>
      </w:pPr>
      <w:r>
        <w:t xml:space="preserve">A supplementary analysis was conducted for those methods shown in the primary analysis to produce appropriate results. In this supplementary analysis, it was assumed that estimates for the mean value of U1 and U2 were based on different populations. In our example, U1 is drawn from 80 patients and U2 is drawn from 15 different patients. For example, all 95 patients may be suffering from the same disease, but the 80 patients used to inform the U1 estimate are in a non-progressed state, and the 15 patients are in the progressed state. Neither the U1 values of the 15 patients when they were in the non-progressed state nor the U2 values of 80 patients when (or if) they will be in the progressed states are known. </w:t>
      </w:r>
      <w:commentRangeStart w:id="3"/>
      <w:r>
        <w:t xml:space="preserve">The summary data available are shown in </w:t>
      </w:r>
      <w:r>
        <w:fldChar w:fldCharType="begin"/>
      </w:r>
      <w:r>
        <w:instrText xml:space="preserve"> REF _Ref343527672 \h  \* MERGEFORMAT </w:instrText>
      </w:r>
      <w:r>
        <w:fldChar w:fldCharType="separate"/>
      </w:r>
      <w:r>
        <w:t>Table 2</w:t>
      </w:r>
      <w:r>
        <w:fldChar w:fldCharType="end"/>
      </w:r>
      <w:commentRangeEnd w:id="3"/>
      <w:r w:rsidR="009B1933">
        <w:rPr>
          <w:rStyle w:val="CommentReference"/>
        </w:rPr>
        <w:commentReference w:id="3"/>
      </w:r>
      <w:r>
        <w:t>.</w:t>
      </w:r>
    </w:p>
    <w:tbl>
      <w:tblPr>
        <w:tblStyle w:val="TableGrid"/>
        <w:tblW w:w="0" w:type="auto"/>
        <w:tblLook w:val="04A0" w:firstRow="1" w:lastRow="0" w:firstColumn="1" w:lastColumn="0" w:noHBand="0" w:noVBand="1"/>
      </w:tblPr>
      <w:tblGrid>
        <w:gridCol w:w="2093"/>
        <w:gridCol w:w="1559"/>
        <w:gridCol w:w="1559"/>
      </w:tblGrid>
      <w:tr w:rsidR="00F7190D" w:rsidTr="00F2589E">
        <w:tc>
          <w:tcPr>
            <w:tcW w:w="2093" w:type="dxa"/>
          </w:tcPr>
          <w:p w:rsidR="00F7190D" w:rsidRDefault="00F7190D" w:rsidP="00F2589E"/>
        </w:tc>
        <w:tc>
          <w:tcPr>
            <w:tcW w:w="1559" w:type="dxa"/>
          </w:tcPr>
          <w:p w:rsidR="00F7190D" w:rsidRPr="00900EF8" w:rsidRDefault="00F7190D" w:rsidP="00F2589E">
            <w:pPr>
              <w:rPr>
                <w:b/>
              </w:rPr>
            </w:pPr>
            <w:r w:rsidRPr="00900EF8">
              <w:rPr>
                <w:b/>
              </w:rPr>
              <w:t>U1</w:t>
            </w:r>
          </w:p>
        </w:tc>
        <w:tc>
          <w:tcPr>
            <w:tcW w:w="1559" w:type="dxa"/>
          </w:tcPr>
          <w:p w:rsidR="00F7190D" w:rsidRPr="00900EF8" w:rsidRDefault="00F7190D" w:rsidP="00F2589E">
            <w:pPr>
              <w:rPr>
                <w:b/>
              </w:rPr>
            </w:pPr>
            <w:r w:rsidRPr="00900EF8">
              <w:rPr>
                <w:b/>
              </w:rPr>
              <w:t>U2</w:t>
            </w:r>
          </w:p>
        </w:tc>
      </w:tr>
      <w:tr w:rsidR="00F7190D" w:rsidTr="00F2589E">
        <w:tc>
          <w:tcPr>
            <w:tcW w:w="2093" w:type="dxa"/>
          </w:tcPr>
          <w:p w:rsidR="00F7190D" w:rsidRDefault="00F7190D" w:rsidP="00F2589E">
            <w:r>
              <w:t>Sample size</w:t>
            </w:r>
          </w:p>
        </w:tc>
        <w:tc>
          <w:tcPr>
            <w:tcW w:w="1559" w:type="dxa"/>
          </w:tcPr>
          <w:p w:rsidR="00F7190D" w:rsidRDefault="00F7190D" w:rsidP="00F2589E">
            <w:r>
              <w:t>80</w:t>
            </w:r>
          </w:p>
        </w:tc>
        <w:tc>
          <w:tcPr>
            <w:tcW w:w="1559" w:type="dxa"/>
          </w:tcPr>
          <w:p w:rsidR="00F7190D" w:rsidRDefault="00F7190D" w:rsidP="00F2589E">
            <w:r>
              <w:t>15</w:t>
            </w:r>
          </w:p>
        </w:tc>
      </w:tr>
      <w:tr w:rsidR="00F7190D" w:rsidTr="00F2589E">
        <w:tc>
          <w:tcPr>
            <w:tcW w:w="2093" w:type="dxa"/>
          </w:tcPr>
          <w:p w:rsidR="00F7190D" w:rsidRDefault="00F7190D" w:rsidP="00F2589E">
            <w:r>
              <w:t>Sample mean</w:t>
            </w:r>
          </w:p>
        </w:tc>
        <w:tc>
          <w:tcPr>
            <w:tcW w:w="1559" w:type="dxa"/>
          </w:tcPr>
          <w:p w:rsidR="00F7190D" w:rsidRDefault="00F7190D" w:rsidP="00F2589E">
            <w:r>
              <w:t>0.600</w:t>
            </w:r>
          </w:p>
        </w:tc>
        <w:tc>
          <w:tcPr>
            <w:tcW w:w="1559" w:type="dxa"/>
          </w:tcPr>
          <w:p w:rsidR="00F7190D" w:rsidRDefault="00F7190D" w:rsidP="00F2589E">
            <w:r>
              <w:t>0.542</w:t>
            </w:r>
          </w:p>
        </w:tc>
      </w:tr>
      <w:tr w:rsidR="00F7190D" w:rsidTr="00F2589E">
        <w:trPr>
          <w:trHeight w:val="211"/>
        </w:trPr>
        <w:tc>
          <w:tcPr>
            <w:tcW w:w="2093" w:type="dxa"/>
          </w:tcPr>
          <w:p w:rsidR="00F7190D" w:rsidRDefault="00F7190D" w:rsidP="00F2589E">
            <w:r>
              <w:t>Standard deviation</w:t>
            </w:r>
          </w:p>
        </w:tc>
        <w:tc>
          <w:tcPr>
            <w:tcW w:w="1559" w:type="dxa"/>
          </w:tcPr>
          <w:p w:rsidR="00F7190D" w:rsidRDefault="00F7190D" w:rsidP="00F2589E">
            <w:r>
              <w:t>0.100</w:t>
            </w:r>
          </w:p>
        </w:tc>
        <w:tc>
          <w:tcPr>
            <w:tcW w:w="1559" w:type="dxa"/>
          </w:tcPr>
          <w:p w:rsidR="00F7190D" w:rsidRDefault="00F7190D" w:rsidP="00F2589E">
            <w:pPr>
              <w:keepNext/>
            </w:pPr>
            <w:r>
              <w:t>0.120</w:t>
            </w:r>
          </w:p>
        </w:tc>
      </w:tr>
      <w:tr w:rsidR="00F7190D" w:rsidTr="00F2589E">
        <w:tc>
          <w:tcPr>
            <w:tcW w:w="2093" w:type="dxa"/>
          </w:tcPr>
          <w:p w:rsidR="00F7190D" w:rsidRDefault="00F7190D" w:rsidP="00F2589E">
            <w:r>
              <w:t>Standard error</w:t>
            </w:r>
          </w:p>
        </w:tc>
        <w:tc>
          <w:tcPr>
            <w:tcW w:w="1559" w:type="dxa"/>
          </w:tcPr>
          <w:p w:rsidR="00F7190D" w:rsidRDefault="00F7190D" w:rsidP="00F2589E">
            <w:r>
              <w:t>0.011</w:t>
            </w:r>
          </w:p>
        </w:tc>
        <w:tc>
          <w:tcPr>
            <w:tcW w:w="1559" w:type="dxa"/>
          </w:tcPr>
          <w:p w:rsidR="00F7190D" w:rsidRDefault="00F7190D" w:rsidP="00F2589E">
            <w:pPr>
              <w:keepNext/>
            </w:pPr>
            <w:r>
              <w:t>0.038</w:t>
            </w:r>
          </w:p>
        </w:tc>
      </w:tr>
    </w:tbl>
    <w:p w:rsidR="00F7190D" w:rsidRDefault="00F7190D" w:rsidP="00F7190D">
      <w:pPr>
        <w:pStyle w:val="Caption"/>
      </w:pPr>
      <w:bookmarkStart w:id="4" w:name="_Ref343527672"/>
      <w:r>
        <w:t xml:space="preserve">Table </w:t>
      </w:r>
      <w:fldSimple w:instr=" SEQ Table \* ARABIC ">
        <w:r>
          <w:rPr>
            <w:noProof/>
          </w:rPr>
          <w:t>2</w:t>
        </w:r>
      </w:fldSimple>
      <w:bookmarkEnd w:id="4"/>
      <w:r>
        <w:t xml:space="preserve"> Assumed summary data available in supplementary analysis. </w:t>
      </w:r>
    </w:p>
    <w:p w:rsidR="00F7190D" w:rsidRPr="003A01DA" w:rsidRDefault="00F7190D" w:rsidP="00F7190D">
      <w:pPr>
        <w:spacing w:line="480" w:lineRule="auto"/>
      </w:pPr>
      <w:r>
        <w:t xml:space="preserve">The supplementary analysis represents a situation often encountered by modellers, in which the smaller sample size of one or more of the distributions means that the confidence intervals of </w:t>
      </w:r>
      <w:proofErr w:type="gramStart"/>
      <w:r>
        <w:lastRenderedPageBreak/>
        <w:t>standard</w:t>
      </w:r>
      <w:proofErr w:type="gramEnd"/>
      <w:r>
        <w:t xml:space="preserve"> errors will overlap even though there are strong clinical reasons to believe the monotonicity assumption is correct. </w:t>
      </w:r>
    </w:p>
    <w:p w:rsidR="00284FC4" w:rsidRDefault="001D7B8E" w:rsidP="00D210AA">
      <w:pPr>
        <w:pStyle w:val="Heading2"/>
      </w:pPr>
      <w:r>
        <w:t xml:space="preserve">The </w:t>
      </w:r>
      <w:proofErr w:type="spellStart"/>
      <w:r>
        <w:t>Montonicity</w:t>
      </w:r>
      <w:proofErr w:type="spellEnd"/>
      <w:r>
        <w:t xml:space="preserve"> Assumption</w:t>
      </w:r>
    </w:p>
    <w:p w:rsidR="00F74533" w:rsidRDefault="00022242" w:rsidP="00047821">
      <w:pPr>
        <w:spacing w:line="480" w:lineRule="auto"/>
        <w:rPr>
          <w:rFonts w:cstheme="minorHAnsi"/>
        </w:rPr>
      </w:pPr>
      <w:r>
        <w:t>The monotonicity assumption can be formally stated as follows: I</w:t>
      </w:r>
      <w:r w:rsidR="00F74533">
        <w:t xml:space="preserve">f there are M runs within the PSA, and the subscript </w:t>
      </w:r>
      <w:proofErr w:type="spellStart"/>
      <w:r w:rsidR="00F74533">
        <w:t>i</w:t>
      </w:r>
      <w:proofErr w:type="spellEnd"/>
      <w:r w:rsidR="00F74533">
        <w:t xml:space="preserve"> defines predicted values from the </w:t>
      </w:r>
      <w:proofErr w:type="spellStart"/>
      <w:r w:rsidR="00F74533">
        <w:t>ith</w:t>
      </w:r>
      <w:proofErr w:type="spellEnd"/>
      <w:r w:rsidR="00F74533">
        <w:t xml:space="preserve"> run, then U1</w:t>
      </w:r>
      <w:r w:rsidR="00F74533" w:rsidRPr="00F74533">
        <w:rPr>
          <w:vertAlign w:val="subscript"/>
        </w:rPr>
        <w:t>i</w:t>
      </w:r>
      <w:r w:rsidR="00F74533">
        <w:t xml:space="preserve"> </w:t>
      </w:r>
      <w:r w:rsidR="00F74533">
        <w:rPr>
          <w:rFonts w:cstheme="minorHAnsi"/>
        </w:rPr>
        <w:t>≥ U2</w:t>
      </w:r>
      <w:r w:rsidR="00F74533" w:rsidRPr="00F74533">
        <w:rPr>
          <w:rFonts w:cstheme="minorHAnsi"/>
          <w:vertAlign w:val="subscript"/>
        </w:rPr>
        <w:t>i</w:t>
      </w:r>
      <w:r w:rsidR="00F74533">
        <w:rPr>
          <w:rFonts w:cstheme="minorHAnsi"/>
        </w:rPr>
        <w:t xml:space="preserve"> for all </w:t>
      </w:r>
      <w:proofErr w:type="spellStart"/>
      <w:r w:rsidR="00F74533">
        <w:rPr>
          <w:rFonts w:cstheme="minorHAnsi"/>
        </w:rPr>
        <w:t>i</w:t>
      </w:r>
      <w:proofErr w:type="spellEnd"/>
      <w:r w:rsidR="00F74533">
        <w:rPr>
          <w:rFonts w:cstheme="minorHAnsi"/>
        </w:rPr>
        <w:t xml:space="preserve"> </w:t>
      </w:r>
      <m:oMath>
        <m:r>
          <w:rPr>
            <w:rFonts w:ascii="Cambria Math" w:hAnsi="Cambria Math" w:cstheme="minorHAnsi"/>
          </w:rPr>
          <m:t>∈</m:t>
        </m:r>
        <m:sSubSup>
          <m:sSubSupPr>
            <m:ctrlPr>
              <w:rPr>
                <w:rFonts w:ascii="Cambria Math" w:hAnsi="Cambria Math" w:cstheme="minorHAnsi"/>
                <w:b/>
              </w:rPr>
            </m:ctrlPr>
          </m:sSubSupPr>
          <m:e>
            <m:r>
              <m:rPr>
                <m:sty m:val="b"/>
              </m:rPr>
              <w:rPr>
                <w:rFonts w:ascii="Cambria Math" w:hAnsi="Cambria Math" w:cstheme="minorHAnsi"/>
              </w:rPr>
              <m:t>N</m:t>
            </m:r>
          </m:e>
          <m:sub>
            <m:r>
              <m:rPr>
                <m:sty m:val="bi"/>
              </m:rPr>
              <w:rPr>
                <w:rFonts w:ascii="Cambria Math" w:hAnsi="Cambria Math" w:cstheme="minorHAnsi"/>
              </w:rPr>
              <m:t>1</m:t>
            </m:r>
          </m:sub>
          <m:sup>
            <m:r>
              <m:rPr>
                <m:sty m:val="bi"/>
              </m:rPr>
              <w:rPr>
                <w:rFonts w:ascii="Cambria Math" w:hAnsi="Cambria Math" w:cstheme="minorHAnsi"/>
              </w:rPr>
              <m:t>M</m:t>
            </m:r>
          </m:sup>
        </m:sSubSup>
      </m:oMath>
      <w:r w:rsidR="002C422F">
        <w:rPr>
          <w:rFonts w:cstheme="minorHAnsi"/>
        </w:rPr>
        <w:t>.</w:t>
      </w:r>
      <w:r w:rsidR="00131B0D">
        <w:rPr>
          <w:rFonts w:cstheme="minorHAnsi"/>
        </w:rPr>
        <w:t xml:space="preserve"> </w:t>
      </w:r>
      <w:r w:rsidR="00E2131D">
        <w:rPr>
          <w:rFonts w:cstheme="minorHAnsi"/>
        </w:rPr>
        <w:t xml:space="preserve">If monotonicity were violated then some of the estimated values of </w:t>
      </w:r>
      <w:r w:rsidR="00131B0D">
        <w:rPr>
          <w:rFonts w:cstheme="minorHAnsi"/>
        </w:rPr>
        <w:t>U1</w:t>
      </w:r>
      <w:r w:rsidR="00573694">
        <w:rPr>
          <w:rFonts w:cstheme="minorHAnsi"/>
        </w:rPr>
        <w:t xml:space="preserve"> </w:t>
      </w:r>
      <w:r w:rsidR="00131B0D">
        <w:rPr>
          <w:rFonts w:cstheme="minorHAnsi"/>
        </w:rPr>
        <w:t>-</w:t>
      </w:r>
      <w:r w:rsidR="00573694">
        <w:rPr>
          <w:rFonts w:cstheme="minorHAnsi"/>
        </w:rPr>
        <w:t xml:space="preserve"> </w:t>
      </w:r>
      <w:r w:rsidR="00131B0D">
        <w:rPr>
          <w:rFonts w:cstheme="minorHAnsi"/>
        </w:rPr>
        <w:t xml:space="preserve">U2 produced from the PSA </w:t>
      </w:r>
      <w:r w:rsidR="00E2131D">
        <w:rPr>
          <w:rFonts w:cstheme="minorHAnsi"/>
        </w:rPr>
        <w:t>would be negative</w:t>
      </w:r>
      <w:r>
        <w:rPr>
          <w:rFonts w:cstheme="minorHAnsi"/>
        </w:rPr>
        <w:t xml:space="preserve">. </w:t>
      </w:r>
    </w:p>
    <w:p w:rsidR="00430AB7" w:rsidRDefault="003B2A39" w:rsidP="00D210AA">
      <w:pPr>
        <w:pStyle w:val="Heading2"/>
      </w:pPr>
      <w:r>
        <w:t xml:space="preserve">The </w:t>
      </w:r>
      <w:r w:rsidR="001D7B8E">
        <w:t>T</w:t>
      </w:r>
      <w:r>
        <w:t xml:space="preserve">en </w:t>
      </w:r>
      <w:r w:rsidR="00A53CD0">
        <w:t>Methods</w:t>
      </w:r>
    </w:p>
    <w:p w:rsidR="006B236F" w:rsidRDefault="009143A3" w:rsidP="00047821">
      <w:pPr>
        <w:spacing w:line="480" w:lineRule="auto"/>
      </w:pPr>
      <w:r>
        <w:t xml:space="preserve">The </w:t>
      </w:r>
      <w:r w:rsidR="00131B0D">
        <w:t xml:space="preserve">ten </w:t>
      </w:r>
      <w:r w:rsidR="00A53CD0">
        <w:t xml:space="preserve">methods </w:t>
      </w:r>
      <w:r w:rsidR="00131B0D">
        <w:t xml:space="preserve">considered are described in </w:t>
      </w:r>
      <w:r w:rsidR="009E2AE4">
        <w:fldChar w:fldCharType="begin"/>
      </w:r>
      <w:r w:rsidR="00131B0D">
        <w:instrText xml:space="preserve"> REF _Ref323291518 \h </w:instrText>
      </w:r>
      <w:r w:rsidR="00047821">
        <w:instrText xml:space="preserve"> \* MERGEFORMAT </w:instrText>
      </w:r>
      <w:r w:rsidR="009E2AE4">
        <w:fldChar w:fldCharType="separate"/>
      </w:r>
      <w:r w:rsidR="000444A0">
        <w:t xml:space="preserve">Table </w:t>
      </w:r>
      <w:r w:rsidR="000444A0">
        <w:rPr>
          <w:noProof/>
        </w:rPr>
        <w:t>2</w:t>
      </w:r>
      <w:r w:rsidR="009E2AE4">
        <w:fldChar w:fldCharType="end"/>
      </w:r>
      <w:r w:rsidR="00131B0D">
        <w:t>.</w:t>
      </w:r>
      <w:r w:rsidR="00131B0D" w:rsidRPr="00900EF8">
        <w:t xml:space="preserve"> </w:t>
      </w:r>
      <w:r w:rsidR="000444A0">
        <w:t xml:space="preserve">We use beta distributions for all methods except methods 7-9, as these methods use the bivariate normal distribution. The parameters of the beta distribution are derived from the summary information in </w:t>
      </w:r>
      <w:r w:rsidR="009E2AE4">
        <w:fldChar w:fldCharType="begin"/>
      </w:r>
      <w:r w:rsidR="000444A0">
        <w:instrText xml:space="preserve"> REF _Ref323290936 \h </w:instrText>
      </w:r>
      <w:r w:rsidR="00047821">
        <w:instrText xml:space="preserve"> \* MERGEFORMAT </w:instrText>
      </w:r>
      <w:r w:rsidR="009E2AE4">
        <w:fldChar w:fldCharType="separate"/>
      </w:r>
      <w:r w:rsidR="000444A0">
        <w:t xml:space="preserve">Table </w:t>
      </w:r>
      <w:r w:rsidR="000444A0">
        <w:rPr>
          <w:noProof/>
        </w:rPr>
        <w:t>1</w:t>
      </w:r>
      <w:r w:rsidR="009E2AE4">
        <w:fldChar w:fldCharType="end"/>
      </w:r>
      <w:r w:rsidR="000444A0">
        <w:t xml:space="preserve">. </w:t>
      </w:r>
      <w:r w:rsidR="0031366F">
        <w:t xml:space="preserve">This is done by defining the sample mean as </w:t>
      </w:r>
      <m:oMath>
        <m:r>
          <w:rPr>
            <w:rFonts w:ascii="Cambria Math" w:hAnsi="Cambria Math"/>
          </w:rPr>
          <m:t>μ</m:t>
        </m:r>
      </m:oMath>
      <w:r w:rsidR="00024205">
        <w:t xml:space="preserve">, the lower and upper 95% confidence intervals of the mean as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and </w:t>
      </w:r>
      <m:oMath>
        <m:sSup>
          <m:sSupPr>
            <m:ctrlPr>
              <w:rPr>
                <w:rFonts w:ascii="Cambria Math" w:hAnsi="Cambria Math"/>
                <w:i/>
              </w:rPr>
            </m:ctrlPr>
          </m:sSupPr>
          <m:e>
            <m:r>
              <w:rPr>
                <w:rFonts w:ascii="Cambria Math" w:hAnsi="Cambria Math"/>
              </w:rPr>
              <m:t>μ</m:t>
            </m:r>
          </m:e>
          <m:sup>
            <m:r>
              <w:rPr>
                <w:rFonts w:ascii="Cambria Math" w:hAnsi="Cambria Math"/>
              </w:rPr>
              <m:t>+</m:t>
            </m:r>
          </m:sup>
        </m:sSup>
      </m:oMath>
      <w:r w:rsidR="00024205">
        <w:t xml:space="preserve"> respectively, then estimating the sample variance</w:t>
      </w:r>
      <w:r w:rsidR="009B1933">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18273B">
        <w:t xml:space="preserve"> as either </w:t>
      </w:r>
      <w:r w:rsidR="00024205">
        <w:t xml:space="preserve"> </w:t>
      </w:r>
      <w:commentRangeStart w:id="5"/>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μ</m:t>
                        </m:r>
                      </m:e>
                      <m:sup>
                        <m:r>
                          <w:rPr>
                            <w:rFonts w:ascii="Cambria Math" w:hAnsi="Cambria Math"/>
                          </w:rPr>
                          <m:t>+</m:t>
                        </m:r>
                      </m:sup>
                    </m:sSup>
                    <m:r>
                      <w:rPr>
                        <w:rFonts w:ascii="Cambria Math" w:hAnsi="Cambria Math"/>
                      </w:rPr>
                      <m:t>- μ</m:t>
                    </m:r>
                  </m:num>
                  <m:den>
                    <m:r>
                      <w:rPr>
                        <w:rFonts w:ascii="Cambria Math" w:hAnsi="Cambria Math"/>
                      </w:rPr>
                      <m:t>1.96</m:t>
                    </m:r>
                  </m:den>
                </m:f>
              </m:e>
            </m:d>
          </m:e>
          <m:sup>
            <m:r>
              <w:rPr>
                <w:rFonts w:ascii="Cambria Math" w:hAnsi="Cambria Math"/>
              </w:rPr>
              <m:t>2</m:t>
            </m:r>
          </m:sup>
        </m:sSup>
      </m:oMath>
      <w:r w:rsidR="0018273B">
        <w:t xml:space="preserve"> or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μ- </m:t>
                    </m:r>
                    <m:sSup>
                      <m:sSupPr>
                        <m:ctrlPr>
                          <w:rPr>
                            <w:rFonts w:ascii="Cambria Math" w:hAnsi="Cambria Math"/>
                            <w:i/>
                          </w:rPr>
                        </m:ctrlPr>
                      </m:sSupPr>
                      <m:e>
                        <m:r>
                          <w:rPr>
                            <w:rFonts w:ascii="Cambria Math" w:hAnsi="Cambria Math"/>
                          </w:rPr>
                          <m:t>μ</m:t>
                        </m:r>
                      </m:e>
                      <m:sup>
                        <m:r>
                          <w:rPr>
                            <w:rFonts w:ascii="Cambria Math" w:hAnsi="Cambria Math"/>
                          </w:rPr>
                          <m:t>-</m:t>
                        </m:r>
                      </m:sup>
                    </m:sSup>
                  </m:num>
                  <m:den>
                    <m:r>
                      <w:rPr>
                        <w:rFonts w:ascii="Cambria Math" w:hAnsi="Cambria Math"/>
                      </w:rPr>
                      <m:t>1.96</m:t>
                    </m:r>
                  </m:den>
                </m:f>
              </m:e>
            </m:d>
          </m:e>
          <m:sup>
            <m:r>
              <w:rPr>
                <w:rFonts w:ascii="Cambria Math" w:hAnsi="Cambria Math"/>
              </w:rPr>
              <m:t>2</m:t>
            </m:r>
          </m:sup>
        </m:sSup>
      </m:oMath>
      <w:r w:rsidR="00024205">
        <w:t xml:space="preserve">. </w:t>
      </w:r>
      <w:commentRangeEnd w:id="5"/>
      <w:r w:rsidR="009B1933">
        <w:rPr>
          <w:rStyle w:val="CommentReference"/>
        </w:rPr>
        <w:commentReference w:id="5"/>
      </w:r>
      <w:r w:rsidR="00024205">
        <w:t xml:space="preserve">The two parameters of the beta distribution are then calculated as </w:t>
      </w:r>
      <m:oMath>
        <m:r>
          <w:rPr>
            <w:rFonts w:ascii="Cambria Math" w:hAnsi="Cambria Math"/>
          </w:rPr>
          <m:t xml:space="preserve">α= </m:t>
        </m:r>
        <m:d>
          <m:dPr>
            <m:ctrlPr>
              <w:rPr>
                <w:rFonts w:ascii="Cambria Math" w:hAnsi="Cambria Math"/>
                <w:i/>
              </w:rPr>
            </m:ctrlPr>
          </m:dPr>
          <m:e>
            <m:f>
              <m:fPr>
                <m:ctrlPr>
                  <w:rPr>
                    <w:rFonts w:ascii="Cambria Math" w:hAnsi="Cambria Math"/>
                    <w:i/>
                  </w:rPr>
                </m:ctrlPr>
              </m:fPr>
              <m:num>
                <m:r>
                  <w:rPr>
                    <w:rFonts w:ascii="Cambria Math" w:hAnsi="Cambria Math"/>
                  </w:rPr>
                  <m:t>1- μ</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e>
        </m:d>
        <m:sSup>
          <m:sSupPr>
            <m:ctrlPr>
              <w:rPr>
                <w:rFonts w:ascii="Cambria Math" w:hAnsi="Cambria Math"/>
                <w:i/>
              </w:rPr>
            </m:ctrlPr>
          </m:sSupPr>
          <m:e>
            <m:r>
              <w:rPr>
                <w:rFonts w:ascii="Cambria Math" w:hAnsi="Cambria Math"/>
              </w:rPr>
              <m:t>μ</m:t>
            </m:r>
          </m:e>
          <m:sup>
            <m:r>
              <w:rPr>
                <w:rFonts w:ascii="Cambria Math" w:hAnsi="Cambria Math"/>
              </w:rPr>
              <m:t>2</m:t>
            </m:r>
          </m:sup>
        </m:sSup>
      </m:oMath>
      <w:r w:rsidR="00024205">
        <w:t xml:space="preserve"> </w:t>
      </w:r>
      <w:proofErr w:type="gramStart"/>
      <w:r w:rsidR="00024205">
        <w:t xml:space="preserve">and </w:t>
      </w:r>
      <w:proofErr w:type="gramEnd"/>
      <m:oMath>
        <m:r>
          <w:rPr>
            <w:rFonts w:ascii="Cambria Math" w:hAnsi="Cambria Math"/>
          </w:rPr>
          <m:t>β=α</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r>
              <w:rPr>
                <w:rFonts w:ascii="Cambria Math" w:hAnsi="Cambria Math"/>
              </w:rPr>
              <m:t>-1</m:t>
            </m:r>
          </m:e>
        </m:d>
      </m:oMath>
      <w:r w:rsidR="00024205">
        <w:t>.</w:t>
      </w:r>
      <w:r w:rsidR="00022242">
        <w:t xml:space="preserve"> </w:t>
      </w:r>
      <w:r w:rsidR="00AB0860">
        <w:t xml:space="preserve">Classes of methods where it is impossible, rather than just improbable, for monotonicity to be violated are marked with a † symbol. </w:t>
      </w:r>
      <w:r w:rsidR="006B236F">
        <w:t xml:space="preserve">All methods were implemented using the R programming language. </w:t>
      </w:r>
      <w:r w:rsidR="009E2AE4">
        <w:fldChar w:fldCharType="begin" w:fldLock="1"/>
      </w:r>
      <w:r w:rsidR="0038052F">
        <w:instrText>ADDIN CSL_CITATION { "citationItems" : [ { "id" : "ITEM-1", "itemData" : { "author" : [ { "dropping-particle" : "", "family" : "R Development Core Team", "given" : "", "non-dropping-particle" : "", "parse-names" : false, "suffix" : "" } ], "id" : "ITEM-1", "issued" : { "date-parts" : [ [ "2011" ] ] }, "publisher" : "R Foundation for Statistical Computing", "publisher-place" : "Vienna, Austria", "title" : "R: A language and environment for statistical computing", "type" : "article" }, "uris" : [ "http://www.mendeley.com/documents/?uuid=10ba2d30-9716-4787-9c8f-fc09eca42a48" ] } ], "mendeley" : { "previouslyFormattedCitation" : "(3)" }, "properties" : { "noteIndex" : 0 }, "schema" : "https://github.com/citation-style-language/schema/raw/master/csl-citation.json" }</w:instrText>
      </w:r>
      <w:r w:rsidR="009E2AE4">
        <w:fldChar w:fldCharType="separate"/>
      </w:r>
      <w:r w:rsidR="000E7974" w:rsidRPr="000E7974">
        <w:rPr>
          <w:noProof/>
        </w:rPr>
        <w:t>(3)</w:t>
      </w:r>
      <w:r w:rsidR="009E2AE4">
        <w:fldChar w:fldCharType="end"/>
      </w:r>
      <w:r w:rsidR="0086407B">
        <w:t xml:space="preserve"> </w:t>
      </w:r>
    </w:p>
    <w:tbl>
      <w:tblPr>
        <w:tblStyle w:val="TableGrid"/>
        <w:tblW w:w="0" w:type="auto"/>
        <w:tblLook w:val="04A0" w:firstRow="1" w:lastRow="0" w:firstColumn="1" w:lastColumn="0" w:noHBand="0" w:noVBand="1"/>
      </w:tblPr>
      <w:tblGrid>
        <w:gridCol w:w="1351"/>
        <w:gridCol w:w="1390"/>
        <w:gridCol w:w="1417"/>
        <w:gridCol w:w="5084"/>
      </w:tblGrid>
      <w:tr w:rsidR="00A86571" w:rsidTr="00A86571">
        <w:tc>
          <w:tcPr>
            <w:tcW w:w="1351" w:type="dxa"/>
          </w:tcPr>
          <w:p w:rsidR="00A86571" w:rsidRPr="00284FC4" w:rsidRDefault="00A86571" w:rsidP="00047821">
            <w:pPr>
              <w:spacing w:line="480" w:lineRule="auto"/>
              <w:rPr>
                <w:b/>
              </w:rPr>
            </w:pPr>
            <w:r>
              <w:rPr>
                <w:b/>
              </w:rPr>
              <w:t>Class</w:t>
            </w:r>
          </w:p>
        </w:tc>
        <w:tc>
          <w:tcPr>
            <w:tcW w:w="1390" w:type="dxa"/>
          </w:tcPr>
          <w:p w:rsidR="00A86571" w:rsidRPr="00284FC4" w:rsidRDefault="00A86571" w:rsidP="00047821">
            <w:pPr>
              <w:spacing w:line="480" w:lineRule="auto"/>
              <w:rPr>
                <w:b/>
              </w:rPr>
            </w:pPr>
            <w:r w:rsidRPr="00284FC4">
              <w:rPr>
                <w:b/>
              </w:rPr>
              <w:t>Method Number</w:t>
            </w:r>
          </w:p>
        </w:tc>
        <w:tc>
          <w:tcPr>
            <w:tcW w:w="1417" w:type="dxa"/>
          </w:tcPr>
          <w:p w:rsidR="00A86571" w:rsidRPr="00284FC4" w:rsidRDefault="00A86571" w:rsidP="00047821">
            <w:pPr>
              <w:spacing w:line="480" w:lineRule="auto"/>
              <w:rPr>
                <w:b/>
              </w:rPr>
            </w:pPr>
            <w:r>
              <w:rPr>
                <w:b/>
              </w:rPr>
              <w:t>Name</w:t>
            </w:r>
          </w:p>
        </w:tc>
        <w:tc>
          <w:tcPr>
            <w:tcW w:w="5084" w:type="dxa"/>
          </w:tcPr>
          <w:p w:rsidR="00A86571" w:rsidRPr="00284FC4" w:rsidRDefault="00A86571" w:rsidP="00047821">
            <w:pPr>
              <w:spacing w:line="480" w:lineRule="auto"/>
              <w:rPr>
                <w:b/>
              </w:rPr>
            </w:pPr>
            <w:commentRangeStart w:id="6"/>
            <w:r w:rsidRPr="00284FC4">
              <w:rPr>
                <w:b/>
              </w:rPr>
              <w:t>Method Description</w:t>
            </w:r>
            <w:commentRangeEnd w:id="6"/>
            <w:r w:rsidR="004B3189">
              <w:rPr>
                <w:rStyle w:val="CommentReference"/>
              </w:rPr>
              <w:commentReference w:id="6"/>
            </w:r>
          </w:p>
        </w:tc>
      </w:tr>
      <w:tr w:rsidR="00A86571" w:rsidTr="00A86571">
        <w:tc>
          <w:tcPr>
            <w:tcW w:w="1351" w:type="dxa"/>
            <w:vMerge w:val="restart"/>
          </w:tcPr>
          <w:p w:rsidR="00A86571" w:rsidRDefault="00A86571" w:rsidP="00047821">
            <w:pPr>
              <w:spacing w:line="480" w:lineRule="auto"/>
            </w:pPr>
            <w:r>
              <w:t>Naïve Methods</w:t>
            </w:r>
          </w:p>
        </w:tc>
        <w:tc>
          <w:tcPr>
            <w:tcW w:w="1390" w:type="dxa"/>
          </w:tcPr>
          <w:p w:rsidR="00A86571" w:rsidRDefault="00A86571" w:rsidP="00047821">
            <w:pPr>
              <w:spacing w:line="480" w:lineRule="auto"/>
            </w:pPr>
            <w:r>
              <w:t>1</w:t>
            </w:r>
          </w:p>
        </w:tc>
        <w:tc>
          <w:tcPr>
            <w:tcW w:w="1417" w:type="dxa"/>
          </w:tcPr>
          <w:p w:rsidR="00A86571" w:rsidRDefault="00A86571" w:rsidP="00047821">
            <w:pPr>
              <w:spacing w:line="480" w:lineRule="auto"/>
            </w:pPr>
            <w:r>
              <w:t>Independent Sampling</w:t>
            </w:r>
          </w:p>
        </w:tc>
        <w:tc>
          <w:tcPr>
            <w:tcW w:w="5084" w:type="dxa"/>
          </w:tcPr>
          <w:p w:rsidR="00A86571" w:rsidRDefault="00A86571" w:rsidP="00047821">
            <w:pPr>
              <w:spacing w:line="480" w:lineRule="auto"/>
            </w:pPr>
            <w:r>
              <w:t>For each of the PSA runs, take one draw from U1 and one draw from U2 independently (i.e. assume no covariance between U1 and U2)</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2</w:t>
            </w:r>
          </w:p>
        </w:tc>
        <w:tc>
          <w:tcPr>
            <w:tcW w:w="1417" w:type="dxa"/>
          </w:tcPr>
          <w:p w:rsidR="00A86571" w:rsidRDefault="00A86571" w:rsidP="00047821">
            <w:pPr>
              <w:spacing w:line="480" w:lineRule="auto"/>
            </w:pPr>
            <w:proofErr w:type="spellStart"/>
            <w:r>
              <w:t>Quantile</w:t>
            </w:r>
            <w:proofErr w:type="spellEnd"/>
            <w:r>
              <w:t xml:space="preserve"> </w:t>
            </w:r>
            <w:r>
              <w:lastRenderedPageBreak/>
              <w:t>Matching/</w:t>
            </w:r>
          </w:p>
          <w:p w:rsidR="00A86571" w:rsidRDefault="00A86571" w:rsidP="00047821">
            <w:pPr>
              <w:spacing w:line="480" w:lineRule="auto"/>
            </w:pPr>
            <w:r>
              <w:t>Number Seed Recycling</w:t>
            </w:r>
          </w:p>
        </w:tc>
        <w:tc>
          <w:tcPr>
            <w:tcW w:w="5084" w:type="dxa"/>
          </w:tcPr>
          <w:p w:rsidR="00A86571" w:rsidRDefault="00A86571" w:rsidP="00022242">
            <w:pPr>
              <w:spacing w:line="480" w:lineRule="auto"/>
            </w:pPr>
            <w:r>
              <w:lastRenderedPageBreak/>
              <w:t xml:space="preserve">For each of the PSA runs, use the same random </w:t>
            </w:r>
            <w:r>
              <w:lastRenderedPageBreak/>
              <w:t xml:space="preserve">number seed when drawing a sample from U2 and U1. (This is </w:t>
            </w:r>
            <w:r w:rsidR="00022242">
              <w:t xml:space="preserve">similar </w:t>
            </w:r>
            <w:r>
              <w:t xml:space="preserve">to selecting the same </w:t>
            </w:r>
            <w:proofErr w:type="spellStart"/>
            <w:r>
              <w:t>quantile</w:t>
            </w:r>
            <w:proofErr w:type="spellEnd"/>
            <w:r>
              <w:t xml:space="preserve"> from both distribu</w:t>
            </w:r>
            <w:r w:rsidR="00022242">
              <w:t>tions, so both methods will not be considered separately.</w:t>
            </w:r>
            <w:r>
              <w:t>)</w:t>
            </w:r>
          </w:p>
        </w:tc>
      </w:tr>
      <w:tr w:rsidR="00A86571" w:rsidTr="00A86571">
        <w:tc>
          <w:tcPr>
            <w:tcW w:w="1351" w:type="dxa"/>
            <w:vMerge w:val="restart"/>
          </w:tcPr>
          <w:p w:rsidR="00A86571" w:rsidRDefault="00A86571" w:rsidP="00047821">
            <w:pPr>
              <w:spacing w:line="480" w:lineRule="auto"/>
            </w:pPr>
            <w:r>
              <w:lastRenderedPageBreak/>
              <w:t>Resampling and replacement methods</w:t>
            </w:r>
            <w:r w:rsidR="00AB0860">
              <w:t>†</w:t>
            </w:r>
          </w:p>
        </w:tc>
        <w:tc>
          <w:tcPr>
            <w:tcW w:w="1390" w:type="dxa"/>
          </w:tcPr>
          <w:p w:rsidR="00A86571" w:rsidRDefault="00A86571" w:rsidP="00047821">
            <w:pPr>
              <w:spacing w:line="480" w:lineRule="auto"/>
            </w:pPr>
            <w:r>
              <w:t>3</w:t>
            </w:r>
          </w:p>
        </w:tc>
        <w:tc>
          <w:tcPr>
            <w:tcW w:w="1417" w:type="dxa"/>
          </w:tcPr>
          <w:p w:rsidR="00A86571" w:rsidRDefault="00A86571" w:rsidP="00047821">
            <w:pPr>
              <w:spacing w:line="480" w:lineRule="auto"/>
            </w:pPr>
            <w:r>
              <w:t>Upward Replacement</w:t>
            </w:r>
          </w:p>
        </w:tc>
        <w:tc>
          <w:tcPr>
            <w:tcW w:w="5084" w:type="dxa"/>
          </w:tcPr>
          <w:p w:rsidR="00A86571" w:rsidRDefault="00A86571" w:rsidP="00047821">
            <w:pPr>
              <w:spacing w:line="480" w:lineRule="auto"/>
            </w:pPr>
            <w:r>
              <w:t>For each of the PSA runs:</w:t>
            </w:r>
          </w:p>
          <w:p w:rsidR="00A86571" w:rsidRDefault="00A86571" w:rsidP="00047821">
            <w:pPr>
              <w:spacing w:line="480" w:lineRule="auto"/>
            </w:pPr>
            <w:r>
              <w:t>Stage 1: draw a sample from U2</w:t>
            </w:r>
          </w:p>
          <w:p w:rsidR="00A86571" w:rsidRDefault="00A86571" w:rsidP="00047821">
            <w:pPr>
              <w:spacing w:line="480" w:lineRule="auto"/>
            </w:pPr>
            <w:r>
              <w:t xml:space="preserve">Stage 2: draw a sample from U1 </w:t>
            </w:r>
          </w:p>
          <w:p w:rsidR="00A86571" w:rsidRDefault="00A86571" w:rsidP="00047821">
            <w:pPr>
              <w:spacing w:line="480" w:lineRule="auto"/>
            </w:pPr>
            <w:r>
              <w:t>Stage 3: Check if the value of U1 drawn is less than the corresponding value of U2 drawn. If it is, then replace the value of U1 with the U2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4</w:t>
            </w:r>
          </w:p>
        </w:tc>
        <w:tc>
          <w:tcPr>
            <w:tcW w:w="1417" w:type="dxa"/>
          </w:tcPr>
          <w:p w:rsidR="00A86571" w:rsidRDefault="00A86571" w:rsidP="00047821">
            <w:pPr>
              <w:spacing w:line="480" w:lineRule="auto"/>
            </w:pPr>
            <w:r>
              <w:t>Downward Replacement</w:t>
            </w:r>
          </w:p>
        </w:tc>
        <w:tc>
          <w:tcPr>
            <w:tcW w:w="5084" w:type="dxa"/>
          </w:tcPr>
          <w:p w:rsidR="00A86571" w:rsidRDefault="00A86571" w:rsidP="00047821">
            <w:pPr>
              <w:spacing w:line="480" w:lineRule="auto"/>
            </w:pPr>
            <w:r>
              <w:t>For each of the PSA runs:</w:t>
            </w:r>
          </w:p>
          <w:p w:rsidR="00A86571" w:rsidRDefault="00A86571" w:rsidP="00047821">
            <w:pPr>
              <w:spacing w:line="480" w:lineRule="auto"/>
            </w:pPr>
            <w:r>
              <w:t>Stage 1: draw a sample from U1</w:t>
            </w:r>
          </w:p>
          <w:p w:rsidR="00A86571" w:rsidRDefault="00A86571" w:rsidP="00047821">
            <w:pPr>
              <w:spacing w:line="480" w:lineRule="auto"/>
            </w:pPr>
            <w:r>
              <w:t xml:space="preserve">Stage 2: draw a sample from U2. </w:t>
            </w:r>
          </w:p>
          <w:p w:rsidR="00A86571" w:rsidRDefault="00A86571" w:rsidP="00047821">
            <w:pPr>
              <w:spacing w:line="480" w:lineRule="auto"/>
            </w:pPr>
            <w:r>
              <w:t>Stage 3: Check if the value of U2 drawn is greater than the corresponding value of U1 drawn. If it is, then replace the value of U2 with the U1 value.</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5</w:t>
            </w:r>
          </w:p>
        </w:tc>
        <w:tc>
          <w:tcPr>
            <w:tcW w:w="1417" w:type="dxa"/>
          </w:tcPr>
          <w:p w:rsidR="00A86571" w:rsidRDefault="00A86571" w:rsidP="00047821">
            <w:pPr>
              <w:spacing w:line="480" w:lineRule="auto"/>
            </w:pPr>
            <w:r>
              <w:t>Upward Resampling</w:t>
            </w:r>
          </w:p>
        </w:tc>
        <w:tc>
          <w:tcPr>
            <w:tcW w:w="5084" w:type="dxa"/>
            <w:tcBorders>
              <w:right w:val="single" w:sz="4" w:space="0" w:color="auto"/>
            </w:tcBorders>
          </w:tcPr>
          <w:p w:rsidR="00A86571" w:rsidRDefault="00A86571" w:rsidP="00047821">
            <w:pPr>
              <w:spacing w:line="480" w:lineRule="auto"/>
            </w:pPr>
            <w:r>
              <w:t xml:space="preserve">For each of the PSA runs: </w:t>
            </w:r>
          </w:p>
          <w:p w:rsidR="00A86571" w:rsidRDefault="00A86571" w:rsidP="00047821">
            <w:pPr>
              <w:spacing w:line="480" w:lineRule="auto"/>
            </w:pPr>
            <w:r>
              <w:t xml:space="preserve">Stage 1: draw first from U1. </w:t>
            </w:r>
          </w:p>
          <w:p w:rsidR="00A86571" w:rsidRDefault="00A86571" w:rsidP="00047821">
            <w:pPr>
              <w:spacing w:line="480" w:lineRule="auto"/>
            </w:pPr>
            <w:r>
              <w:t xml:space="preserve">Stage 2: draw from U2. </w:t>
            </w:r>
          </w:p>
          <w:p w:rsidR="00A86571" w:rsidRDefault="00A86571" w:rsidP="00047821">
            <w:pPr>
              <w:spacing w:line="480" w:lineRule="auto"/>
            </w:pPr>
            <w:r>
              <w:t>Stage 3: Check if the value of U1 is less than U2. If it is, then go back to Stage 2 (i.e. resample). If not, then stop.</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6</w:t>
            </w:r>
          </w:p>
        </w:tc>
        <w:tc>
          <w:tcPr>
            <w:tcW w:w="1417" w:type="dxa"/>
          </w:tcPr>
          <w:p w:rsidR="00A86571" w:rsidRDefault="00A86571" w:rsidP="00047821">
            <w:pPr>
              <w:spacing w:line="480" w:lineRule="auto"/>
            </w:pPr>
            <w:r>
              <w:t>Downward Resampling</w:t>
            </w:r>
          </w:p>
        </w:tc>
        <w:tc>
          <w:tcPr>
            <w:tcW w:w="5084" w:type="dxa"/>
          </w:tcPr>
          <w:p w:rsidR="00A86571" w:rsidRDefault="00A86571" w:rsidP="00047821">
            <w:pPr>
              <w:spacing w:line="480" w:lineRule="auto"/>
            </w:pPr>
            <w:r>
              <w:t xml:space="preserve">For each of the PSA runs: </w:t>
            </w:r>
          </w:p>
          <w:p w:rsidR="00A86571" w:rsidRDefault="00A86571" w:rsidP="00047821">
            <w:pPr>
              <w:spacing w:line="480" w:lineRule="auto"/>
            </w:pPr>
            <w:r>
              <w:t xml:space="preserve">Stage 1: draw first from U2. </w:t>
            </w:r>
          </w:p>
          <w:p w:rsidR="00A86571" w:rsidRDefault="00A86571" w:rsidP="00047821">
            <w:pPr>
              <w:spacing w:line="480" w:lineRule="auto"/>
            </w:pPr>
            <w:r>
              <w:t xml:space="preserve">Stage 2: draw from U1. </w:t>
            </w:r>
          </w:p>
          <w:p w:rsidR="00A86571" w:rsidRDefault="00A86571" w:rsidP="00047821">
            <w:pPr>
              <w:spacing w:line="480" w:lineRule="auto"/>
            </w:pPr>
            <w:r>
              <w:lastRenderedPageBreak/>
              <w:t>Stage 3: Check if the value of U2 is greater than U1. If it is, then go back to Stage 2 (i.e. resample). If not, then stop.</w:t>
            </w:r>
          </w:p>
        </w:tc>
      </w:tr>
      <w:tr w:rsidR="00A86571" w:rsidTr="00A86571">
        <w:tc>
          <w:tcPr>
            <w:tcW w:w="1351" w:type="dxa"/>
            <w:vMerge w:val="restart"/>
          </w:tcPr>
          <w:p w:rsidR="00A86571" w:rsidRDefault="00A86571" w:rsidP="00047821">
            <w:pPr>
              <w:spacing w:line="480" w:lineRule="auto"/>
            </w:pPr>
            <w:r>
              <w:lastRenderedPageBreak/>
              <w:t>Multivariate model methods</w:t>
            </w:r>
          </w:p>
        </w:tc>
        <w:tc>
          <w:tcPr>
            <w:tcW w:w="1390" w:type="dxa"/>
          </w:tcPr>
          <w:p w:rsidR="00A86571" w:rsidRDefault="00A86571" w:rsidP="00047821">
            <w:pPr>
              <w:spacing w:line="480" w:lineRule="auto"/>
            </w:pPr>
            <w:r>
              <w:t>7</w:t>
            </w:r>
          </w:p>
        </w:tc>
        <w:tc>
          <w:tcPr>
            <w:tcW w:w="1417" w:type="dxa"/>
          </w:tcPr>
          <w:p w:rsidR="00A86571" w:rsidRDefault="00A86571" w:rsidP="00047821">
            <w:pPr>
              <w:spacing w:line="480" w:lineRule="auto"/>
            </w:pPr>
            <w:r>
              <w:t>AIVM Covariance</w:t>
            </w:r>
          </w:p>
        </w:tc>
        <w:tc>
          <w:tcPr>
            <w:tcW w:w="5084" w:type="dxa"/>
          </w:tcPr>
          <w:p w:rsidR="00A86571" w:rsidRDefault="00A86571" w:rsidP="00047821">
            <w:pPr>
              <w:spacing w:line="480" w:lineRule="auto"/>
            </w:pPr>
            <w:r>
              <w:t>Assume that the covariance between U1 and U2 is equal to the average of the individual variances of the means (AIVM) of U1 and U2.</w:t>
            </w:r>
          </w:p>
          <w:p w:rsidR="00A86571" w:rsidRDefault="00A86571" w:rsidP="00047821">
            <w:pPr>
              <w:spacing w:line="480" w:lineRule="auto"/>
            </w:pPr>
            <w:r>
              <w:t xml:space="preserve">If assuming this covariance implies that the correlation between U1 and U2 is greater than 1, then instead select the covariance between U1 and U2 which implies a correlation of 1 between U1 and U2. </w:t>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8</w:t>
            </w:r>
          </w:p>
        </w:tc>
        <w:tc>
          <w:tcPr>
            <w:tcW w:w="1417" w:type="dxa"/>
          </w:tcPr>
          <w:p w:rsidR="00A86571" w:rsidRDefault="00A86571" w:rsidP="00047821">
            <w:pPr>
              <w:spacing w:line="480" w:lineRule="auto"/>
            </w:pPr>
            <w:r>
              <w:t>Lower Bounded Covariance Retrofitting</w:t>
            </w:r>
          </w:p>
        </w:tc>
        <w:tc>
          <w:tcPr>
            <w:tcW w:w="5084" w:type="dxa"/>
          </w:tcPr>
          <w:p w:rsidR="00A86571" w:rsidRDefault="00A86571" w:rsidP="00047821">
            <w:pPr>
              <w:spacing w:line="480" w:lineRule="auto"/>
            </w:pPr>
            <w:commentRangeStart w:id="7"/>
            <w:r>
              <w:t>Select the minimum value of a covariance between U1 and U2 such that the two following conditions are met:</w:t>
            </w:r>
          </w:p>
          <w:p w:rsidR="00A86571" w:rsidRDefault="00A86571" w:rsidP="00047821">
            <w:pPr>
              <w:spacing w:line="480" w:lineRule="auto"/>
            </w:pPr>
            <w:r>
              <w:t>Condition 1: U1 – U2 &gt; 0 for all PSA runs.</w:t>
            </w:r>
          </w:p>
          <w:p w:rsidR="00A86571" w:rsidRDefault="00A86571" w:rsidP="00047821">
            <w:pPr>
              <w:spacing w:line="480" w:lineRule="auto"/>
            </w:pPr>
            <w:r>
              <w:t xml:space="preserve">Condition 2: The covariance between U1 and U2 is greater than AIVM.  </w:t>
            </w:r>
          </w:p>
          <w:p w:rsidR="00A86571" w:rsidRDefault="00A86571" w:rsidP="00047821">
            <w:pPr>
              <w:spacing w:line="480" w:lineRule="auto"/>
            </w:pPr>
            <w:r>
              <w:t>If this implies that the correlation between U1 and U2 is greater than 1, then instead use the covariance value associated with a correlation of 1.</w:t>
            </w:r>
            <w:commentRangeEnd w:id="7"/>
            <w:r w:rsidR="004B3189">
              <w:rPr>
                <w:rStyle w:val="CommentReference"/>
              </w:rPr>
              <w:commentReference w:id="7"/>
            </w:r>
          </w:p>
        </w:tc>
      </w:tr>
      <w:tr w:rsidR="00A86571" w:rsidTr="00A86571">
        <w:tc>
          <w:tcPr>
            <w:tcW w:w="1351" w:type="dxa"/>
            <w:vMerge/>
          </w:tcPr>
          <w:p w:rsidR="00A86571" w:rsidRDefault="00A86571" w:rsidP="00047821">
            <w:pPr>
              <w:spacing w:line="480" w:lineRule="auto"/>
            </w:pPr>
          </w:p>
        </w:tc>
        <w:tc>
          <w:tcPr>
            <w:tcW w:w="1390" w:type="dxa"/>
          </w:tcPr>
          <w:p w:rsidR="00A86571" w:rsidRDefault="00A86571" w:rsidP="00047821">
            <w:pPr>
              <w:spacing w:line="480" w:lineRule="auto"/>
            </w:pPr>
            <w:r>
              <w:t>9</w:t>
            </w:r>
          </w:p>
        </w:tc>
        <w:tc>
          <w:tcPr>
            <w:tcW w:w="1417" w:type="dxa"/>
          </w:tcPr>
          <w:p w:rsidR="00A86571" w:rsidRDefault="00A86571" w:rsidP="00047821">
            <w:pPr>
              <w:spacing w:line="480" w:lineRule="auto"/>
            </w:pPr>
            <w:r>
              <w:t>Upper Bounded</w:t>
            </w:r>
          </w:p>
          <w:p w:rsidR="00A86571" w:rsidRDefault="00A86571" w:rsidP="00047821">
            <w:pPr>
              <w:spacing w:line="480" w:lineRule="auto"/>
            </w:pPr>
            <w:r>
              <w:t>Covariance Retrofitting</w:t>
            </w:r>
          </w:p>
        </w:tc>
        <w:tc>
          <w:tcPr>
            <w:tcW w:w="5084" w:type="dxa"/>
          </w:tcPr>
          <w:p w:rsidR="00A86571" w:rsidRDefault="00A86571" w:rsidP="00047821">
            <w:pPr>
              <w:spacing w:line="480" w:lineRule="auto"/>
            </w:pPr>
            <w:r w:rsidRPr="00284FC4">
              <w:t xml:space="preserve">Methodology 8 but </w:t>
            </w:r>
            <w:r>
              <w:t>where the second condition is that the covariance between U1 and U2 is less than AIVM.</w:t>
            </w:r>
          </w:p>
        </w:tc>
      </w:tr>
      <w:tr w:rsidR="00A86571" w:rsidTr="00A86571">
        <w:tc>
          <w:tcPr>
            <w:tcW w:w="1351" w:type="dxa"/>
          </w:tcPr>
          <w:p w:rsidR="00A86571" w:rsidRDefault="00A86571" w:rsidP="00047821">
            <w:pPr>
              <w:spacing w:line="480" w:lineRule="auto"/>
            </w:pPr>
            <w:r>
              <w:t xml:space="preserve">Difference model </w:t>
            </w:r>
            <w:r>
              <w:lastRenderedPageBreak/>
              <w:t>methods</w:t>
            </w:r>
            <w:r w:rsidR="00AB0860">
              <w:t xml:space="preserve"> †</w:t>
            </w:r>
          </w:p>
        </w:tc>
        <w:tc>
          <w:tcPr>
            <w:tcW w:w="1390" w:type="dxa"/>
          </w:tcPr>
          <w:p w:rsidR="00A86571" w:rsidRDefault="00A86571" w:rsidP="00047821">
            <w:pPr>
              <w:spacing w:line="480" w:lineRule="auto"/>
            </w:pPr>
            <w:r>
              <w:lastRenderedPageBreak/>
              <w:t>10</w:t>
            </w:r>
          </w:p>
        </w:tc>
        <w:tc>
          <w:tcPr>
            <w:tcW w:w="1417" w:type="dxa"/>
          </w:tcPr>
          <w:p w:rsidR="00A86571" w:rsidRDefault="00A86571" w:rsidP="00047821">
            <w:pPr>
              <w:spacing w:line="480" w:lineRule="auto"/>
            </w:pPr>
            <w:r>
              <w:t xml:space="preserve">Beta Distribution </w:t>
            </w:r>
            <w:r>
              <w:lastRenderedPageBreak/>
              <w:t>Difference Modelling</w:t>
            </w:r>
          </w:p>
        </w:tc>
        <w:tc>
          <w:tcPr>
            <w:tcW w:w="5084" w:type="dxa"/>
          </w:tcPr>
          <w:p w:rsidR="006F0B1D" w:rsidRPr="006F0B1D" w:rsidRDefault="006F0B1D" w:rsidP="00047821">
            <w:pPr>
              <w:keepNext/>
              <w:spacing w:line="480" w:lineRule="auto"/>
              <w:rPr>
                <w:rFonts w:cstheme="minorHAnsi"/>
                <w:b/>
                <w:lang w:eastAsia="zh-CN"/>
              </w:rPr>
            </w:pPr>
            <w:r w:rsidRPr="006F0B1D">
              <w:rPr>
                <w:rFonts w:cstheme="minorHAnsi"/>
                <w:b/>
                <w:lang w:eastAsia="zh-CN"/>
              </w:rPr>
              <w:lastRenderedPageBreak/>
              <w:t xml:space="preserve">For </w:t>
            </w:r>
            <w:r w:rsidRPr="006F0B1D">
              <w:rPr>
                <w:rFonts w:cstheme="minorHAnsi" w:hint="eastAsia"/>
                <w:b/>
                <w:lang w:eastAsia="zh-CN"/>
              </w:rPr>
              <w:t>var</w:t>
            </w:r>
            <w:r w:rsidRPr="006F0B1D">
              <w:rPr>
                <w:rFonts w:cstheme="minorHAnsi"/>
                <w:b/>
                <w:lang w:eastAsia="zh-CN"/>
              </w:rPr>
              <w:t>iance of U1&lt;variance of U2</w:t>
            </w:r>
            <w:r>
              <w:rPr>
                <w:rFonts w:cstheme="minorHAnsi"/>
                <w:b/>
                <w:lang w:eastAsia="zh-CN"/>
              </w:rPr>
              <w:t>:</w:t>
            </w:r>
          </w:p>
          <w:p w:rsidR="00A86571" w:rsidRDefault="006F0B1D" w:rsidP="00047821">
            <w:pPr>
              <w:keepNext/>
              <w:spacing w:line="480" w:lineRule="auto"/>
              <w:rPr>
                <w:rFonts w:cstheme="minorHAnsi"/>
              </w:rPr>
            </w:pPr>
            <w:r>
              <w:rPr>
                <w:rFonts w:cstheme="minorHAnsi"/>
                <w:lang w:eastAsia="zh-CN"/>
              </w:rPr>
              <w:t>We</w:t>
            </w:r>
            <w:r w:rsidR="009D2079">
              <w:rPr>
                <w:rFonts w:cstheme="minorHAnsi"/>
                <w:lang w:eastAsia="zh-CN"/>
              </w:rPr>
              <w:t xml:space="preserve"> define </w:t>
            </w:r>
            <w:r w:rsidR="009D2079">
              <w:t>U2=U1-</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p>
          <w:p w:rsidR="009D2079" w:rsidRDefault="009D2079" w:rsidP="00047821">
            <w:pPr>
              <w:keepNext/>
              <w:spacing w:line="480" w:lineRule="auto"/>
              <w:rPr>
                <w:rFonts w:cstheme="minorHAnsi"/>
              </w:rPr>
            </w:pPr>
            <w:r>
              <w:rPr>
                <w:rFonts w:cstheme="minorHAnsi"/>
              </w:rPr>
              <w:lastRenderedPageBreak/>
              <w:t xml:space="preserve">Stage 1: Calculate the beta parameter a and b </w:t>
            </w:r>
          </w:p>
          <w:p w:rsidR="009D2079" w:rsidRPr="009D2079" w:rsidRDefault="009D2079"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047821">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047821">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m:t>
                </m:r>
              </m:oMath>
            </m:oMathPara>
          </w:p>
          <w:p w:rsidR="009D2079" w:rsidRDefault="009D2079" w:rsidP="00047821">
            <w:pPr>
              <w:keepNext/>
              <w:spacing w:line="480" w:lineRule="auto"/>
              <w:rPr>
                <w:rFonts w:cstheme="minorHAnsi"/>
              </w:rPr>
            </w:pPr>
            <w:r>
              <w:rPr>
                <w:rFonts w:cstheme="minorHAnsi"/>
              </w:rPr>
              <w:t>Stage 2: Draw Δ from the beta distribution.</w:t>
            </w:r>
          </w:p>
          <w:p w:rsidR="009D2079" w:rsidRDefault="009D2079" w:rsidP="00047821">
            <w:pPr>
              <w:keepNext/>
              <w:spacing w:line="480" w:lineRule="auto"/>
              <w:rPr>
                <w:rFonts w:cstheme="minorHAnsi"/>
              </w:rPr>
            </w:pPr>
            <w:r>
              <w:rPr>
                <w:rFonts w:cstheme="minorHAnsi"/>
              </w:rPr>
              <w:t xml:space="preserve">Stage 3: Draw U1 from the </w:t>
            </w:r>
            <w:r w:rsidR="00165E76">
              <w:rPr>
                <w:rFonts w:cstheme="minorHAnsi"/>
              </w:rPr>
              <w:t xml:space="preserve">beta </w:t>
            </w:r>
            <w:r>
              <w:rPr>
                <w:rFonts w:cstheme="minorHAnsi"/>
              </w:rPr>
              <w:t>distribution.</w:t>
            </w:r>
          </w:p>
          <w:p w:rsidR="009D2079" w:rsidRPr="009D2079" w:rsidRDefault="009D2079" w:rsidP="00047821">
            <w:pPr>
              <w:keepNext/>
              <w:spacing w:line="480" w:lineRule="auto"/>
              <w:rPr>
                <w:rFonts w:cstheme="minorHAnsi"/>
              </w:rPr>
            </w:pPr>
            <w:r>
              <w:rPr>
                <w:rFonts w:cstheme="minorHAnsi"/>
              </w:rPr>
              <w:t xml:space="preserve">Stage 4: </w:t>
            </w:r>
            <w:r w:rsidR="006F0B1D">
              <w:rPr>
                <w:rFonts w:cstheme="minorHAnsi"/>
              </w:rPr>
              <w:t>Samples of</w:t>
            </w:r>
            <w:r>
              <w:rPr>
                <w:rFonts w:cstheme="minorHAnsi"/>
              </w:rPr>
              <w:t xml:space="preserve"> U2 is calculated using </w:t>
            </w:r>
            <w:r w:rsidR="006F0B1D">
              <w:rPr>
                <w:rFonts w:cstheme="minorHAnsi"/>
              </w:rPr>
              <w:t>samples of U1 minus samples of Δ.</w:t>
            </w:r>
          </w:p>
          <w:p w:rsidR="009D2079" w:rsidRDefault="009D2079" w:rsidP="00047821">
            <w:pPr>
              <w:keepNext/>
              <w:spacing w:line="480" w:lineRule="auto"/>
              <w:rPr>
                <w:rFonts w:cstheme="minorHAnsi"/>
              </w:rPr>
            </w:pPr>
          </w:p>
          <w:p w:rsidR="006F0B1D" w:rsidRPr="006F0B1D" w:rsidRDefault="006F0B1D" w:rsidP="00047821">
            <w:pPr>
              <w:keepNext/>
              <w:spacing w:line="480" w:lineRule="auto"/>
              <w:rPr>
                <w:rFonts w:cstheme="minorHAnsi"/>
                <w:b/>
                <w:lang w:eastAsia="zh-CN"/>
              </w:rPr>
            </w:pPr>
            <w:r w:rsidRPr="006F0B1D">
              <w:rPr>
                <w:rFonts w:cstheme="minorHAnsi"/>
                <w:b/>
                <w:lang w:eastAsia="zh-CN"/>
              </w:rPr>
              <w:t xml:space="preserve">For </w:t>
            </w:r>
            <w:r w:rsidRPr="006F0B1D">
              <w:rPr>
                <w:rFonts w:cstheme="minorHAnsi" w:hint="eastAsia"/>
                <w:b/>
                <w:lang w:eastAsia="zh-CN"/>
              </w:rPr>
              <w:t>var</w:t>
            </w:r>
            <w:r w:rsidRPr="006F0B1D">
              <w:rPr>
                <w:rFonts w:cstheme="minorHAnsi"/>
                <w:b/>
                <w:lang w:eastAsia="zh-CN"/>
              </w:rPr>
              <w:t>iance of U1</w:t>
            </w:r>
            <w:r>
              <w:rPr>
                <w:rFonts w:cstheme="minorHAnsi"/>
                <w:b/>
                <w:lang w:eastAsia="zh-CN"/>
              </w:rPr>
              <w:t>&gt;</w:t>
            </w:r>
            <w:r w:rsidRPr="006F0B1D">
              <w:rPr>
                <w:rFonts w:cstheme="minorHAnsi"/>
                <w:b/>
                <w:lang w:eastAsia="zh-CN"/>
              </w:rPr>
              <w:t>variance of U2</w:t>
            </w:r>
            <w:r>
              <w:rPr>
                <w:rFonts w:cstheme="minorHAnsi"/>
                <w:b/>
                <w:lang w:eastAsia="zh-CN"/>
              </w:rPr>
              <w:t>:</w:t>
            </w:r>
          </w:p>
          <w:p w:rsidR="009D2079" w:rsidRDefault="006F0B1D" w:rsidP="00047821">
            <w:pPr>
              <w:keepNext/>
              <w:spacing w:line="480" w:lineRule="auto"/>
              <w:rPr>
                <w:rFonts w:cstheme="minorHAnsi"/>
              </w:rPr>
            </w:pPr>
            <w:r>
              <w:rPr>
                <w:rFonts w:cstheme="minorHAnsi"/>
                <w:lang w:eastAsia="zh-CN"/>
              </w:rPr>
              <w:t>We</w:t>
            </w:r>
            <w:r w:rsidR="009D2079">
              <w:rPr>
                <w:rFonts w:cstheme="minorHAnsi"/>
                <w:lang w:eastAsia="zh-CN"/>
              </w:rPr>
              <w:t xml:space="preserve"> define </w:t>
            </w:r>
            <w:r w:rsidR="009D2079">
              <w:t>U1=U2+</w:t>
            </w:r>
            <w:r w:rsidR="009D2079">
              <w:rPr>
                <w:rFonts w:cstheme="minorHAnsi"/>
              </w:rPr>
              <w:t xml:space="preserve"> Δ, where Δ~ </w:t>
            </w:r>
            <w:proofErr w:type="gramStart"/>
            <w:r w:rsidR="009D2079">
              <w:rPr>
                <w:rFonts w:cstheme="minorHAnsi"/>
              </w:rPr>
              <w:t>Beta(</w:t>
            </w:r>
            <w:proofErr w:type="spellStart"/>
            <w:proofErr w:type="gramEnd"/>
            <w:r w:rsidR="009D2079">
              <w:rPr>
                <w:rFonts w:cstheme="minorHAnsi"/>
              </w:rPr>
              <w:t>a,b</w:t>
            </w:r>
            <w:proofErr w:type="spellEnd"/>
            <w:r w:rsidR="009D2079">
              <w:rPr>
                <w:rFonts w:cstheme="minorHAnsi"/>
              </w:rPr>
              <w:t>)</w:t>
            </w:r>
            <w:r>
              <w:rPr>
                <w:rFonts w:cstheme="minorHAnsi"/>
              </w:rPr>
              <w:t>.</w:t>
            </w:r>
          </w:p>
          <w:p w:rsidR="006F0B1D" w:rsidRDefault="006F0B1D" w:rsidP="00047821">
            <w:pPr>
              <w:keepNext/>
              <w:spacing w:line="480" w:lineRule="auto"/>
              <w:rPr>
                <w:rFonts w:cstheme="minorHAnsi"/>
              </w:rPr>
            </w:pPr>
            <w:r>
              <w:rPr>
                <w:rFonts w:cstheme="minorHAnsi"/>
              </w:rPr>
              <w:t xml:space="preserve">Stage 1: Calculate the beta parameter a and b </w:t>
            </w:r>
          </w:p>
          <w:p w:rsidR="009D2079" w:rsidRPr="009D2079" w:rsidRDefault="009D2079"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9D2079" w:rsidRDefault="009D2079" w:rsidP="00047821">
            <w:pPr>
              <w:keepNext/>
              <w:spacing w:line="480" w:lineRule="auto"/>
              <w:rPr>
                <w:rFonts w:cstheme="minorHAnsi"/>
                <w:lang w:eastAsia="zh-CN"/>
              </w:rPr>
            </w:pPr>
            <w:r>
              <w:rPr>
                <w:rFonts w:cstheme="minorHAnsi"/>
                <w:lang w:eastAsia="zh-CN"/>
              </w:rPr>
              <w:t>where</w:t>
            </w:r>
            <m:oMath>
              <m:r>
                <w:rPr>
                  <w:rFonts w:ascii="Cambria Math" w:hAnsi="Cambria Math" w:cstheme="minorHAnsi"/>
                  <w:lang w:eastAsia="zh-CN"/>
                </w:rPr>
                <m:t xml:space="preserve"> μ</m:t>
              </m:r>
            </m:oMath>
            <w:r>
              <w:rPr>
                <w:rFonts w:cstheme="minorHAnsi"/>
                <w:lang w:eastAsia="zh-CN"/>
              </w:rPr>
              <w:t xml:space="preserve"> and </w:t>
            </w:r>
            <m:oMath>
              <m:sSup>
                <m:sSupPr>
                  <m:ctrlPr>
                    <w:rPr>
                      <w:rFonts w:ascii="Cambria Math" w:hAnsi="Cambria Math" w:cstheme="minorHAnsi"/>
                      <w:i/>
                      <w:lang w:eastAsia="zh-CN"/>
                    </w:rPr>
                  </m:ctrlPr>
                </m:sSupPr>
                <m:e>
                  <m:r>
                    <w:rPr>
                      <w:rFonts w:ascii="Cambria Math" w:hAnsi="Cambria Math" w:cstheme="minorHAnsi"/>
                      <w:lang w:eastAsia="zh-CN"/>
                    </w:rPr>
                    <m:t>σ</m:t>
                  </m:r>
                </m:e>
                <m:sup>
                  <m:r>
                    <w:rPr>
                      <w:rFonts w:ascii="Cambria Math" w:hAnsi="Cambria Math" w:cstheme="minorHAnsi"/>
                      <w:lang w:eastAsia="zh-CN"/>
                    </w:rPr>
                    <m:t>2</m:t>
                  </m:r>
                </m:sup>
              </m:sSup>
            </m:oMath>
            <w:r>
              <w:rPr>
                <w:rFonts w:cstheme="minorHAnsi"/>
                <w:lang w:eastAsia="zh-CN"/>
              </w:rPr>
              <w:t xml:space="preserve"> denote the mean and variance of the beta distribution, respectively with </w:t>
            </w:r>
          </w:p>
          <w:p w:rsidR="009D2079" w:rsidRPr="009D2079" w:rsidRDefault="009D2079" w:rsidP="00047821">
            <w:pPr>
              <w:keepNext/>
              <w:spacing w:line="480" w:lineRule="auto"/>
              <w:rPr>
                <w:rFonts w:cstheme="minorHAnsi"/>
              </w:rPr>
            </w:pPr>
            <m:oMathPara>
              <m:oMath>
                <m:r>
                  <w:rPr>
                    <w:rFonts w:ascii="Cambria Math" w:hAnsi="Cambria Math" w:cstheme="minorHAnsi"/>
                  </w:rPr>
                  <m:t>μ</m:t>
                </m:r>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m:t>
                </m:r>
              </m:oMath>
            </m:oMathPara>
          </w:p>
          <w:p w:rsidR="006F0B1D" w:rsidRDefault="006F0B1D" w:rsidP="00047821">
            <w:pPr>
              <w:keepNext/>
              <w:spacing w:line="480" w:lineRule="auto"/>
              <w:rPr>
                <w:rFonts w:cstheme="minorHAnsi"/>
              </w:rPr>
            </w:pPr>
            <w:r>
              <w:rPr>
                <w:rFonts w:cstheme="minorHAnsi"/>
              </w:rPr>
              <w:t>Stage 2: Draw Δ from the beta distribution.</w:t>
            </w:r>
          </w:p>
          <w:p w:rsidR="006F0B1D" w:rsidRDefault="006F0B1D" w:rsidP="00047821">
            <w:pPr>
              <w:keepNext/>
              <w:spacing w:line="480" w:lineRule="auto"/>
              <w:rPr>
                <w:rFonts w:cstheme="minorHAnsi"/>
              </w:rPr>
            </w:pPr>
            <w:r>
              <w:rPr>
                <w:rFonts w:cstheme="minorHAnsi"/>
              </w:rPr>
              <w:lastRenderedPageBreak/>
              <w:t xml:space="preserve">Stage 3: Draw U2 from the </w:t>
            </w:r>
            <w:r w:rsidR="00165E76">
              <w:rPr>
                <w:rFonts w:cstheme="minorHAnsi"/>
              </w:rPr>
              <w:t>beta</w:t>
            </w:r>
            <w:r>
              <w:rPr>
                <w:rFonts w:cstheme="minorHAnsi"/>
              </w:rPr>
              <w:t xml:space="preserve"> distribution.</w:t>
            </w:r>
          </w:p>
          <w:p w:rsidR="006F0B1D" w:rsidRPr="009D2079" w:rsidRDefault="006F0B1D" w:rsidP="00047821">
            <w:pPr>
              <w:keepNext/>
              <w:spacing w:line="480" w:lineRule="auto"/>
              <w:rPr>
                <w:rFonts w:cstheme="minorHAnsi"/>
              </w:rPr>
            </w:pPr>
            <w:r>
              <w:rPr>
                <w:rFonts w:cstheme="minorHAnsi"/>
              </w:rPr>
              <w:t>Stage 4: Samples of U1 is calculated using samples of U2 plus samples of Δ.</w:t>
            </w:r>
          </w:p>
          <w:p w:rsidR="009D2079" w:rsidRPr="009D2079" w:rsidRDefault="009D2079" w:rsidP="00047821">
            <w:pPr>
              <w:keepNext/>
              <w:spacing w:line="480" w:lineRule="auto"/>
              <w:rPr>
                <w:rFonts w:cstheme="minorHAnsi"/>
                <w:vertAlign w:val="subscript"/>
                <w:lang w:eastAsia="zh-CN"/>
              </w:rPr>
            </w:pPr>
          </w:p>
        </w:tc>
      </w:tr>
    </w:tbl>
    <w:p w:rsidR="00131B0D" w:rsidRDefault="00131B0D" w:rsidP="00047821">
      <w:pPr>
        <w:pStyle w:val="Caption"/>
        <w:spacing w:line="480" w:lineRule="auto"/>
      </w:pPr>
      <w:bookmarkStart w:id="8" w:name="_Ref323291518"/>
      <w:r>
        <w:lastRenderedPageBreak/>
        <w:t xml:space="preserve">Table </w:t>
      </w:r>
      <w:fldSimple w:instr=" SEQ Table \* ARABIC ">
        <w:r w:rsidR="006E6329">
          <w:rPr>
            <w:noProof/>
          </w:rPr>
          <w:t>3</w:t>
        </w:r>
      </w:fldSimple>
      <w:bookmarkEnd w:id="8"/>
      <w:r>
        <w:t xml:space="preserve"> Summary </w:t>
      </w:r>
      <w:r w:rsidR="003B2A39">
        <w:t xml:space="preserve">of the ten approaches </w:t>
      </w:r>
      <w:r w:rsidR="0064679C">
        <w:t>considered</w:t>
      </w:r>
      <w:r w:rsidR="00AB0860">
        <w:t>. The † symbol indicates classes of methods where monotonicity cannot be violated.</w:t>
      </w:r>
    </w:p>
    <w:p w:rsidR="0030364B" w:rsidRDefault="00A53CD0" w:rsidP="00D210AA">
      <w:pPr>
        <w:pStyle w:val="Heading2"/>
      </w:pPr>
      <w:r>
        <w:t>Naïve methods</w:t>
      </w:r>
    </w:p>
    <w:p w:rsidR="0030364B" w:rsidRDefault="00A53CD0" w:rsidP="00047821">
      <w:pPr>
        <w:spacing w:line="480" w:lineRule="auto"/>
      </w:pPr>
      <w:r>
        <w:t xml:space="preserve">Methods one and two are both simple. Method </w:t>
      </w:r>
      <w:r w:rsidR="00EF2C9A">
        <w:t>one</w:t>
      </w:r>
      <w:r>
        <w:t>, independent sampling, is the simplest method of all, and does not take the mon</w:t>
      </w:r>
      <w:r w:rsidR="0018273B">
        <w:t>otonicity condition into account</w:t>
      </w:r>
      <w:r>
        <w:t xml:space="preserve">. Nevertheless, in cases where the means of U1 and U2 are far apart and the standard errors of both parameters are small, this method may still produce PSA values which do not violate the monotonicity assumption. </w:t>
      </w:r>
      <w:r w:rsidR="006B236F">
        <w:t xml:space="preserve">Method </w:t>
      </w:r>
      <w:r w:rsidR="00EF2C9A">
        <w:t>two</w:t>
      </w:r>
      <w:r w:rsidR="006B236F">
        <w:t xml:space="preserve"> involves using the same random number when drawing from both the U1 and U2 distributions. </w:t>
      </w:r>
    </w:p>
    <w:p w:rsidR="0086407B" w:rsidRDefault="0086407B" w:rsidP="00D210AA">
      <w:pPr>
        <w:pStyle w:val="Heading2"/>
      </w:pPr>
      <w:r>
        <w:t>Resampling and replacement methods</w:t>
      </w:r>
    </w:p>
    <w:p w:rsidR="008E0F30" w:rsidRDefault="0086407B" w:rsidP="00047821">
      <w:pPr>
        <w:spacing w:line="480" w:lineRule="auto"/>
      </w:pPr>
      <w:commentRangeStart w:id="9"/>
      <w:r>
        <w:t xml:space="preserve">Methods </w:t>
      </w:r>
      <w:r w:rsidR="00EF2C9A">
        <w:t>three</w:t>
      </w:r>
      <w:r w:rsidR="004B3189">
        <w:t xml:space="preserve"> to </w:t>
      </w:r>
      <w:r w:rsidR="00EF2C9A">
        <w:t>six</w:t>
      </w:r>
      <w:r>
        <w:t xml:space="preserve"> are relatively simple to implement. All four methods involve sampling one of the two paired values, </w:t>
      </w:r>
      <w:r w:rsidRPr="0086407B">
        <w:t>U1</w:t>
      </w:r>
      <w:r>
        <w:rPr>
          <w:vertAlign w:val="subscript"/>
        </w:rPr>
        <w:t>i</w:t>
      </w:r>
      <w:r>
        <w:t xml:space="preserve"> or U2</w:t>
      </w:r>
      <w:r>
        <w:rPr>
          <w:vertAlign w:val="subscript"/>
        </w:rPr>
        <w:t>i</w:t>
      </w:r>
      <w:r w:rsidRPr="0086407B">
        <w:t xml:space="preserve">, </w:t>
      </w:r>
      <w:r>
        <w:t>independently, before sampling the value, U2</w:t>
      </w:r>
      <w:r>
        <w:rPr>
          <w:vertAlign w:val="subscript"/>
        </w:rPr>
        <w:t>i</w:t>
      </w:r>
      <w:r>
        <w:t xml:space="preserve"> or U1</w:t>
      </w:r>
      <w:r>
        <w:rPr>
          <w:vertAlign w:val="subscript"/>
        </w:rPr>
        <w:t>i</w:t>
      </w:r>
      <w:r>
        <w:t xml:space="preserve">. For methods </w:t>
      </w:r>
      <w:r w:rsidR="00103ED7">
        <w:t>three and four</w:t>
      </w:r>
      <w:r>
        <w:t xml:space="preserve">, the second value is then replaced with the first value if it violates the monotonicity assumption. For methods </w:t>
      </w:r>
      <w:r w:rsidR="00EF2C9A">
        <w:t>five</w:t>
      </w:r>
      <w:r>
        <w:t xml:space="preserve"> and </w:t>
      </w:r>
      <w:r w:rsidR="00EF2C9A">
        <w:t>six</w:t>
      </w:r>
      <w:r>
        <w:t xml:space="preserve">, the second value is </w:t>
      </w:r>
      <w:r w:rsidR="008E0F30">
        <w:t>retained if it does not violate the monotonicity assumption, and resampled if it does violate the assumption. The second value is resampled until a value which does not violate the monotonicity assumption is drawn.</w:t>
      </w:r>
    </w:p>
    <w:p w:rsidR="008E0F30" w:rsidRDefault="008E0F30" w:rsidP="00047821">
      <w:pPr>
        <w:spacing w:line="480" w:lineRule="auto"/>
      </w:pPr>
      <w:r>
        <w:t xml:space="preserve">There are theoretical reasons to be concerned with both </w:t>
      </w:r>
      <w:r w:rsidR="00366FEC">
        <w:t>the resampling and replacement methods</w:t>
      </w:r>
      <w:r>
        <w:t xml:space="preserve">. The replacement methods can be </w:t>
      </w:r>
      <w:r w:rsidR="00165E76">
        <w:t>shown to</w:t>
      </w:r>
      <w:r>
        <w:t xml:space="preserve"> produce biased estimates of the mean value</w:t>
      </w:r>
      <w:r w:rsidR="009D4C8F">
        <w:t xml:space="preserve">. </w:t>
      </w:r>
      <w:r w:rsidR="00366FEC">
        <w:t xml:space="preserve">Any systematic increase (or decrease) in the sample value will result in the average of 1,000 </w:t>
      </w:r>
      <w:r w:rsidR="0018273B">
        <w:t xml:space="preserve">samples </w:t>
      </w:r>
      <w:r w:rsidR="00366FEC">
        <w:t xml:space="preserve">being greater than (or lower than) the true distribution mean. This phenomenon occurs </w:t>
      </w:r>
      <w:r w:rsidR="00EF2C9A">
        <w:t xml:space="preserve">independently </w:t>
      </w:r>
      <w:r w:rsidR="00366FEC">
        <w:t xml:space="preserve">of whether the value is set equal to the previously sampled parameter value, or whether it is resampled until monotonicity is upheld, although the bias will be less in the former </w:t>
      </w:r>
      <w:commentRangeEnd w:id="9"/>
      <w:r w:rsidR="004B3189">
        <w:rPr>
          <w:rStyle w:val="CommentReference"/>
        </w:rPr>
        <w:lastRenderedPageBreak/>
        <w:commentReference w:id="9"/>
      </w:r>
      <w:proofErr w:type="gramStart"/>
      <w:r w:rsidR="00C44D3B">
        <w:t>methodology</w:t>
      </w:r>
      <w:proofErr w:type="gramEnd"/>
      <w:r w:rsidR="00366FEC">
        <w:t xml:space="preserve">. Despite the known bias </w:t>
      </w:r>
      <w:r w:rsidR="00103ED7">
        <w:t xml:space="preserve">of </w:t>
      </w:r>
      <w:r w:rsidR="00366FEC">
        <w:t xml:space="preserve">these methods </w:t>
      </w:r>
      <w:r w:rsidR="00103ED7">
        <w:t xml:space="preserve">they </w:t>
      </w:r>
      <w:r w:rsidR="00366FEC">
        <w:t xml:space="preserve">have been included to </w:t>
      </w:r>
      <w:r w:rsidR="0018273B">
        <w:t xml:space="preserve">formally highlight </w:t>
      </w:r>
      <w:r w:rsidR="00366FEC">
        <w:t xml:space="preserve">this. </w:t>
      </w:r>
    </w:p>
    <w:p w:rsidR="00F61C10" w:rsidRDefault="004B2A9B" w:rsidP="00D210AA">
      <w:pPr>
        <w:pStyle w:val="Heading2"/>
      </w:pPr>
      <w:r>
        <w:t xml:space="preserve">Multivariate </w:t>
      </w:r>
      <w:r w:rsidRPr="00D210AA">
        <w:t>model</w:t>
      </w:r>
      <w:r>
        <w:t xml:space="preserve"> methods</w:t>
      </w:r>
    </w:p>
    <w:p w:rsidR="00AA771D" w:rsidRDefault="004B2A9B" w:rsidP="00047821">
      <w:pPr>
        <w:spacing w:line="480" w:lineRule="auto"/>
      </w:pPr>
      <w:r>
        <w:t xml:space="preserve">Methods </w:t>
      </w:r>
      <w:r w:rsidR="00EF2C9A">
        <w:t>seven</w:t>
      </w:r>
      <w:r w:rsidR="004B3189">
        <w:t xml:space="preserve"> to </w:t>
      </w:r>
      <w:r w:rsidR="00EF2C9A">
        <w:t>nine</w:t>
      </w:r>
      <w:r w:rsidR="00E36AFD">
        <w:t xml:space="preserve"> </w:t>
      </w:r>
      <w:r w:rsidR="00F61C10">
        <w:t xml:space="preserve">each involve selecting </w:t>
      </w:r>
      <w:proofErr w:type="spellStart"/>
      <w:r w:rsidR="00F61C10">
        <w:t>covariances</w:t>
      </w:r>
      <w:proofErr w:type="spellEnd"/>
      <w:r w:rsidR="00F61C10">
        <w:t xml:space="preserve"> on the basis either of the variances presented in the summary statistics for U1 and U2, </w:t>
      </w:r>
      <w:r w:rsidR="00A2397C">
        <w:t>or on whether monotonicity is mai</w:t>
      </w:r>
      <w:r w:rsidR="00573694">
        <w:t xml:space="preserve">ntained on all runs of the PSA. Method </w:t>
      </w:r>
      <w:r w:rsidR="00EF2C9A">
        <w:t>seven</w:t>
      </w:r>
      <w:r>
        <w:t xml:space="preserve"> </w:t>
      </w:r>
      <w:r w:rsidR="00573694">
        <w:t>involves setting the covariance between U1 and U2 to the average of the individual varianc</w:t>
      </w:r>
      <w:r w:rsidR="00AA771D">
        <w:t xml:space="preserve">es of the means (AIVM). Method </w:t>
      </w:r>
      <w:r w:rsidR="00EF2C9A">
        <w:t>eight</w:t>
      </w:r>
      <w:r w:rsidR="00AA771D">
        <w:t xml:space="preserve"> involves setting the covariance to such a value that no PSA draws violate the monotonicity assumption, subject to the constraint that the covariance is also greater than</w:t>
      </w:r>
      <w:r w:rsidR="00366FEC">
        <w:t xml:space="preserve"> the </w:t>
      </w:r>
      <w:r w:rsidR="00AA771D">
        <w:t xml:space="preserve">AIVM. For method </w:t>
      </w:r>
      <w:r w:rsidR="00EF2C9A">
        <w:t>nine</w:t>
      </w:r>
      <w:r w:rsidR="00AA771D">
        <w:t xml:space="preserve">, the covariance is also set such that no PSA draws violate the monotonicity assumption, but this time subject to the constraint that the covariance is also less than the AIVM. </w:t>
      </w:r>
      <w:r w:rsidR="00165E76">
        <w:t xml:space="preserve">Unlike the other approaches used here, these three approaches involve sampling from bivariate normal distributions rather than beta </w:t>
      </w:r>
      <w:r w:rsidR="00775489">
        <w:t xml:space="preserve">distributions, which is less appropriate in theory as the normal distribution, unlike the beta distribution, is not bounded to produce values between 0 and 1. </w:t>
      </w:r>
    </w:p>
    <w:p w:rsidR="00A2397C" w:rsidRDefault="00366FEC" w:rsidP="00047821">
      <w:pPr>
        <w:spacing w:line="480" w:lineRule="auto"/>
      </w:pPr>
      <w:r>
        <w:t>A further</w:t>
      </w:r>
      <w:r w:rsidR="00AA771D">
        <w:t xml:space="preserve"> logical constraint also applies to all three methods. This is that the </w:t>
      </w:r>
      <w:proofErr w:type="spellStart"/>
      <w:r w:rsidR="00AA771D">
        <w:t>covariances</w:t>
      </w:r>
      <w:proofErr w:type="spellEnd"/>
      <w:r w:rsidR="00AA771D">
        <w:t xml:space="preserve"> cannot imply a correlation </w:t>
      </w:r>
      <w:r w:rsidR="0018273B">
        <w:t>with a magnitude greater than</w:t>
      </w:r>
      <w:r w:rsidR="00AA771D">
        <w:t xml:space="preserve"> 1.</w:t>
      </w:r>
      <w:r w:rsidR="00A2397C">
        <w:t xml:space="preserve"> </w:t>
      </w:r>
      <w:r w:rsidR="00AE2C7F">
        <w:t>The</w:t>
      </w:r>
      <w:r w:rsidR="00A2397C">
        <w:t xml:space="preserve"> correlation of two random variables X and Y is defined as follows:</w:t>
      </w:r>
    </w:p>
    <w:p w:rsidR="00A2397C" w:rsidRDefault="00330E69" w:rsidP="00047821">
      <w:pPr>
        <w:spacing w:line="48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box>
            <m:boxPr>
              <m:opEmu m:val="1"/>
              <m:ctrlPr>
                <w:rPr>
                  <w:rFonts w:ascii="Cambria Math" w:hAnsi="Cambria Math"/>
                  <w:i/>
                </w:rPr>
              </m:ctrlPr>
            </m:boxPr>
            <m:e>
              <m:r>
                <w:rPr>
                  <w:rFonts w:ascii="Cambria Math" w:hAnsi="Cambria Math"/>
                </w:rPr>
                <m:t>≡</m:t>
              </m:r>
            </m:e>
          </m:box>
          <m:r>
            <w:rPr>
              <w:rFonts w:ascii="Cambria Math" w:hAnsi="Cambria Math"/>
            </w:rPr>
            <m:t xml:space="preserve"> </m:t>
          </m:r>
          <m:f>
            <m:fPr>
              <m:ctrlPr>
                <w:rPr>
                  <w:rFonts w:ascii="Cambria Math" w:hAnsi="Cambria Math"/>
                  <w:i/>
                </w:rPr>
              </m:ctrlPr>
            </m:fPr>
            <m:num>
              <m:r>
                <w:rPr>
                  <w:rFonts w:ascii="Cambria Math" w:hAnsi="Cambria Math"/>
                </w:rPr>
                <m:t>Cov (X, Y)</m:t>
              </m:r>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F61C10" w:rsidRDefault="00AE2C7F" w:rsidP="00047821">
      <w:pPr>
        <w:spacing w:line="480" w:lineRule="auto"/>
      </w:pPr>
      <w:r>
        <w:t>For this reason, t</w:t>
      </w:r>
      <w:r w:rsidR="00A2397C">
        <w:t xml:space="preserve">he upper limit of the covariance must </w:t>
      </w:r>
      <w:proofErr w:type="gramStart"/>
      <w:r w:rsidR="00A2397C">
        <w:t xml:space="preserve">be </w:t>
      </w:r>
      <w:proofErr w:type="gramEnd"/>
      <m:oMath>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w:r w:rsidR="00A2397C">
        <w:t xml:space="preserve">. For approach seven, this effectively states that the </w:t>
      </w:r>
      <w:r w:rsidR="00D758FB">
        <w:t>covariance selected is:</w:t>
      </w:r>
    </w:p>
    <w:p w:rsidR="00D758FB" w:rsidRPr="00AE2C7F" w:rsidRDefault="00D758FB" w:rsidP="00047821">
      <w:pPr>
        <w:spacing w:line="480" w:lineRule="auto"/>
        <w:rPr>
          <w:rFonts w:cstheme="minorHAnsi"/>
        </w:rPr>
      </w:pPr>
      <m:oMathPara>
        <m:oMath>
          <m:r>
            <w:rPr>
              <w:rFonts w:ascii="Cambria Math" w:hAnsi="Cambria Math"/>
            </w:rPr>
            <m:t xml:space="preserve">Cov </m:t>
          </m:r>
          <m:d>
            <m:dPr>
              <m:ctrlPr>
                <w:rPr>
                  <w:rFonts w:ascii="Cambria Math" w:hAnsi="Cambria Math"/>
                  <w:i/>
                </w:rPr>
              </m:ctrlPr>
            </m:dPr>
            <m:e>
              <m:r>
                <w:rPr>
                  <w:rFonts w:ascii="Cambria Math" w:hAnsi="Cambria Math"/>
                </w:rPr>
                <m:t>X, Y</m:t>
              </m:r>
            </m:e>
          </m:d>
          <m:r>
            <w:rPr>
              <w:rFonts w:ascii="Cambria Math" w:hAnsi="Cambria Math"/>
            </w:rPr>
            <m:t xml:space="preserve">=Min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e>
                    <m:r>
                      <w:rPr>
                        <w:rFonts w:ascii="Cambria Math" w:hAnsi="Cambria Math"/>
                      </w:rPr>
                      <m:t>,</m:t>
                    </m:r>
                  </m:e>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num>
                      <m:den>
                        <m:r>
                          <w:rPr>
                            <w:rFonts w:ascii="Cambria Math" w:hAnsi="Cambria Math"/>
                          </w:rPr>
                          <m:t>2</m:t>
                        </m:r>
                      </m:den>
                    </m:f>
                  </m:e>
                </m:mr>
              </m:m>
            </m:e>
          </m:d>
        </m:oMath>
      </m:oMathPara>
    </w:p>
    <w:p w:rsidR="00AE2C7F" w:rsidRDefault="00AE2C7F" w:rsidP="00047821">
      <w:pPr>
        <w:spacing w:line="480" w:lineRule="auto"/>
        <w:rPr>
          <w:rFonts w:cstheme="minorHAnsi"/>
        </w:rPr>
      </w:pPr>
      <w:r>
        <w:rPr>
          <w:rFonts w:cstheme="minorHAnsi"/>
        </w:rPr>
        <w:t>This constrain</w:t>
      </w:r>
      <w:r w:rsidR="00E36AFD">
        <w:rPr>
          <w:rFonts w:cstheme="minorHAnsi"/>
        </w:rPr>
        <w:t>t</w:t>
      </w:r>
      <w:r>
        <w:rPr>
          <w:rFonts w:cstheme="minorHAnsi"/>
        </w:rPr>
        <w:t xml:space="preserve"> also </w:t>
      </w:r>
      <w:r w:rsidR="00AA771D">
        <w:rPr>
          <w:rFonts w:cstheme="minorHAnsi"/>
        </w:rPr>
        <w:t xml:space="preserve">places an upper limit on the range of </w:t>
      </w:r>
      <w:proofErr w:type="spellStart"/>
      <w:r w:rsidR="00AA771D">
        <w:rPr>
          <w:rFonts w:cstheme="minorHAnsi"/>
        </w:rPr>
        <w:t>covariances</w:t>
      </w:r>
      <w:proofErr w:type="spellEnd"/>
      <w:r w:rsidR="00AA771D">
        <w:rPr>
          <w:rFonts w:cstheme="minorHAnsi"/>
        </w:rPr>
        <w:t xml:space="preserve"> which may be considered in methods </w:t>
      </w:r>
      <w:r w:rsidR="00E36AFD">
        <w:rPr>
          <w:rFonts w:cstheme="minorHAnsi"/>
        </w:rPr>
        <w:t>eight</w:t>
      </w:r>
      <w:r>
        <w:rPr>
          <w:rFonts w:cstheme="minorHAnsi"/>
        </w:rPr>
        <w:t xml:space="preserve"> and </w:t>
      </w:r>
      <w:r w:rsidR="00E36AFD">
        <w:rPr>
          <w:rFonts w:cstheme="minorHAnsi"/>
        </w:rPr>
        <w:t>nine</w:t>
      </w:r>
      <w:r>
        <w:rPr>
          <w:rFonts w:cstheme="minorHAnsi"/>
        </w:rPr>
        <w:t>.</w:t>
      </w:r>
      <w:r w:rsidR="00AA771D">
        <w:rPr>
          <w:rFonts w:cstheme="minorHAnsi"/>
        </w:rPr>
        <w:t xml:space="preserve"> </w:t>
      </w:r>
    </w:p>
    <w:p w:rsidR="00D758FB" w:rsidRDefault="00C81A35" w:rsidP="00D210AA">
      <w:pPr>
        <w:pStyle w:val="Heading2"/>
      </w:pPr>
      <w:r>
        <w:lastRenderedPageBreak/>
        <w:t>Difference model method</w:t>
      </w:r>
    </w:p>
    <w:p w:rsidR="00E71475" w:rsidRDefault="00084D3F" w:rsidP="00047821">
      <w:pPr>
        <w:spacing w:line="480" w:lineRule="auto"/>
        <w:rPr>
          <w:lang w:eastAsia="zh-CN"/>
        </w:rPr>
      </w:pPr>
      <w:r>
        <w:t xml:space="preserve">The concept of this method is to find transformations of U1 and U2, such that the transformed variables are judged to be independent. We introduce </w:t>
      </w:r>
      <w:r w:rsidR="0018273B">
        <w:t xml:space="preserve">another </w:t>
      </w:r>
      <w:proofErr w:type="gramStart"/>
      <w:r>
        <w:t xml:space="preserve">variable </w:t>
      </w:r>
      <w:proofErr w:type="gramEnd"/>
      <m:oMath>
        <m:r>
          <w:rPr>
            <w:rFonts w:ascii="Cambria Math" w:hAnsi="Cambria Math"/>
          </w:rPr>
          <m:t>∆</m:t>
        </m:r>
      </m:oMath>
      <w:r>
        <w:t xml:space="preserve">, which is the difference between U1 and U2. We </w:t>
      </w:r>
      <w:r w:rsidR="004B3189">
        <w:t xml:space="preserve">assume </w:t>
      </w:r>
      <w:r>
        <w:t xml:space="preserve">that U1 is independent of </w:t>
      </w:r>
      <m:oMath>
        <m:r>
          <w:rPr>
            <w:rFonts w:ascii="Cambria Math" w:hAnsi="Cambria Math"/>
          </w:rPr>
          <m:t>∆</m:t>
        </m:r>
      </m:oMath>
      <w:r>
        <w:t xml:space="preserve"> and U2 is also independent </w:t>
      </w:r>
      <w:proofErr w:type="gramStart"/>
      <w:r>
        <w:t xml:space="preserve">of </w:t>
      </w:r>
      <w:proofErr w:type="gramEnd"/>
      <m:oMath>
        <m:r>
          <w:rPr>
            <w:rFonts w:ascii="Cambria Math" w:hAnsi="Cambria Math"/>
          </w:rPr>
          <m:t>∆</m:t>
        </m:r>
      </m:oMath>
      <w:r>
        <w:t xml:space="preserve">. </w:t>
      </w:r>
      <w:r w:rsidR="00E71475">
        <w:rPr>
          <w:rFonts w:hint="eastAsia"/>
          <w:lang w:eastAsia="zh-CN"/>
        </w:rPr>
        <w:t xml:space="preserve">Depending on the </w:t>
      </w:r>
      <w:r w:rsidR="00E71475">
        <w:rPr>
          <w:lang w:eastAsia="zh-CN"/>
        </w:rPr>
        <w:t>magnitude</w:t>
      </w:r>
      <w:r w:rsidR="00E71475">
        <w:rPr>
          <w:rFonts w:hint="eastAsia"/>
          <w:lang w:eastAsia="zh-CN"/>
        </w:rPr>
        <w:t xml:space="preserve"> of the </w:t>
      </w:r>
      <w:r w:rsidR="00E71475">
        <w:rPr>
          <w:lang w:eastAsia="zh-CN"/>
        </w:rPr>
        <w:t>variance</w:t>
      </w:r>
      <w:r w:rsidR="00E71475">
        <w:rPr>
          <w:rFonts w:hint="eastAsia"/>
          <w:lang w:eastAsia="zh-CN"/>
        </w:rPr>
        <w:t xml:space="preserve"> of U1 and U2, we define two different difference models. This is to make sure we will always be able to calculate the variance </w:t>
      </w:r>
      <w:proofErr w:type="gramStart"/>
      <w:r w:rsidR="00E71475">
        <w:rPr>
          <w:rFonts w:hint="eastAsia"/>
          <w:lang w:eastAsia="zh-CN"/>
        </w:rPr>
        <w:t xml:space="preserve">of </w:t>
      </w:r>
      <w:proofErr w:type="gramEnd"/>
      <m:oMath>
        <m:r>
          <w:rPr>
            <w:rFonts w:ascii="Cambria Math" w:hAnsi="Cambria Math"/>
          </w:rPr>
          <m:t>∆</m:t>
        </m:r>
      </m:oMath>
      <w:r w:rsidR="00E71475">
        <w:rPr>
          <w:rFonts w:hint="eastAsia"/>
          <w:lang w:eastAsia="zh-CN"/>
        </w:rPr>
        <w:t>.</w:t>
      </w:r>
    </w:p>
    <w:p w:rsidR="0018273B" w:rsidRPr="0018273B" w:rsidRDefault="00F401A7" w:rsidP="00047821">
      <w:pPr>
        <w:spacing w:line="480" w:lineRule="auto"/>
        <w:rPr>
          <w:rFonts w:cstheme="minorHAnsi"/>
        </w:rPr>
      </w:pPr>
      <w:r>
        <w:t xml:space="preserve">Since </w:t>
      </w:r>
      <w:r w:rsidR="00485010">
        <w:t xml:space="preserve">in our example </w:t>
      </w:r>
      <w:r>
        <w:t xml:space="preserve">both U1 and U2 are in the range between 0 and 1, the difference </w:t>
      </w:r>
      <m:oMath>
        <m:r>
          <w:rPr>
            <w:rFonts w:ascii="Cambria Math" w:hAnsi="Cambria Math"/>
          </w:rPr>
          <m:t>∆</m:t>
        </m:r>
      </m:oMath>
      <w:r>
        <w:t xml:space="preserve"> need</w:t>
      </w:r>
      <w:proofErr w:type="spellStart"/>
      <w:r w:rsidR="00C86CD6">
        <w:rPr>
          <w:rFonts w:hint="eastAsia"/>
          <w:lang w:eastAsia="zh-CN"/>
        </w:rPr>
        <w:t>s</w:t>
      </w:r>
      <w:proofErr w:type="spellEnd"/>
      <w:r>
        <w:t xml:space="preserve"> to be bounded between 0 and 1 as well. We assume a beta distribution </w:t>
      </w:r>
      <w:proofErr w:type="gramStart"/>
      <w:r w:rsidR="00C86CD6">
        <w:rPr>
          <w:rFonts w:hint="eastAsia"/>
          <w:lang w:eastAsia="zh-CN"/>
        </w:rPr>
        <w:t>Beta(</w:t>
      </w:r>
      <w:proofErr w:type="spellStart"/>
      <w:proofErr w:type="gramEnd"/>
      <w:r w:rsidR="00C86CD6">
        <w:rPr>
          <w:rFonts w:hint="eastAsia"/>
          <w:lang w:eastAsia="zh-CN"/>
        </w:rPr>
        <w:t>a,b</w:t>
      </w:r>
      <w:proofErr w:type="spellEnd"/>
      <w:r w:rsidR="00C86CD6">
        <w:rPr>
          <w:rFonts w:hint="eastAsia"/>
          <w:lang w:eastAsia="zh-CN"/>
        </w:rPr>
        <w:t xml:space="preserve">) </w:t>
      </w:r>
      <w:r>
        <w:t xml:space="preserve">for </w:t>
      </w:r>
      <m:oMath>
        <m:r>
          <w:rPr>
            <w:rFonts w:ascii="Cambria Math" w:hAnsi="Cambria Math"/>
          </w:rPr>
          <m:t>∆</m:t>
        </m:r>
      </m:oMath>
      <w:r>
        <w:rPr>
          <w:rFonts w:hint="eastAsia"/>
          <w:lang w:eastAsia="zh-CN"/>
        </w:rPr>
        <w:t xml:space="preserve"> so that this condition is met. </w:t>
      </w:r>
      <w:r w:rsidR="00C86CD6">
        <w:rPr>
          <w:rFonts w:hint="eastAsia"/>
          <w:lang w:eastAsia="zh-CN"/>
        </w:rPr>
        <w:t xml:space="preserve">We calculate the two beta parameters </w:t>
      </w:r>
      <w:proofErr w:type="gramStart"/>
      <w:r w:rsidR="00C86CD6">
        <w:rPr>
          <w:rFonts w:hint="eastAsia"/>
          <w:lang w:eastAsia="zh-CN"/>
        </w:rPr>
        <w:t>a and</w:t>
      </w:r>
      <w:proofErr w:type="gramEnd"/>
      <w:r w:rsidR="00C86CD6">
        <w:rPr>
          <w:rFonts w:hint="eastAsia"/>
          <w:lang w:eastAsia="zh-CN"/>
        </w:rPr>
        <w:t xml:space="preserve"> b using the mean and variance of U1 and U2</w:t>
      </w:r>
      <w:r w:rsidR="004B3189">
        <w:rPr>
          <w:lang w:eastAsia="zh-CN"/>
        </w:rPr>
        <w:t xml:space="preserve"> as described earlier</w:t>
      </w:r>
      <w:r w:rsidR="00E71475">
        <w:rPr>
          <w:rFonts w:hint="eastAsia"/>
          <w:lang w:eastAsia="zh-CN"/>
        </w:rPr>
        <w:t xml:space="preserve">. In </w:t>
      </w:r>
      <w:r w:rsidR="0018273B">
        <w:rPr>
          <w:lang w:eastAsia="zh-CN"/>
        </w:rPr>
        <w:t xml:space="preserve">the </w:t>
      </w:r>
      <w:r w:rsidR="00E71475">
        <w:rPr>
          <w:rFonts w:hint="eastAsia"/>
          <w:lang w:eastAsia="zh-CN"/>
        </w:rPr>
        <w:t xml:space="preserve">PSA, we </w:t>
      </w:r>
      <w:r w:rsidR="00E71475">
        <w:rPr>
          <w:lang w:eastAsia="zh-CN"/>
        </w:rPr>
        <w:t>firstly</w:t>
      </w:r>
      <w:r w:rsidR="00E71475">
        <w:rPr>
          <w:rFonts w:hint="eastAsia"/>
          <w:lang w:eastAsia="zh-CN"/>
        </w:rPr>
        <w:t xml:space="preserve"> draw </w:t>
      </w:r>
      <m:oMath>
        <m:r>
          <w:rPr>
            <w:rFonts w:ascii="Cambria Math" w:hAnsi="Cambria Math"/>
          </w:rPr>
          <m:t>∆</m:t>
        </m:r>
      </m:oMath>
      <w:r w:rsidR="00E71475">
        <w:rPr>
          <w:rFonts w:hint="eastAsia"/>
          <w:lang w:eastAsia="zh-CN"/>
        </w:rPr>
        <w:t xml:space="preserve"> from </w:t>
      </w:r>
      <w:proofErr w:type="gramStart"/>
      <w:r w:rsidR="00E71475">
        <w:rPr>
          <w:rFonts w:hint="eastAsia"/>
          <w:lang w:eastAsia="zh-CN"/>
        </w:rPr>
        <w:t>Beta(</w:t>
      </w:r>
      <w:proofErr w:type="gramEnd"/>
      <w:r w:rsidR="00E71475">
        <w:rPr>
          <w:rFonts w:hint="eastAsia"/>
          <w:lang w:eastAsia="zh-CN"/>
        </w:rPr>
        <w:t xml:space="preserve">a,b), then draw either U1 or U2 from its normal distribution depending on the model used. Finally, </w:t>
      </w:r>
      <w:r w:rsidR="00775489">
        <w:rPr>
          <w:lang w:eastAsia="zh-CN"/>
        </w:rPr>
        <w:t xml:space="preserve">we </w:t>
      </w:r>
      <w:r w:rsidR="00E71475">
        <w:rPr>
          <w:rFonts w:hint="eastAsia"/>
          <w:lang w:eastAsia="zh-CN"/>
        </w:rPr>
        <w:t>calculate samples of U2 using U2=U1-</w:t>
      </w:r>
      <m:oMath>
        <m:r>
          <w:rPr>
            <w:rFonts w:ascii="Cambria Math" w:hAnsi="Cambria Math"/>
          </w:rPr>
          <m:t>∆</m:t>
        </m:r>
      </m:oMath>
      <w:r w:rsidR="00E71475">
        <w:rPr>
          <w:rFonts w:hint="eastAsia"/>
          <w:lang w:eastAsia="zh-CN"/>
        </w:rPr>
        <w:t xml:space="preserve"> if </w:t>
      </w:r>
      <w:r w:rsidR="00775489">
        <w:rPr>
          <w:lang w:eastAsia="zh-CN"/>
        </w:rPr>
        <w:t xml:space="preserve">the </w:t>
      </w:r>
      <w:r w:rsidR="00E71475">
        <w:rPr>
          <w:rFonts w:hint="eastAsia"/>
          <w:lang w:eastAsia="zh-CN"/>
        </w:rPr>
        <w:t xml:space="preserve">samples of </w:t>
      </w:r>
      <m:oMath>
        <m:r>
          <w:rPr>
            <w:rFonts w:ascii="Cambria Math" w:hAnsi="Cambria Math"/>
          </w:rPr>
          <m:t>∆</m:t>
        </m:r>
      </m:oMath>
      <w:r w:rsidR="00E71475">
        <w:rPr>
          <w:rFonts w:hint="eastAsia"/>
          <w:lang w:eastAsia="zh-CN"/>
        </w:rPr>
        <w:t xml:space="preserve"> and U1 have been drawn, or calculate samples of U1 using U1=U2+</w:t>
      </w:r>
      <m:oMath>
        <m:r>
          <w:rPr>
            <w:rFonts w:ascii="Cambria Math" w:hAnsi="Cambria Math"/>
          </w:rPr>
          <m:t>∆</m:t>
        </m:r>
      </m:oMath>
      <w:r w:rsidR="00E71475">
        <w:rPr>
          <w:rFonts w:hint="eastAsia"/>
          <w:lang w:eastAsia="zh-CN"/>
        </w:rPr>
        <w:t xml:space="preserve"> if samples of </w:t>
      </w:r>
      <m:oMath>
        <m:r>
          <w:rPr>
            <w:rFonts w:ascii="Cambria Math" w:hAnsi="Cambria Math"/>
          </w:rPr>
          <m:t>∆</m:t>
        </m:r>
      </m:oMath>
      <w:r w:rsidR="00E71475">
        <w:rPr>
          <w:rFonts w:hint="eastAsia"/>
          <w:lang w:eastAsia="zh-CN"/>
        </w:rPr>
        <w:t xml:space="preserve"> and U2 have been drawn.</w:t>
      </w:r>
      <w:r w:rsidR="004B3189">
        <w:rPr>
          <w:lang w:eastAsia="zh-CN"/>
        </w:rPr>
        <w:t xml:space="preserve"> </w:t>
      </w:r>
      <w:commentRangeStart w:id="10"/>
      <w:r w:rsidR="00C86CD6">
        <w:t xml:space="preserve">If </w:t>
      </w:r>
      <w:r w:rsidR="00103ED7">
        <w:t xml:space="preserve">the </w:t>
      </w:r>
      <w:r w:rsidR="00C86CD6">
        <w:t>variance of U2</w:t>
      </w:r>
      <w:r w:rsidR="00775489">
        <w:t xml:space="preserve"> is greater than the </w:t>
      </w:r>
      <w:r w:rsidR="00C86CD6">
        <w:t xml:space="preserve">variance of U1, then </w:t>
      </w:r>
      <w:r w:rsidR="00103ED7">
        <w:t xml:space="preserve">we </w:t>
      </w:r>
      <w:r w:rsidR="00775489">
        <w:t xml:space="preserve">let </w:t>
      </w:r>
      <w:r w:rsidR="00C86CD6">
        <w:t>U2</w:t>
      </w:r>
      <w:r w:rsidR="00775489">
        <w:t xml:space="preserve"> = </w:t>
      </w:r>
      <w:r w:rsidR="00C86CD6">
        <w:t>U1-</w:t>
      </w:r>
      <w:r w:rsidR="00C86CD6">
        <w:rPr>
          <w:rFonts w:cstheme="minorHAnsi"/>
        </w:rPr>
        <w:t xml:space="preserve"> Δ. Let</w:t>
      </w:r>
      <w:r w:rsidR="00103ED7">
        <w:rPr>
          <w:rFonts w:cstheme="minorHAnsi"/>
        </w:rPr>
        <w:t>ting</w:t>
      </w:r>
      <w:r w:rsidR="00C86CD6">
        <w:rPr>
          <w:rFonts w:cstheme="minorHAnsi"/>
        </w:rPr>
        <w:t xml:space="preserve"> the mean of Δ be </w:t>
      </w:r>
      <m:oMath>
        <m:r>
          <w:rPr>
            <w:rFonts w:ascii="Cambria Math" w:hAnsi="Cambria Math" w:cstheme="minorHAnsi"/>
          </w:rPr>
          <m:t xml:space="preserve"> μ </m:t>
        </m:r>
      </m:oMath>
      <w:r w:rsidR="00C86CD6">
        <w:rPr>
          <w:rFonts w:cstheme="minorHAnsi"/>
        </w:rPr>
        <w:t>and variance of Δ</w:t>
      </w:r>
      <w:r w:rsidR="00C86CD6">
        <w:rPr>
          <w:rFonts w:cstheme="minorHAnsi"/>
          <w:b/>
        </w:rPr>
        <w:t xml:space="preserve"> </w:t>
      </w:r>
      <w:proofErr w:type="gramStart"/>
      <w:r w:rsidR="00C86CD6">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C86CD6">
        <w:rPr>
          <w:rFonts w:cstheme="minorHAnsi"/>
        </w:rPr>
        <w:t xml:space="preserve">, then </w:t>
      </w:r>
      <w:commentRangeEnd w:id="10"/>
      <w:r w:rsidR="004B3189">
        <w:rPr>
          <w:rStyle w:val="CommentReference"/>
        </w:rPr>
        <w:commentReference w:id="10"/>
      </w:r>
    </w:p>
    <w:p w:rsidR="0018273B" w:rsidRPr="0018273B" w:rsidRDefault="00C86CD6" w:rsidP="00047821">
      <w:pPr>
        <w:spacing w:line="480" w:lineRule="auto"/>
        <w:rPr>
          <w:rFonts w:cstheme="minorHAnsi"/>
        </w:rPr>
      </w:pPr>
      <m:oMathPara>
        <m:oMath>
          <m:r>
            <w:rPr>
              <w:rFonts w:ascii="Cambria Math" w:hAnsi="Cambria Math" w:cstheme="minorHAnsi"/>
            </w:rPr>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m:t>
          </m:r>
          <w:commentRangeStart w:id="11"/>
          <m:r>
            <m:rPr>
              <m:sty m:val="p"/>
            </m:rPr>
            <w:rPr>
              <w:rFonts w:ascii="Cambria Math" w:hAnsi="Cambria Math" w:cstheme="minorHAnsi"/>
            </w:rPr>
            <m:t>(1)</m:t>
          </m:r>
          <w:commentRangeEnd w:id="11"/>
          <m:r>
            <m:rPr>
              <m:sty m:val="p"/>
            </m:rPr>
            <w:rPr>
              <w:rStyle w:val="CommentReference"/>
            </w:rPr>
            <w:commentReference w:id="11"/>
          </m:r>
        </m:oMath>
      </m:oMathPara>
    </w:p>
    <w:p w:rsidR="00C81A35" w:rsidRDefault="00C86CD6" w:rsidP="00C81A35">
      <w:pPr>
        <w:spacing w:line="480" w:lineRule="auto"/>
        <w:rPr>
          <w:rFonts w:cstheme="minorHAnsi"/>
        </w:rPr>
      </w:pPr>
      <m:oMathPara>
        <m:oMath>
          <m:r>
            <m:rPr>
              <m:sty m:val="p"/>
            </m:rPr>
            <w:rPr>
              <w:rFonts w:ascii="Cambria Math" w:hAnsi="Cambria Math" w:cstheme="minorHAnsi"/>
            </w:rPr>
            <w:br/>
          </m:r>
        </m:oMath>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m:rPr>
              <m:sty m:val="p"/>
            </m:rPr>
            <w:rPr>
              <w:rFonts w:ascii="Cambria Math" w:hAnsi="Cambria Math" w:cstheme="minorHAnsi"/>
            </w:rPr>
            <m:t xml:space="preserve">                                                      (2)</m:t>
          </m:r>
          <m:r>
            <m:rPr>
              <m:sty m:val="p"/>
            </m:rPr>
            <w:rPr>
              <w:rFonts w:ascii="Cambria Math" w:hAnsi="Cambria Math" w:cstheme="minorHAnsi"/>
            </w:rPr>
            <w:br/>
          </m:r>
        </m:oMath>
      </m:oMathPara>
      <w:commentRangeStart w:id="12"/>
      <w:r>
        <w:rPr>
          <w:rFonts w:cstheme="minorHAnsi"/>
        </w:rPr>
        <w:t>The covariance between U1 and U2 is</w:t>
      </w:r>
    </w:p>
    <w:p w:rsidR="00C81A35" w:rsidRDefault="00C86CD6" w:rsidP="00C81A35">
      <w:pPr>
        <w:spacing w:line="480" w:lineRule="auto"/>
        <w:jc w:val="center"/>
        <w:rPr>
          <w:rFonts w:cstheme="minorHAnsi"/>
          <w:lang w:eastAsia="zh-CN"/>
        </w:rPr>
      </w:pPr>
      <m:oMathPara>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=var(U1)</m:t>
          </m:r>
          <w:commentRangeEnd w:id="12"/>
          <m:r>
            <m:rPr>
              <m:sty m:val="p"/>
            </m:rPr>
            <w:rPr>
              <w:rStyle w:val="CommentReference"/>
            </w:rPr>
            <w:commentReference w:id="12"/>
          </m:r>
        </m:oMath>
      </m:oMathPara>
    </w:p>
    <w:p w:rsidR="00C81A35" w:rsidRDefault="00C86CD6" w:rsidP="00C81A35">
      <w:pPr>
        <w:spacing w:line="480" w:lineRule="auto"/>
        <w:jc w:val="center"/>
        <w:rPr>
          <w:rFonts w:cstheme="minorHAnsi"/>
        </w:rPr>
      </w:pPr>
      <w:r>
        <w:t xml:space="preserve">If </w:t>
      </w:r>
      <w:r w:rsidR="00C44D3B">
        <w:t>the variance of U1 is greater than the</w:t>
      </w:r>
      <w:r>
        <w:t xml:space="preserve"> variance of U2, then let U1=U2+</w:t>
      </w:r>
      <w:r>
        <w:rPr>
          <w:rFonts w:cstheme="minorHAnsi"/>
        </w:rPr>
        <w:t xml:space="preserve"> Δ. </w:t>
      </w:r>
      <w:r w:rsidR="008E1115">
        <w:rPr>
          <w:rFonts w:cstheme="minorHAnsi" w:hint="eastAsia"/>
          <w:lang w:eastAsia="zh-CN"/>
        </w:rPr>
        <w:t>L</w:t>
      </w:r>
      <w:r>
        <w:rPr>
          <w:rFonts w:cstheme="minorHAnsi"/>
        </w:rPr>
        <w:t xml:space="preserve">et the mean of Δ be </w:t>
      </w:r>
      <m:oMath>
        <m:r>
          <w:rPr>
            <w:rFonts w:ascii="Cambria Math" w:hAnsi="Cambria Math" w:cstheme="minorHAnsi"/>
          </w:rPr>
          <m:t xml:space="preserve"> μ </m:t>
        </m:r>
      </m:oMath>
      <w:r>
        <w:rPr>
          <w:rFonts w:cstheme="minorHAnsi"/>
        </w:rPr>
        <w:t>and variance of Δ</w:t>
      </w:r>
      <w:r>
        <w:rPr>
          <w:rFonts w:cstheme="minorHAnsi"/>
          <w:b/>
        </w:rPr>
        <w:t xml:space="preserve"> </w:t>
      </w:r>
      <w:proofErr w:type="gramStart"/>
      <w:r>
        <w:rPr>
          <w:rFonts w:cstheme="minorHAnsi"/>
        </w:rPr>
        <w:t xml:space="preserve">be </w:t>
      </w:r>
      <w:proofErr w:type="gramEnd"/>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oMath>
      <w:r w:rsidR="008E1115">
        <w:rPr>
          <w:rFonts w:cstheme="minorHAnsi" w:hint="eastAsia"/>
          <w:lang w:eastAsia="zh-CN"/>
        </w:rPr>
        <w:t>,</w:t>
      </w:r>
      <w:r>
        <w:rPr>
          <w:rFonts w:cstheme="minorHAnsi"/>
        </w:rPr>
        <w:t xml:space="preserve"> then </w:t>
      </w:r>
    </w:p>
    <w:p w:rsidR="0018273B" w:rsidRPr="00C81A35" w:rsidRDefault="009D2079" w:rsidP="00C81A35">
      <w:pPr>
        <w:spacing w:line="480" w:lineRule="auto"/>
        <w:jc w:val="center"/>
        <w:rPr>
          <w:rFonts w:cstheme="minorHAnsi"/>
        </w:rPr>
      </w:pPr>
      <m:oMathPara>
        <m:oMath>
          <m:r>
            <w:rPr>
              <w:rFonts w:ascii="Cambria Math" w:hAnsi="Cambria Math" w:cstheme="minorHAnsi"/>
            </w:rPr>
            <w:lastRenderedPageBreak/>
            <m:t>μ</m:t>
          </m:r>
          <m:r>
            <m:rPr>
              <m:sty m:val="p"/>
              <m:aln/>
            </m:rPr>
            <w:rPr>
              <w:rFonts w:ascii="Cambria Math" w:hAnsi="Cambria Math" w:cstheme="minorHAnsi"/>
            </w:rPr>
            <m:t>=</m:t>
          </m:r>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a+b</m:t>
              </m:r>
            </m:den>
          </m:f>
          <m:r>
            <m:rPr>
              <m:sty m:val="p"/>
            </m:rPr>
            <w:rPr>
              <w:rFonts w:cstheme="minorHAnsi"/>
            </w:rPr>
            <w:br/>
          </m:r>
        </m:oMath>
        <m:oMath>
          <m:r>
            <m:rPr>
              <m:aln/>
            </m:rP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-mean</m:t>
          </m:r>
          <m:d>
            <m:dPr>
              <m:ctrlPr>
                <w:rPr>
                  <w:rFonts w:ascii="Cambria Math" w:hAnsi="Cambria Math" w:cstheme="minorHAnsi"/>
                  <w:i/>
                </w:rPr>
              </m:ctrlPr>
            </m:dPr>
            <m:e>
              <m:r>
                <w:rPr>
                  <w:rFonts w:ascii="Cambria Math" w:hAnsi="Cambria Math" w:cstheme="minorHAnsi"/>
                </w:rPr>
                <m:t>U2</m:t>
              </m:r>
            </m:e>
          </m:d>
          <m:r>
            <m:rPr>
              <m:sty m:val="p"/>
            </m:rPr>
            <w:rPr>
              <w:rFonts w:ascii="Cambria Math" w:hAnsi="Cambria Math" w:cstheme="minorHAnsi"/>
            </w:rPr>
            <m:t xml:space="preserve">                                       (3)</m:t>
          </m:r>
        </m:oMath>
      </m:oMathPara>
    </w:p>
    <w:commentRangeStart w:id="13"/>
    <w:p w:rsidR="00C86CD6" w:rsidRDefault="00330E69" w:rsidP="00047821">
      <w:pPr>
        <w:keepNext/>
        <w:spacing w:line="480" w:lineRule="auto"/>
        <w:rPr>
          <w:rFonts w:cstheme="minorHAnsi"/>
        </w:rPr>
      </w:pPr>
      <m:oMathPara>
        <m:oMath>
          <m:sSup>
            <m:sSupPr>
              <m:ctrlPr>
                <w:rPr>
                  <w:rFonts w:ascii="Cambria Math" w:hAnsi="Cambria Math" w:cstheme="minorHAnsi"/>
                  <w:i/>
                </w:rPr>
              </m:ctrlPr>
            </m:sSupPr>
            <m:e>
              <m:r>
                <w:rPr>
                  <w:rFonts w:ascii="Cambria Math" w:hAnsi="Cambria Math" w:cstheme="minorHAnsi"/>
                </w:rPr>
                <m:t>σ</m:t>
              </m:r>
            </m:e>
            <m:sup>
              <m:r>
                <w:rPr>
                  <w:rFonts w:ascii="Cambria Math" w:hAnsi="Cambria Math" w:cstheme="minorHAnsi"/>
                </w:rPr>
                <m:t>2</m:t>
              </m:r>
            </m:sup>
          </m:sSup>
          <m:r>
            <m:rPr>
              <m:sty m:val="p"/>
              <m:aln/>
            </m:rPr>
            <w:rPr>
              <w:rFonts w:ascii="Cambria Math" w:hAnsi="Cambria Math" w:cstheme="minorHAnsi"/>
            </w:rPr>
            <m:t>=</m:t>
          </m:r>
          <m:f>
            <m:fPr>
              <m:ctrlPr>
                <w:rPr>
                  <w:rFonts w:ascii="Cambria Math" w:hAnsi="Cambria Math" w:cstheme="minorHAnsi"/>
                  <w:i/>
                </w:rPr>
              </m:ctrlPr>
            </m:fPr>
            <m:num>
              <m:r>
                <m:rPr>
                  <m:sty m:val="p"/>
                </m:rPr>
                <w:rPr>
                  <w:rFonts w:ascii="Cambria Math" w:hAnsi="Cambria Math" w:cstheme="minorHAnsi"/>
                </w:rPr>
                <m:t>ab</m:t>
              </m:r>
              <m:ctrlPr>
                <w:rPr>
                  <w:rFonts w:ascii="Cambria Math" w:hAnsi="Cambria Math" w:cstheme="minorHAnsi"/>
                </w:rPr>
              </m:ctrlPr>
            </m:num>
            <m:den>
              <m:d>
                <m:dPr>
                  <m:ctrlPr>
                    <w:rPr>
                      <w:rFonts w:ascii="Cambria Math" w:hAnsi="Cambria Math" w:cstheme="minorHAnsi"/>
                      <w:i/>
                    </w:rPr>
                  </m:ctrlPr>
                </m:dPr>
                <m:e>
                  <m:r>
                    <w:rPr>
                      <w:rFonts w:ascii="Cambria Math" w:hAnsi="Cambria Math" w:cstheme="minorHAnsi"/>
                    </w:rPr>
                    <m:t>a+b+1</m:t>
                  </m:r>
                </m:e>
              </m:d>
              <m:sSup>
                <m:sSupPr>
                  <m:ctrlPr>
                    <w:rPr>
                      <w:rFonts w:ascii="Cambria Math" w:hAnsi="Cambria Math" w:cstheme="minorHAnsi"/>
                      <w:i/>
                    </w:rPr>
                  </m:ctrlPr>
                </m:sSupPr>
                <m:e>
                  <m:d>
                    <m:dPr>
                      <m:ctrlPr>
                        <w:rPr>
                          <w:rFonts w:ascii="Cambria Math" w:hAnsi="Cambria Math" w:cstheme="minorHAnsi"/>
                          <w:i/>
                        </w:rPr>
                      </m:ctrlPr>
                    </m:dPr>
                    <m:e>
                      <m:r>
                        <w:rPr>
                          <w:rFonts w:ascii="Cambria Math" w:hAnsi="Cambria Math" w:cstheme="minorHAnsi"/>
                        </w:rPr>
                        <m:t>a+b</m:t>
                      </m:r>
                    </m:e>
                  </m:d>
                </m:e>
                <m:sup>
                  <m:r>
                    <w:rPr>
                      <w:rFonts w:ascii="Cambria Math" w:hAnsi="Cambria Math" w:cstheme="minorHAnsi"/>
                    </w:rPr>
                    <m:t>2</m:t>
                  </m:r>
                </m:sup>
              </m:sSup>
            </m:den>
          </m:f>
          <m:r>
            <m:rPr>
              <m:sty m:val="p"/>
            </m:rPr>
            <w:rPr>
              <w:rFonts w:ascii="Cambria Math" w:hAnsi="Cambria Math" w:cstheme="minorHAnsi"/>
            </w:rPr>
            <w:br/>
          </m:r>
        </m:oMath>
        <m:oMath>
          <m:r>
            <m:rPr>
              <m:aln/>
            </m:rPr>
            <w:rPr>
              <w:rFonts w:ascii="Cambria Math" w:hAnsi="Cambria Math" w:cstheme="minorHAnsi"/>
            </w:rPr>
            <m:t>=var</m:t>
          </m:r>
          <m:d>
            <m:dPr>
              <m:ctrlPr>
                <w:rPr>
                  <w:rFonts w:ascii="Cambria Math" w:hAnsi="Cambria Math" w:cstheme="minorHAnsi"/>
                  <w:i/>
                </w:rPr>
              </m:ctrlPr>
            </m:dPr>
            <m:e>
              <m:r>
                <w:rPr>
                  <w:rFonts w:ascii="Cambria Math" w:hAnsi="Cambria Math" w:cstheme="minorHAnsi"/>
                </w:rPr>
                <m:t>U1</m:t>
              </m:r>
            </m:e>
          </m:d>
          <m:r>
            <w:rPr>
              <w:rFonts w:ascii="Cambria Math" w:hAnsi="Cambria Math" w:cstheme="minorHAnsi"/>
            </w:rPr>
            <m:t>-var</m:t>
          </m:r>
          <m:d>
            <m:dPr>
              <m:ctrlPr>
                <w:rPr>
                  <w:rFonts w:ascii="Cambria Math" w:hAnsi="Cambria Math" w:cstheme="minorHAnsi"/>
                  <w:i/>
                </w:rPr>
              </m:ctrlPr>
            </m:dPr>
            <m:e>
              <m:r>
                <w:rPr>
                  <w:rFonts w:ascii="Cambria Math" w:hAnsi="Cambria Math" w:cstheme="minorHAnsi"/>
                </w:rPr>
                <m:t>U2</m:t>
              </m:r>
            </m:e>
          </m:d>
          <m:r>
            <m:rPr>
              <m:sty m:val="p"/>
            </m:rPr>
            <w:rPr>
              <w:rFonts w:ascii="Cambria Math" w:cstheme="minorHAnsi"/>
            </w:rPr>
            <m:t xml:space="preserve">                                               (4)</m:t>
          </m:r>
          <m:r>
            <m:rPr>
              <m:sty m:val="p"/>
            </m:rPr>
            <w:rPr>
              <w:rFonts w:cstheme="minorHAnsi"/>
            </w:rPr>
            <w:br/>
          </m:r>
        </m:oMath>
      </m:oMathPara>
      <w:r w:rsidR="00C86CD6">
        <w:rPr>
          <w:rFonts w:cstheme="minorHAnsi"/>
        </w:rPr>
        <w:t>The covariance between U1 and U2 is</w:t>
      </w:r>
    </w:p>
    <w:p w:rsidR="00C86CD6" w:rsidRPr="00D273DF" w:rsidRDefault="00C86CD6" w:rsidP="00047821">
      <w:pPr>
        <w:keepNext/>
        <w:spacing w:line="480" w:lineRule="auto"/>
        <w:jc w:val="center"/>
        <w:rPr>
          <w:rFonts w:cstheme="minorHAnsi"/>
        </w:rPr>
      </w:pPr>
      <m:oMath>
        <m:r>
          <w:rPr>
            <w:rFonts w:ascii="Cambria Math" w:hAnsi="Cambria Math" w:cstheme="minorHAnsi"/>
          </w:rPr>
          <m:t>cov</m:t>
        </m:r>
        <m:d>
          <m:dPr>
            <m:ctrlPr>
              <w:rPr>
                <w:rFonts w:ascii="Cambria Math" w:hAnsi="Cambria Math" w:cstheme="minorHAnsi"/>
                <w:i/>
              </w:rPr>
            </m:ctrlPr>
          </m:dPr>
          <m:e>
            <m:r>
              <w:rPr>
                <w:rFonts w:ascii="Cambria Math" w:hAnsi="Cambria Math" w:cstheme="minorHAnsi"/>
              </w:rPr>
              <m:t>U1, U2</m:t>
            </m:r>
          </m:e>
        </m:d>
        <m:r>
          <w:rPr>
            <w:rFonts w:ascii="Cambria Math" w:hAnsi="Cambria Math" w:cstheme="minorHAnsi"/>
          </w:rPr>
          <m:t>=var(U2)</m:t>
        </m:r>
      </m:oMath>
      <w:r>
        <w:rPr>
          <w:rFonts w:cstheme="minorHAnsi"/>
        </w:rPr>
        <w:t>.</w:t>
      </w:r>
    </w:p>
    <w:p w:rsidR="008E1115" w:rsidRDefault="008E1115" w:rsidP="00047821">
      <w:pPr>
        <w:keepNext/>
        <w:spacing w:line="480" w:lineRule="auto"/>
        <w:rPr>
          <w:rFonts w:cstheme="minorHAnsi"/>
          <w:lang w:eastAsia="zh-CN"/>
        </w:rPr>
      </w:pPr>
      <w:r>
        <w:rPr>
          <w:rFonts w:cstheme="minorHAnsi" w:hint="eastAsia"/>
          <w:lang w:eastAsia="zh-CN"/>
        </w:rPr>
        <w:t xml:space="preserve">From equation (1) and (2) if model </w:t>
      </w:r>
      <w:r>
        <w:t>U2=U1-</w:t>
      </w:r>
      <w:r>
        <w:rPr>
          <w:rFonts w:cstheme="minorHAnsi"/>
        </w:rPr>
        <w:t xml:space="preserve"> Δ</w:t>
      </w:r>
      <w:r>
        <w:rPr>
          <w:rFonts w:cstheme="minorHAnsi" w:hint="eastAsia"/>
          <w:lang w:eastAsia="zh-CN"/>
        </w:rPr>
        <w:t xml:space="preserve"> is used, or from equation (3) and (4) if model </w:t>
      </w:r>
      <w:r>
        <w:t>U1=U2+</w:t>
      </w:r>
      <w:r>
        <w:rPr>
          <w:rFonts w:cstheme="minorHAnsi"/>
        </w:rPr>
        <w:t xml:space="preserve"> Δ</w:t>
      </w:r>
      <w:r>
        <w:rPr>
          <w:rFonts w:cstheme="minorHAnsi" w:hint="eastAsia"/>
          <w:lang w:eastAsia="zh-CN"/>
        </w:rPr>
        <w:t xml:space="preserve"> is used, the beta parameter a and b can be expressed as </w:t>
      </w:r>
      <w:commentRangeEnd w:id="13"/>
      <w:r w:rsidR="004B3189">
        <w:rPr>
          <w:rStyle w:val="CommentReference"/>
        </w:rPr>
        <w:commentReference w:id="13"/>
      </w:r>
    </w:p>
    <w:p w:rsidR="0018273B" w:rsidRPr="0018273B" w:rsidRDefault="008E1115" w:rsidP="00047821">
      <w:pPr>
        <w:keepNext/>
        <w:spacing w:line="480" w:lineRule="auto"/>
        <w:rPr>
          <w:rFonts w:cstheme="minorHAnsi"/>
          <w:lang w:eastAsia="zh-CN"/>
        </w:rPr>
      </w:pPr>
      <m:oMathPara>
        <m:oMath>
          <m:r>
            <m:rPr>
              <m:sty m:val="p"/>
            </m:rPr>
            <w:rPr>
              <w:rFonts w:ascii="Cambria Math" w:hAnsi="Cambria Math" w:cstheme="minorHAnsi"/>
              <w:lang w:eastAsia="zh-CN"/>
            </w:rPr>
            <m:t>a=</m:t>
          </m:r>
          <m:f>
            <m:fPr>
              <m:ctrlPr>
                <w:rPr>
                  <w:rFonts w:ascii="Cambria Math" w:hAnsi="Cambria Math" w:cstheme="minorHAnsi"/>
                  <w:lang w:eastAsia="zh-CN"/>
                </w:rPr>
              </m:ctrlPr>
            </m:fPr>
            <m:num>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sSup>
                    <m:sSupPr>
                      <m:ctrlPr>
                        <w:rPr>
                          <w:rFonts w:ascii="Cambria Math" w:hAnsi="Cambria Math" w:cstheme="minorHAnsi"/>
                          <w:lang w:eastAsia="zh-CN"/>
                        </w:rPr>
                      </m:ctrlPr>
                    </m:sSupPr>
                    <m:e>
                      <m:r>
                        <m:rPr>
                          <m:sty m:val="p"/>
                        </m:rPr>
                        <w:rPr>
                          <w:rFonts w:ascii="Cambria Math" w:hAnsi="Cambria Math" w:cstheme="minorHAnsi"/>
                          <w:lang w:eastAsia="zh-CN"/>
                        </w:rPr>
                        <m:t>σ</m:t>
                      </m:r>
                    </m:e>
                    <m:sup>
                      <m:r>
                        <m:rPr>
                          <m:sty m:val="p"/>
                        </m:rPr>
                        <w:rPr>
                          <w:rFonts w:ascii="Cambria Math" w:hAnsi="Cambria Math" w:cstheme="minorHAnsi"/>
                          <w:lang w:eastAsia="zh-CN"/>
                        </w:rPr>
                        <m:t>2</m:t>
                      </m:r>
                    </m:sup>
                  </m:sSup>
                </m:den>
              </m:f>
              <m:r>
                <m:rPr>
                  <m:sty m:val="p"/>
                </m:rPr>
                <w:rPr>
                  <w:rFonts w:ascii="Cambria Math" w:hAnsi="Cambria Math" w:cstheme="minorHAnsi"/>
                  <w:lang w:eastAsia="zh-CN"/>
                </w:rPr>
                <m:t>-1-2</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num>
            <m:den>
              <m:r>
                <w:rPr>
                  <w:rFonts w:ascii="Cambria Math" w:hAnsi="Cambria Math" w:cstheme="minorHAnsi"/>
                  <w:lang w:eastAsia="zh-CN"/>
                </w:rPr>
                <m:t>1+</m:t>
              </m:r>
              <m:r>
                <m:rPr>
                  <m:sty m:val="p"/>
                </m:rPr>
                <w:rPr>
                  <w:rFonts w:ascii="Cambria Math" w:hAnsi="Cambria Math" w:cstheme="minorHAnsi"/>
                  <w:lang w:eastAsia="zh-CN"/>
                </w:rPr>
                <m:t>3</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r>
                <w:rPr>
                  <w:rFonts w:ascii="Cambria Math" w:hAnsi="Cambria Math" w:cstheme="minorHAnsi"/>
                  <w:lang w:eastAsia="zh-CN"/>
                </w:rPr>
                <m:t>+3</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2</m:t>
                  </m:r>
                </m:sup>
              </m:sSup>
              <m:r>
                <w:rPr>
                  <w:rFonts w:ascii="Cambria Math" w:hAnsi="Cambria Math" w:cstheme="minorHAnsi"/>
                  <w:lang w:eastAsia="zh-CN"/>
                </w:rPr>
                <m:t>+</m:t>
              </m:r>
              <m:sSup>
                <m:sSupPr>
                  <m:ctrlPr>
                    <w:rPr>
                      <w:rFonts w:ascii="Cambria Math" w:hAnsi="Cambria Math" w:cstheme="minorHAnsi"/>
                      <w:i/>
                      <w:lang w:eastAsia="zh-CN"/>
                    </w:rPr>
                  </m:ctrlPr>
                </m:sSupPr>
                <m:e>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e>
                <m:sup>
                  <m:r>
                    <w:rPr>
                      <w:rFonts w:ascii="Cambria Math" w:hAnsi="Cambria Math" w:cstheme="minorHAnsi"/>
                      <w:lang w:eastAsia="zh-CN"/>
                    </w:rPr>
                    <m:t>3</m:t>
                  </m:r>
                </m:sup>
              </m:sSup>
            </m:den>
          </m:f>
        </m:oMath>
      </m:oMathPara>
    </w:p>
    <w:p w:rsidR="008E1115" w:rsidRPr="008E1115" w:rsidRDefault="008E1115" w:rsidP="00047821">
      <w:pPr>
        <w:keepNext/>
        <w:spacing w:line="480" w:lineRule="auto"/>
        <w:rPr>
          <w:rFonts w:cstheme="minorHAnsi"/>
          <w:lang w:eastAsia="zh-CN"/>
        </w:rPr>
      </w:pPr>
      <m:oMathPara>
        <m:oMath>
          <m:r>
            <m:rPr>
              <m:sty m:val="p"/>
            </m:rPr>
            <w:rPr>
              <w:rFonts w:ascii="Cambria Math" w:hAnsi="Cambria Math" w:cstheme="minorHAnsi"/>
              <w:lang w:eastAsia="zh-CN"/>
            </w:rPr>
            <w:br/>
          </m:r>
        </m:oMath>
        <m:oMath>
          <m:r>
            <m:rPr>
              <m:sty m:val="p"/>
            </m:rPr>
            <w:rPr>
              <w:rFonts w:ascii="Cambria Math" w:hAnsi="Cambria Math" w:cstheme="minorHAnsi"/>
              <w:lang w:eastAsia="zh-CN"/>
            </w:rPr>
            <m:t>b=a</m:t>
          </m:r>
          <m:d>
            <m:dPr>
              <m:ctrlPr>
                <w:rPr>
                  <w:rFonts w:ascii="Cambria Math" w:hAnsi="Cambria Math" w:cstheme="minorHAnsi"/>
                  <w:lang w:eastAsia="zh-CN"/>
                </w:rPr>
              </m:ctrlPr>
            </m:dPr>
            <m:e>
              <m:f>
                <m:fPr>
                  <m:ctrlPr>
                    <w:rPr>
                      <w:rFonts w:ascii="Cambria Math" w:hAnsi="Cambria Math" w:cstheme="minorHAnsi"/>
                      <w:lang w:eastAsia="zh-CN"/>
                    </w:rPr>
                  </m:ctrlPr>
                </m:fPr>
                <m:num>
                  <m:r>
                    <m:rPr>
                      <m:sty m:val="p"/>
                    </m:rPr>
                    <w:rPr>
                      <w:rFonts w:ascii="Cambria Math" w:hAnsi="Cambria Math" w:cstheme="minorHAnsi"/>
                      <w:lang w:eastAsia="zh-CN"/>
                    </w:rPr>
                    <m:t>1-μ</m:t>
                  </m:r>
                </m:num>
                <m:den>
                  <m:r>
                    <m:rPr>
                      <m:sty m:val="p"/>
                    </m:rPr>
                    <w:rPr>
                      <w:rFonts w:ascii="Cambria Math" w:hAnsi="Cambria Math" w:cstheme="minorHAnsi"/>
                      <w:lang w:eastAsia="zh-CN"/>
                    </w:rPr>
                    <m:t>μ</m:t>
                  </m:r>
                </m:den>
              </m:f>
            </m:e>
          </m:d>
        </m:oMath>
      </m:oMathPara>
    </w:p>
    <w:p w:rsidR="00E23BD9" w:rsidRDefault="00D36589" w:rsidP="00D210AA">
      <w:pPr>
        <w:pStyle w:val="Heading2"/>
      </w:pPr>
      <w:r>
        <w:t>Methods where monotonicity cannot be violated</w:t>
      </w:r>
    </w:p>
    <w:p w:rsidR="00D36589" w:rsidRPr="00E2131D" w:rsidRDefault="00D36589" w:rsidP="00047821">
      <w:pPr>
        <w:spacing w:line="480" w:lineRule="auto"/>
      </w:pPr>
      <w:r>
        <w:t>For some of the methods, it is analytically impossible for monotonicity to be violated</w:t>
      </w:r>
      <w:r w:rsidR="00E31B3F">
        <w:t xml:space="preserve">. </w:t>
      </w:r>
      <w:r>
        <w:t xml:space="preserve">These methods are </w:t>
      </w:r>
      <w:r w:rsidR="00EF2C9A">
        <w:t>three</w:t>
      </w:r>
      <w:r>
        <w:t xml:space="preserve">, </w:t>
      </w:r>
      <w:r w:rsidR="00EF2C9A">
        <w:t>four</w:t>
      </w:r>
      <w:r>
        <w:t xml:space="preserve">, </w:t>
      </w:r>
      <w:r w:rsidR="00EF2C9A">
        <w:t>five</w:t>
      </w:r>
      <w:r>
        <w:t xml:space="preserve">, </w:t>
      </w:r>
      <w:r w:rsidR="00EF2C9A">
        <w:t>six</w:t>
      </w:r>
      <w:r>
        <w:t xml:space="preserve"> and </w:t>
      </w:r>
      <w:r w:rsidR="00EF2C9A">
        <w:t>ten</w:t>
      </w:r>
      <w:r>
        <w:t xml:space="preserve">. For methods </w:t>
      </w:r>
      <w:r w:rsidR="00EF2C9A">
        <w:t>seven</w:t>
      </w:r>
      <w:r>
        <w:t xml:space="preserve">, </w:t>
      </w:r>
      <w:r w:rsidR="00EF2C9A">
        <w:t>eight</w:t>
      </w:r>
      <w:r>
        <w:t xml:space="preserve"> and </w:t>
      </w:r>
      <w:r w:rsidR="00EF2C9A">
        <w:t>nine</w:t>
      </w:r>
      <w:r>
        <w:t xml:space="preserve">, which use algorithms to select </w:t>
      </w:r>
      <w:proofErr w:type="spellStart"/>
      <w:r>
        <w:t>covariances</w:t>
      </w:r>
      <w:proofErr w:type="spellEnd"/>
      <w:r>
        <w:t xml:space="preserve"> between parameters, it is possible that for some runs </w:t>
      </w:r>
      <w:r w:rsidR="00366FEC">
        <w:t>monotonicity may be violated</w:t>
      </w:r>
      <w:r>
        <w:t xml:space="preserve">. </w:t>
      </w:r>
      <w:commentRangeStart w:id="14"/>
      <w:r>
        <w:t>Where violation of monotonicity is possible, modellers should be able to specify what level of monotonicity violation is tolerable. For example, monotonicity violation may be acceptable, so long as it occurs with a frequency of less than 1/10,000.</w:t>
      </w:r>
      <w:commentRangeEnd w:id="14"/>
      <w:r w:rsidR="004B3189">
        <w:rPr>
          <w:rStyle w:val="CommentReference"/>
        </w:rPr>
        <w:commentReference w:id="14"/>
      </w:r>
      <w:r>
        <w:t xml:space="preserve"> For brevity, methods </w:t>
      </w:r>
      <w:r w:rsidR="00EF2C9A">
        <w:t>three</w:t>
      </w:r>
      <w:r>
        <w:t>,</w:t>
      </w:r>
      <w:r w:rsidR="00EF2C9A">
        <w:t xml:space="preserve"> four</w:t>
      </w:r>
      <w:r>
        <w:t xml:space="preserve">, </w:t>
      </w:r>
      <w:r w:rsidR="00EF2C9A">
        <w:t>five</w:t>
      </w:r>
      <w:r>
        <w:t xml:space="preserve">, </w:t>
      </w:r>
      <w:r w:rsidR="00EF2C9A">
        <w:t>six</w:t>
      </w:r>
      <w:r>
        <w:t xml:space="preserve">, and </w:t>
      </w:r>
      <w:r w:rsidR="00EF2C9A">
        <w:t xml:space="preserve">ten </w:t>
      </w:r>
      <w:r>
        <w:t xml:space="preserve">will be described as satisfying ‘strict monotonicity’; whereas methods </w:t>
      </w:r>
      <w:r w:rsidR="00EF2C9A">
        <w:t>seven</w:t>
      </w:r>
      <w:r>
        <w:t xml:space="preserve">, </w:t>
      </w:r>
      <w:r w:rsidR="00EF2C9A">
        <w:t>eight</w:t>
      </w:r>
      <w:r>
        <w:t xml:space="preserve"> and </w:t>
      </w:r>
      <w:r w:rsidR="00EF2C9A">
        <w:t>nine</w:t>
      </w:r>
      <w:r>
        <w:t xml:space="preserve"> will be described as satisfying ‘relaxed monotonicity’.</w:t>
      </w:r>
    </w:p>
    <w:p w:rsidR="0030364B" w:rsidRDefault="009A4F6E" w:rsidP="00D210AA">
      <w:pPr>
        <w:pStyle w:val="Heading2"/>
      </w:pPr>
      <w:r>
        <w:lastRenderedPageBreak/>
        <w:t xml:space="preserve">Comparing between methods </w:t>
      </w:r>
    </w:p>
    <w:p w:rsidR="00E23BD9" w:rsidRDefault="00E23BD9" w:rsidP="00047821">
      <w:pPr>
        <w:spacing w:line="480" w:lineRule="auto"/>
      </w:pPr>
      <w:r>
        <w:t>We use two visual approaches to compare the ten methods with each other, and with the bootstrapped estimates based on the IPD. In all cases,</w:t>
      </w:r>
      <w:r w:rsidR="0018273B">
        <w:t xml:space="preserve"> we assume that</w:t>
      </w:r>
      <w:r>
        <w:t xml:space="preserve"> the closer the output from a method is to the bootstrapped estimates, the better it is at accurately representing the relationship between U1 and U2 given only summary data. </w:t>
      </w:r>
    </w:p>
    <w:p w:rsidR="009A4F6E" w:rsidRDefault="00E23BD9" w:rsidP="00047821">
      <w:pPr>
        <w:spacing w:line="480" w:lineRule="auto"/>
      </w:pPr>
      <w:r>
        <w:t xml:space="preserve">Firstly, we produce </w:t>
      </w:r>
      <w:r w:rsidR="009A4F6E">
        <w:t xml:space="preserve">scatterplots </w:t>
      </w:r>
      <w:r>
        <w:t xml:space="preserve">of 1,000 joint estimates of U1 and U2 for each of the </w:t>
      </w:r>
      <w:r w:rsidR="009A4F6E">
        <w:t>ten methods</w:t>
      </w:r>
      <w:r>
        <w:t xml:space="preserve">. These are drawn on the same scale </w:t>
      </w:r>
      <w:r w:rsidR="009A4F6E">
        <w:t xml:space="preserve">as the scatterplot shown in </w:t>
      </w:r>
      <w:r w:rsidR="009E2AE4">
        <w:fldChar w:fldCharType="begin"/>
      </w:r>
      <w:r w:rsidR="009A4F6E">
        <w:instrText xml:space="preserve"> REF _Ref338767895 \h </w:instrText>
      </w:r>
      <w:r w:rsidR="00047821">
        <w:instrText xml:space="preserve"> \* MERGEFORMAT </w:instrText>
      </w:r>
      <w:r w:rsidR="009E2AE4">
        <w:fldChar w:fldCharType="separate"/>
      </w:r>
      <w:r w:rsidR="009A4F6E">
        <w:t xml:space="preserve">Figure </w:t>
      </w:r>
      <w:r w:rsidR="009A4F6E">
        <w:rPr>
          <w:noProof/>
        </w:rPr>
        <w:t>2</w:t>
      </w:r>
      <w:r w:rsidR="009E2AE4">
        <w:fldChar w:fldCharType="end"/>
      </w:r>
      <w:r>
        <w:t xml:space="preserve">, and so the joint patterns of scatter produced by each method can easily be compared with </w:t>
      </w:r>
      <w:r w:rsidR="009E2AE4">
        <w:fldChar w:fldCharType="begin"/>
      </w:r>
      <w:r>
        <w:instrText xml:space="preserve"> REF _Ref338767895 \h </w:instrText>
      </w:r>
      <w:r w:rsidR="00047821">
        <w:instrText xml:space="preserve"> \* MERGEFORMAT </w:instrText>
      </w:r>
      <w:r w:rsidR="009E2AE4">
        <w:fldChar w:fldCharType="separate"/>
      </w:r>
      <w:r>
        <w:t xml:space="preserve">Figure </w:t>
      </w:r>
      <w:r>
        <w:rPr>
          <w:noProof/>
        </w:rPr>
        <w:t>2</w:t>
      </w:r>
      <w:r w:rsidR="009E2AE4">
        <w:fldChar w:fldCharType="end"/>
      </w:r>
      <w:r w:rsidR="009A4F6E">
        <w:t xml:space="preserve">. </w:t>
      </w:r>
    </w:p>
    <w:p w:rsidR="00E23BD9" w:rsidRDefault="00E23BD9" w:rsidP="00047821">
      <w:pPr>
        <w:spacing w:line="480" w:lineRule="auto"/>
      </w:pPr>
      <w:r>
        <w:t xml:space="preserve">Secondly, we use violin plots to compare the distribution of the quantities U1, U2, and U1 - U2 for each of the ten methods with the bootstrapped estimates. </w:t>
      </w:r>
      <w:r w:rsidR="00E31B3F">
        <w:t>V</w:t>
      </w:r>
      <w:r w:rsidR="004B2A9B">
        <w:t xml:space="preserve">iolin plots are similar to box plots but also present kernel density estimates of distributions of the type presented in </w:t>
      </w:r>
      <w:r w:rsidR="009E2AE4">
        <w:fldChar w:fldCharType="begin"/>
      </w:r>
      <w:r w:rsidR="004B2A9B">
        <w:instrText xml:space="preserve"> REF _Ref340230165 \h </w:instrText>
      </w:r>
      <w:r w:rsidR="00047821">
        <w:instrText xml:space="preserve"> \* MERGEFORMAT </w:instrText>
      </w:r>
      <w:r w:rsidR="009E2AE4">
        <w:fldChar w:fldCharType="separate"/>
      </w:r>
      <w:r w:rsidR="004B2A9B">
        <w:t xml:space="preserve">Figure </w:t>
      </w:r>
      <w:r w:rsidR="004B2A9B">
        <w:rPr>
          <w:noProof/>
        </w:rPr>
        <w:t>3</w:t>
      </w:r>
      <w:r w:rsidR="009E2AE4">
        <w:fldChar w:fldCharType="end"/>
      </w:r>
      <w:r w:rsidR="004B2A9B">
        <w:t>.</w:t>
      </w:r>
      <w:r w:rsidR="00366FEC">
        <w:t xml:space="preserve"> </w:t>
      </w:r>
      <w:r w:rsidR="009E2AE4">
        <w:fldChar w:fldCharType="begin" w:fldLock="1"/>
      </w:r>
      <w:r w:rsidR="0038052F">
        <w:instrText>ADDIN CSL_CITATION { "citationItems" : [ { "id" : "ITEM-1", "itemData" : { "abstract" : "Many modifications build on Tukey's original box plot. A proposed further adaptation, the violin plot, pools the best statistical features of alternative graphical representations of batches of data. It adds the information available from local density estimates to the masic summary staticis inherent in box plots. This marriage of summary statistics and density shape into a singple plot provides a useful tool for data analysis and exploration.", "author" : [ { "dropping-particle" : "", "family" : "Hintze", "given" : "J. L.", "non-dropping-particle" : "", "parse-names" : false, "suffix" : "" }, { "dropping-particle" : "", "family" : "Nelson", "given" : "R. D.", "non-dropping-particle" : "", "parse-names" : false, "suffix" : "" } ], "container-title" : "The American Statistican", "id" : "ITEM-1", "issue" : "2", "issued" : { "date-parts" : [ [ "1998" ] ] }, "page" : "181-184", "title" : "Violin Plots: A Box Plot-Density Trace Synergism", "type" : "article-journal", "volume" : "52" }, "uris" : [ "http://www.mendeley.com/documents/?uuid=16f930e6-dbc8-4e67-ad87-0f94ae292f11" ] } ], "mendeley" : { "previouslyFormattedCitation" : "(4)" }, "properties" : { "noteIndex" : 0 }, "schema" : "https://github.com/citation-style-language/schema/raw/master/csl-citation.json" }</w:instrText>
      </w:r>
      <w:r w:rsidR="009E2AE4">
        <w:fldChar w:fldCharType="separate"/>
      </w:r>
      <w:r w:rsidR="000E7974" w:rsidRPr="000E7974">
        <w:rPr>
          <w:noProof/>
        </w:rPr>
        <w:t>(4)</w:t>
      </w:r>
      <w:r w:rsidR="009E2AE4">
        <w:fldChar w:fldCharType="end"/>
      </w:r>
      <w:r w:rsidR="004B2A9B">
        <w:t xml:space="preserve">  </w:t>
      </w:r>
      <w:r>
        <w:t>An appropriate method for representing the monotonic relationship given only the summary data should produce distributions for these quantities which look similar to the bootstrapped values for each of these three quantities</w:t>
      </w:r>
      <w:r w:rsidR="00C44D3B">
        <w:t xml:space="preserve"> U1, U2, and U1 - U2</w:t>
      </w:r>
      <w:r>
        <w:t xml:space="preserve">. </w:t>
      </w:r>
    </w:p>
    <w:p w:rsidR="00430AB7" w:rsidRDefault="009A4F6E" w:rsidP="00047821">
      <w:pPr>
        <w:pStyle w:val="Heading1"/>
      </w:pPr>
      <w:r>
        <w:t>Results</w:t>
      </w:r>
    </w:p>
    <w:p w:rsidR="0064679C" w:rsidRDefault="00C52573" w:rsidP="00D210AA">
      <w:pPr>
        <w:pStyle w:val="Heading2"/>
      </w:pPr>
      <w:r>
        <w:t xml:space="preserve">Parameterisation of methods </w:t>
      </w:r>
      <w:r w:rsidR="00EF2C9A">
        <w:t>seven, eight, and nine</w:t>
      </w:r>
    </w:p>
    <w:p w:rsidR="00E36AFD" w:rsidRDefault="00EA7B68" w:rsidP="00047821">
      <w:pPr>
        <w:spacing w:line="480" w:lineRule="auto"/>
        <w:rPr>
          <w:noProof/>
        </w:rPr>
      </w:pPr>
      <w:r>
        <w:rPr>
          <w:noProof/>
        </w:rPr>
        <w:t xml:space="preserve">The average of the individual variances of the means (AIVM) is 0.000552, but the product of the two sample standard deviations is 0.000550. As the product of the two standard deviations defines the covariance at which the correlation is 1, and the correlation cannot be greater than 1, method seven becomes equivalent to assuming perfect correlation between U1 and U2. In method eight, in which the AIVM defines the lower bound of the range of covariance values which may be considered, a covariance of 0.000504 was identified, implying a correlation of 0.92. For method nine, in which the AIVM </w:t>
      </w:r>
      <w:r w:rsidR="00DA744F">
        <w:rPr>
          <w:noProof/>
        </w:rPr>
        <w:t xml:space="preserve">defines the upper bound of the range of covariances to search through (except where AIVM is </w:t>
      </w:r>
      <w:r w:rsidR="00DA744F">
        <w:rPr>
          <w:noProof/>
        </w:rPr>
        <w:lastRenderedPageBreak/>
        <w:t xml:space="preserve">greater than the product of the standard deviations), a covariance of 0.000360 was identified, implying a correlation of 0.65. </w:t>
      </w:r>
      <w:r>
        <w:rPr>
          <w:noProof/>
        </w:rPr>
        <w:t xml:space="preserve"> </w:t>
      </w:r>
    </w:p>
    <w:p w:rsidR="006F0B1D" w:rsidRDefault="006F0B1D" w:rsidP="00D210AA">
      <w:pPr>
        <w:pStyle w:val="Heading2"/>
      </w:pPr>
      <w:r>
        <w:t>Parameterisation of method ten</w:t>
      </w:r>
    </w:p>
    <w:p w:rsidR="00B73EB8" w:rsidRDefault="003C2637" w:rsidP="00047821">
      <w:pPr>
        <w:spacing w:line="480" w:lineRule="auto"/>
      </w:pPr>
      <w:r>
        <w:t>Given the summary statistics of U1 and U2 in Table 2, the beta parameter</w:t>
      </w:r>
      <w:r w:rsidR="00E31B3F">
        <w:t>s are</w:t>
      </w:r>
      <w:r>
        <w:t xml:space="preserve"> a=33.02 and b=536.33.</w:t>
      </w:r>
      <w:r w:rsidR="00B73EB8">
        <w:t xml:space="preserve"> </w:t>
      </w:r>
      <w:r w:rsidR="009E2AE4">
        <w:fldChar w:fldCharType="begin"/>
      </w:r>
      <w:r w:rsidR="00DC700E">
        <w:instrText xml:space="preserve"> REF _Ref340230165 \h </w:instrText>
      </w:r>
      <w:r w:rsidR="00047821">
        <w:instrText xml:space="preserve"> \* MERGEFORMAT </w:instrText>
      </w:r>
      <w:r w:rsidR="009E2AE4">
        <w:fldChar w:fldCharType="separate"/>
      </w:r>
      <w:r w:rsidR="00DC700E">
        <w:t xml:space="preserve">Figure </w:t>
      </w:r>
      <w:r w:rsidR="00DC700E">
        <w:rPr>
          <w:noProof/>
        </w:rPr>
        <w:t>3</w:t>
      </w:r>
      <w:r w:rsidR="009E2AE4">
        <w:fldChar w:fldCharType="end"/>
      </w:r>
      <w:r w:rsidR="00B73EB8">
        <w:t xml:space="preserve"> below shows the distribution of 1000 draws from U</w:t>
      </w:r>
      <w:r>
        <w:t>2 using U2=U1+</w:t>
      </w:r>
      <w:r w:rsidRPr="003C2637">
        <w:rPr>
          <w:rFonts w:cstheme="minorHAnsi"/>
        </w:rPr>
        <w:t xml:space="preserve"> </w:t>
      </w:r>
      <w:r>
        <w:rPr>
          <w:rFonts w:cstheme="minorHAnsi"/>
        </w:rPr>
        <w:t>Δ</w:t>
      </w:r>
      <w:r w:rsidR="00B73EB8">
        <w:t xml:space="preserve"> alongside 1</w:t>
      </w:r>
      <w:r w:rsidR="0018273B">
        <w:t>,</w:t>
      </w:r>
      <w:r w:rsidR="00B73EB8">
        <w:t>000 draws of U1 and U2. We see that the distribution of U</w:t>
      </w:r>
      <w:r>
        <w:t>2</w:t>
      </w:r>
      <w:r w:rsidR="00B73EB8">
        <w:t xml:space="preserve"> closely matches that of U</w:t>
      </w:r>
      <w:r>
        <w:t>2 from the data</w:t>
      </w:r>
      <w:r w:rsidR="00B73EB8">
        <w:t xml:space="preserve">. </w:t>
      </w:r>
      <w:r>
        <w:t xml:space="preserve">The variations </w:t>
      </w:r>
      <w:r w:rsidR="00DA744F">
        <w:t xml:space="preserve">are </w:t>
      </w:r>
      <w:r>
        <w:t>due to sampling errors.</w:t>
      </w:r>
    </w:p>
    <w:p w:rsidR="00B73EB8" w:rsidRDefault="00DA744F" w:rsidP="00047821">
      <w:pPr>
        <w:keepNext/>
        <w:spacing w:line="480" w:lineRule="auto"/>
      </w:pPr>
      <w:r>
        <w:rPr>
          <w:noProof/>
        </w:rPr>
        <w:drawing>
          <wp:inline distT="0" distB="0" distL="0" distR="0" wp14:anchorId="2FB8EAF6" wp14:editId="641A9F21">
            <wp:extent cx="4762500" cy="4762500"/>
            <wp:effectExtent l="0" t="0" r="0" b="0"/>
            <wp:docPr id="2" name="Picture 2" descr="X:\Monotonicity\Code\R\Den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DensCompa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C9346B" w:rsidRDefault="00B73EB8" w:rsidP="00047821">
      <w:pPr>
        <w:pStyle w:val="Caption"/>
        <w:spacing w:line="480" w:lineRule="auto"/>
      </w:pPr>
      <w:bookmarkStart w:id="15" w:name="_Ref340230165"/>
      <w:r>
        <w:t xml:space="preserve">Figure </w:t>
      </w:r>
      <w:fldSimple w:instr=" SEQ Figure \* ARABIC ">
        <w:r w:rsidR="00F2589E">
          <w:rPr>
            <w:noProof/>
          </w:rPr>
          <w:t>3</w:t>
        </w:r>
      </w:fldSimple>
      <w:bookmarkEnd w:id="15"/>
      <w:r>
        <w:t xml:space="preserve"> Comparison of the distribution of estimates of U2, U1, and U1* produced using Method 10</w:t>
      </w:r>
    </w:p>
    <w:p w:rsidR="00C52573" w:rsidRDefault="00072341" w:rsidP="00D210AA">
      <w:pPr>
        <w:pStyle w:val="Heading2"/>
      </w:pPr>
      <w:r>
        <w:lastRenderedPageBreak/>
        <w:t>Scatterplots</w:t>
      </w:r>
    </w:p>
    <w:p w:rsidR="00072341" w:rsidRDefault="00DA744F" w:rsidP="00047821">
      <w:pPr>
        <w:spacing w:line="480" w:lineRule="auto"/>
      </w:pPr>
      <w:r>
        <w:t xml:space="preserve">In </w:t>
      </w:r>
      <w:r w:rsidR="009E2AE4">
        <w:fldChar w:fldCharType="begin"/>
      </w:r>
      <w:r w:rsidR="001463F3">
        <w:instrText xml:space="preserve"> REF _Ref340653784 \h </w:instrText>
      </w:r>
      <w:r w:rsidR="00047821">
        <w:instrText xml:space="preserve"> \* MERGEFORMAT </w:instrText>
      </w:r>
      <w:r w:rsidR="009E2AE4">
        <w:fldChar w:fldCharType="separate"/>
      </w:r>
      <w:r w:rsidR="001463F3">
        <w:t xml:space="preserve">Figure </w:t>
      </w:r>
      <w:r w:rsidR="001463F3">
        <w:rPr>
          <w:noProof/>
        </w:rPr>
        <w:t>4</w:t>
      </w:r>
      <w:r w:rsidR="009E2AE4">
        <w:fldChar w:fldCharType="end"/>
      </w:r>
      <w:r w:rsidR="00C279D1">
        <w:t xml:space="preserve"> </w:t>
      </w:r>
      <w:r>
        <w:t xml:space="preserve">the scatterplots of </w:t>
      </w:r>
      <w:r w:rsidR="00C279D1">
        <w:t xml:space="preserve">U2 against U1 </w:t>
      </w:r>
      <w:r>
        <w:t>are shown for each of the 10 methods. The scatterplot from bootstrapping the IPD</w:t>
      </w:r>
      <w:r w:rsidR="00341956">
        <w:t xml:space="preserve">, shown in full size in </w:t>
      </w:r>
      <w:r w:rsidR="009E2AE4">
        <w:fldChar w:fldCharType="begin"/>
      </w:r>
      <w:r w:rsidR="00341956">
        <w:instrText xml:space="preserve"> REF _Ref338767895 \h </w:instrText>
      </w:r>
      <w:r w:rsidR="00047821">
        <w:instrText xml:space="preserve"> \* MERGEFORMAT </w:instrText>
      </w:r>
      <w:r w:rsidR="009E2AE4">
        <w:fldChar w:fldCharType="separate"/>
      </w:r>
      <w:r w:rsidR="00341956">
        <w:t xml:space="preserve">Figure </w:t>
      </w:r>
      <w:r w:rsidR="00341956">
        <w:rPr>
          <w:noProof/>
        </w:rPr>
        <w:t>2</w:t>
      </w:r>
      <w:r w:rsidR="009E2AE4">
        <w:fldChar w:fldCharType="end"/>
      </w:r>
      <w:r w:rsidR="00341956">
        <w:t xml:space="preserve">, is </w:t>
      </w:r>
      <w:r>
        <w:t xml:space="preserve">reproduced in </w:t>
      </w:r>
      <w:r w:rsidR="009E2AE4">
        <w:fldChar w:fldCharType="begin"/>
      </w:r>
      <w:r>
        <w:instrText xml:space="preserve"> REF _Ref340653784 \h </w:instrText>
      </w:r>
      <w:r w:rsidR="00047821">
        <w:instrText xml:space="preserve"> \* MERGEFORMAT </w:instrText>
      </w:r>
      <w:r w:rsidR="009E2AE4">
        <w:fldChar w:fldCharType="separate"/>
      </w:r>
      <w:r>
        <w:t xml:space="preserve">Figure </w:t>
      </w:r>
      <w:r>
        <w:rPr>
          <w:noProof/>
        </w:rPr>
        <w:t>4</w:t>
      </w:r>
      <w:r w:rsidR="009E2AE4">
        <w:fldChar w:fldCharType="end"/>
      </w:r>
      <w:proofErr w:type="gramStart"/>
      <w:r>
        <w:t>a for</w:t>
      </w:r>
      <w:proofErr w:type="gramEnd"/>
      <w:r>
        <w:t xml:space="preserve"> comparison. </w:t>
      </w:r>
      <w:r w:rsidR="003E3177">
        <w:t xml:space="preserve">The diagonal line indicates parity between corresponding draws of U1 and U2. Scatter above this diagonal line shows that some proportion of the draws produced by the method violate the monotonicity assumption. A good method should be able to produce a similar pattern of scatter given the aggregate data as the bootstrapped method is able to produce using the IPD. </w:t>
      </w:r>
    </w:p>
    <w:p w:rsidR="00E2131D" w:rsidRDefault="009E2AE4" w:rsidP="00047821">
      <w:pPr>
        <w:spacing w:line="480" w:lineRule="auto"/>
      </w:pPr>
      <w:r>
        <w:fldChar w:fldCharType="begin"/>
      </w:r>
      <w:r w:rsidR="003E3177">
        <w:instrText xml:space="preserve"> REF _Ref340239153 \h </w:instrText>
      </w:r>
      <w:r w:rsidR="00047821">
        <w:instrText xml:space="preserve"> \* MERGEFORMAT </w:instrText>
      </w:r>
      <w:r>
        <w:fldChar w:fldCharType="separate"/>
      </w:r>
      <w:r w:rsidR="003E3177">
        <w:t xml:space="preserve">Figure </w:t>
      </w:r>
      <w:r w:rsidR="003E3177">
        <w:rPr>
          <w:noProof/>
        </w:rPr>
        <w:t>4</w:t>
      </w:r>
      <w:r>
        <w:fldChar w:fldCharType="end"/>
      </w:r>
      <w:r w:rsidR="00341956">
        <w:t>b</w:t>
      </w:r>
      <w:r w:rsidR="003E3177">
        <w:t xml:space="preserve"> </w:t>
      </w:r>
      <w:r w:rsidR="00D36589">
        <w:t xml:space="preserve">shows the scatterplot for </w:t>
      </w:r>
      <w:r w:rsidR="00E2131D">
        <w:t xml:space="preserve">method </w:t>
      </w:r>
      <w:r w:rsidR="00D36589">
        <w:t xml:space="preserve">one. This shows some </w:t>
      </w:r>
      <w:r w:rsidR="00E2131D">
        <w:t xml:space="preserve">scatter above the diagonal line, highlighting the inadequacy of the approach. </w:t>
      </w:r>
      <w:r w:rsidR="003C0A89">
        <w:t>A</w:t>
      </w:r>
      <w:r w:rsidR="00E2131D">
        <w:t xml:space="preserve">ll other approaches appear to produce no estimates which violate the monotonicity assumption. </w:t>
      </w:r>
    </w:p>
    <w:p w:rsidR="009579A4" w:rsidRDefault="009579A4" w:rsidP="00047821">
      <w:pPr>
        <w:spacing w:line="480" w:lineRule="auto"/>
      </w:pPr>
      <w:r>
        <w:t xml:space="preserve">Methods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t xml:space="preserve">, </w:t>
      </w:r>
      <w:r w:rsidR="00D36589">
        <w:t>four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t xml:space="preserve"> and </w:t>
      </w:r>
      <w:r w:rsidR="00D36589">
        <w:t>six</w:t>
      </w:r>
      <w:r>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t xml:space="preserve">all show </w:t>
      </w:r>
      <w:r w:rsidR="00567B8E">
        <w:t xml:space="preserve">nonlinearities in the scatter, with no values above the diagonal line but relatively high densities of values just below the diagonal line. These discontinuities </w:t>
      </w:r>
      <w:r w:rsidR="00E31B3F">
        <w:t>prove</w:t>
      </w:r>
      <w:r w:rsidR="00567B8E">
        <w:t xml:space="preserve"> that the</w:t>
      </w:r>
      <w:r w:rsidR="008F7A5A">
        <w:t>se</w:t>
      </w:r>
      <w:r w:rsidR="00567B8E">
        <w:t xml:space="preserve"> methods of ensuring monotonicity </w:t>
      </w:r>
      <w:r w:rsidR="008F7A5A">
        <w:t xml:space="preserve">are </w:t>
      </w:r>
      <w:r w:rsidR="00567B8E">
        <w:t xml:space="preserve">liable to produce biases in the estimated mean values.  </w:t>
      </w:r>
    </w:p>
    <w:p w:rsidR="00E2131D" w:rsidRDefault="00E2131D" w:rsidP="00047821">
      <w:pPr>
        <w:spacing w:line="480" w:lineRule="auto"/>
      </w:pPr>
      <w:r>
        <w:t xml:space="preserve">The majority of the approaches appear to produce patterns of variance in the scatter which are </w:t>
      </w:r>
      <w:r w:rsidR="009579A4">
        <w:t xml:space="preserve">qualitatively dissimilar to the bootstrapped scatter. Methods </w:t>
      </w:r>
      <w:r w:rsidR="00D36589">
        <w:t>one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b</w:t>
      </w:r>
      <w:r w:rsidR="00D36589">
        <w:t>)</w:t>
      </w:r>
      <w:r w:rsidR="009579A4">
        <w:t xml:space="preserve">, </w:t>
      </w:r>
      <w:r w:rsidR="00D36589">
        <w:t>three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d</w:t>
      </w:r>
      <w:r w:rsidR="00D36589">
        <w:t>)</w:t>
      </w:r>
      <w:r w:rsidR="009579A4">
        <w:t xml:space="preserve">, </w:t>
      </w:r>
      <w:r w:rsidR="00D36589">
        <w:t>four</w:t>
      </w:r>
      <w:r w:rsidR="00610911">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e</w:t>
      </w:r>
      <w:r w:rsidR="00D36589">
        <w:t>),</w:t>
      </w:r>
      <w:r w:rsidR="009579A4">
        <w:t xml:space="preserve"> </w:t>
      </w:r>
      <w:r w:rsidR="00D36589">
        <w:t>five (</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f</w:t>
      </w:r>
      <w:r w:rsidR="00D36589">
        <w:t>),</w:t>
      </w:r>
      <w:r w:rsidR="009579A4">
        <w:t xml:space="preserve"> and </w:t>
      </w:r>
      <w:r w:rsidR="00D36589">
        <w:t>six</w:t>
      </w:r>
      <w:r w:rsidR="009579A4">
        <w:t xml:space="preserve"> </w:t>
      </w:r>
      <w:r w:rsidR="00D36589">
        <w:t>(</w:t>
      </w:r>
      <w:r w:rsidR="009E2AE4">
        <w:fldChar w:fldCharType="begin"/>
      </w:r>
      <w:r w:rsidR="003E3177">
        <w:instrText xml:space="preserve"> REF _Ref340239153 \h </w:instrText>
      </w:r>
      <w:r w:rsidR="00047821">
        <w:instrText xml:space="preserve"> \* MERGEFORMAT </w:instrText>
      </w:r>
      <w:r w:rsidR="009E2AE4">
        <w:fldChar w:fldCharType="separate"/>
      </w:r>
      <w:r w:rsidR="003E3177">
        <w:t xml:space="preserve">Figure </w:t>
      </w:r>
      <w:r w:rsidR="003E3177">
        <w:rPr>
          <w:noProof/>
        </w:rPr>
        <w:t>4</w:t>
      </w:r>
      <w:r w:rsidR="009E2AE4">
        <w:fldChar w:fldCharType="end"/>
      </w:r>
      <w:r w:rsidR="008F7A5A">
        <w:t>g</w:t>
      </w:r>
      <w:r w:rsidR="00D36589">
        <w:t xml:space="preserve">) </w:t>
      </w:r>
      <w:r w:rsidR="009579A4">
        <w:t xml:space="preserve">all produce uncorrelated scatter that is too </w:t>
      </w:r>
      <w:proofErr w:type="gramStart"/>
      <w:r w:rsidR="009579A4">
        <w:t>wide,</w:t>
      </w:r>
      <w:proofErr w:type="gramEnd"/>
      <w:r w:rsidR="009579A4">
        <w:t xml:space="preserve"> indicating the correlation of the PSA es</w:t>
      </w:r>
      <w:r w:rsidR="008F7A5A">
        <w:t>timates is too low. By contrast method</w:t>
      </w:r>
      <w:r w:rsidR="003C0A89">
        <w:t xml:space="preserve">s two and </w:t>
      </w:r>
      <w:r w:rsidR="00D36589">
        <w:t>seven</w:t>
      </w:r>
      <w:r w:rsidR="00170F06">
        <w:t xml:space="preserve"> </w:t>
      </w:r>
      <w:r w:rsidR="008F7A5A">
        <w:t>produces scatter which is too narrow, as in this case the method is equivalent to assuming perfect correlation between U1 and U2.</w:t>
      </w:r>
      <w:r w:rsidR="009579A4">
        <w:t xml:space="preserve"> </w:t>
      </w:r>
    </w:p>
    <w:p w:rsidR="009D6F8F" w:rsidRDefault="00072341" w:rsidP="00047821">
      <w:pPr>
        <w:spacing w:line="480" w:lineRule="auto"/>
      </w:pPr>
      <w:r>
        <w:t xml:space="preserve">We see from the scatter that </w:t>
      </w:r>
      <w:r w:rsidR="008F7A5A">
        <w:t>methods eight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i) and ten (</w:t>
      </w:r>
      <w:r w:rsidR="009E2AE4">
        <w:fldChar w:fldCharType="begin"/>
      </w:r>
      <w:r w:rsidR="008F7A5A">
        <w:instrText xml:space="preserve"> REF _Ref340239153 \h </w:instrText>
      </w:r>
      <w:r w:rsidR="00047821">
        <w:instrText xml:space="preserve"> \* MERGEFORMAT </w:instrText>
      </w:r>
      <w:r w:rsidR="009E2AE4">
        <w:fldChar w:fldCharType="separate"/>
      </w:r>
      <w:r w:rsidR="008F7A5A">
        <w:t xml:space="preserve">Figure </w:t>
      </w:r>
      <w:r w:rsidR="008F7A5A">
        <w:rPr>
          <w:noProof/>
        </w:rPr>
        <w:t>4</w:t>
      </w:r>
      <w:r w:rsidR="009E2AE4">
        <w:fldChar w:fldCharType="end"/>
      </w:r>
      <w:r w:rsidR="008F7A5A">
        <w:t>k)</w:t>
      </w:r>
      <w:r>
        <w:t xml:space="preserve"> are closest in appearance to the bootstrapped scatter. </w:t>
      </w:r>
    </w:p>
    <w:p w:rsidR="001463F3" w:rsidRDefault="003C0A89" w:rsidP="00047821">
      <w:pPr>
        <w:keepNext/>
        <w:spacing w:line="480" w:lineRule="auto"/>
      </w:pPr>
      <w:r>
        <w:rPr>
          <w:noProof/>
        </w:rPr>
        <w:lastRenderedPageBreak/>
        <w:drawing>
          <wp:inline distT="0" distB="0" distL="0" distR="0" wp14:anchorId="2035FF84" wp14:editId="52983F52">
            <wp:extent cx="5725160" cy="7633335"/>
            <wp:effectExtent l="0" t="0" r="0" b="0"/>
            <wp:docPr id="4" name="Picture 4" descr="X:\Monotonicity\Code\R\PSA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Monotonicity\Code\R\PSA_al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7633335"/>
                    </a:xfrm>
                    <a:prstGeom prst="rect">
                      <a:avLst/>
                    </a:prstGeom>
                    <a:noFill/>
                    <a:ln>
                      <a:noFill/>
                    </a:ln>
                  </pic:spPr>
                </pic:pic>
              </a:graphicData>
            </a:graphic>
          </wp:inline>
        </w:drawing>
      </w:r>
    </w:p>
    <w:p w:rsidR="00C279D1" w:rsidRDefault="001463F3" w:rsidP="00047821">
      <w:pPr>
        <w:pStyle w:val="Caption"/>
        <w:spacing w:line="480" w:lineRule="auto"/>
      </w:pPr>
      <w:bookmarkStart w:id="16" w:name="_Ref340653784"/>
      <w:r>
        <w:t xml:space="preserve">Figure </w:t>
      </w:r>
      <w:fldSimple w:instr=" SEQ Figure \* ARABIC ">
        <w:r w:rsidR="00F2589E">
          <w:rPr>
            <w:noProof/>
          </w:rPr>
          <w:t>4</w:t>
        </w:r>
      </w:fldSimple>
      <w:bookmarkEnd w:id="16"/>
      <w:r>
        <w:t xml:space="preserve"> Scatterplots of U1 against U2 for each of the methods</w:t>
      </w:r>
    </w:p>
    <w:p w:rsidR="009D6F8F" w:rsidRPr="009D6F8F" w:rsidRDefault="009D6F8F" w:rsidP="00047821">
      <w:pPr>
        <w:spacing w:line="480" w:lineRule="auto"/>
      </w:pPr>
    </w:p>
    <w:p w:rsidR="00072341" w:rsidRPr="00072341" w:rsidRDefault="00072341" w:rsidP="00D210AA">
      <w:pPr>
        <w:pStyle w:val="Heading2"/>
      </w:pPr>
      <w:r>
        <w:lastRenderedPageBreak/>
        <w:t>Monotonicity violation</w:t>
      </w:r>
    </w:p>
    <w:p w:rsidR="00C52573" w:rsidRDefault="00103ED7" w:rsidP="00047821">
      <w:pPr>
        <w:spacing w:line="480" w:lineRule="auto"/>
      </w:pPr>
      <w:r>
        <w:t xml:space="preserve">The only approach where there was violation </w:t>
      </w:r>
      <w:r w:rsidR="00BC5A21">
        <w:t>of monotonicity was method one (</w:t>
      </w:r>
      <w:r>
        <w:t>independent sampling</w:t>
      </w:r>
      <w:r w:rsidR="00BC5A21">
        <w:t>)</w:t>
      </w:r>
      <w:r>
        <w:t xml:space="preserve">. For this method </w:t>
      </w:r>
      <w:r w:rsidR="006A31BA">
        <w:t>53 out of the 1000 PSA samples violate</w:t>
      </w:r>
      <w:r w:rsidR="00BB6DAB">
        <w:t>d</w:t>
      </w:r>
      <w:r w:rsidR="006A31BA">
        <w:t xml:space="preserve"> </w:t>
      </w:r>
      <w:r w:rsidR="003E4861">
        <w:t>monotonicity</w:t>
      </w:r>
      <w:r w:rsidR="006A31BA">
        <w:t>.</w:t>
      </w:r>
      <w:r w:rsidR="00BB6DAB">
        <w:t xml:space="preserve"> The precise proportion of samples violating monotonicity will differ slightly each time PSA is performed, due to stochastic uncertainty.</w:t>
      </w:r>
    </w:p>
    <w:p w:rsidR="00DC700E" w:rsidRDefault="00C77F67" w:rsidP="00D210AA">
      <w:pPr>
        <w:pStyle w:val="Heading2"/>
      </w:pPr>
      <w:r>
        <w:t>Comparing U1, U2 and U1-U2</w:t>
      </w:r>
    </w:p>
    <w:p w:rsidR="00C77F67" w:rsidRDefault="00C77F67" w:rsidP="00047821">
      <w:pPr>
        <w:spacing w:line="480" w:lineRule="auto"/>
      </w:pPr>
      <w:r>
        <w:t xml:space="preserve">This section will compare the distribution of </w:t>
      </w:r>
      <w:r w:rsidR="00A90C1A">
        <w:t xml:space="preserve">estimates of three quantities, U1, U2, and U1 – U2, produced by each of the ten methods, compared with </w:t>
      </w:r>
      <w:r>
        <w:t xml:space="preserve">the </w:t>
      </w:r>
      <w:r w:rsidR="00BC5A21">
        <w:t xml:space="preserve">assumed </w:t>
      </w:r>
      <w:r>
        <w:t>gold standard, the bootstrapped data</w:t>
      </w:r>
      <w:r w:rsidR="00E31B3F">
        <w:t>,</w:t>
      </w:r>
      <w:r>
        <w:t xml:space="preserve"> allow</w:t>
      </w:r>
      <w:r w:rsidR="00E31B3F">
        <w:t>ing</w:t>
      </w:r>
      <w:r>
        <w:t xml:space="preserve"> nuanced comparisons between the distributions </w:t>
      </w:r>
      <w:r w:rsidR="00264F0F">
        <w:t>to be made.</w:t>
      </w:r>
      <w:r w:rsidR="001463F3">
        <w:t xml:space="preserve"> </w:t>
      </w:r>
    </w:p>
    <w:p w:rsidR="00A90C1A" w:rsidRDefault="00A90C1A" w:rsidP="00047821">
      <w:pPr>
        <w:spacing w:line="480" w:lineRule="auto"/>
      </w:pPr>
      <w:r>
        <w:t xml:space="preserve">The top and middle subfigures of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 show the distributions of estimates of U1 and U2 respectively. They show that all methods appear broadly adequate in representing these quantities, </w:t>
      </w:r>
      <w:r w:rsidR="0091764E">
        <w:t xml:space="preserve">in that all distributions </w:t>
      </w:r>
      <w:r w:rsidR="00BC5A21">
        <w:t xml:space="preserve">have </w:t>
      </w:r>
      <w:r w:rsidR="0091764E">
        <w:t>similar shapes. There is some indication showing that the resampling and replacement methods, methods three to six, produce biased means, in that the centres of the estimates, indicated by the white dots, do not line up with the bootstrapped centre, indicated by the horizontal dashed line. However in our example these differences are relatively small.</w:t>
      </w:r>
    </w:p>
    <w:p w:rsidR="00610911" w:rsidRDefault="0091764E" w:rsidP="00047821">
      <w:pPr>
        <w:spacing w:line="480" w:lineRule="auto"/>
      </w:pPr>
      <w:r>
        <w:t xml:space="preserve">The bottom of the three subfigures, </w:t>
      </w:r>
      <w:r w:rsidR="009E2AE4">
        <w:fldChar w:fldCharType="begin"/>
      </w:r>
      <w:r>
        <w:instrText xml:space="preserve"> REF _Ref340239153 \h </w:instrText>
      </w:r>
      <w:r w:rsidR="00047821">
        <w:instrText xml:space="preserve"> \* MERGEFORMAT </w:instrText>
      </w:r>
      <w:r w:rsidR="009E2AE4">
        <w:fldChar w:fldCharType="separate"/>
      </w:r>
      <w:r>
        <w:t xml:space="preserve">Figure </w:t>
      </w:r>
      <w:r>
        <w:rPr>
          <w:noProof/>
        </w:rPr>
        <w:t>4</w:t>
      </w:r>
      <w:r w:rsidR="009E2AE4">
        <w:fldChar w:fldCharType="end"/>
      </w:r>
      <w:r>
        <w:t xml:space="preserve">c, shows the </w:t>
      </w:r>
      <w:r w:rsidR="000071B0">
        <w:t xml:space="preserve">distribution of </w:t>
      </w:r>
      <w:r>
        <w:t xml:space="preserve">estimates of </w:t>
      </w:r>
      <w:r w:rsidR="000071B0">
        <w:t>U1 – U2, i.e. the difference</w:t>
      </w:r>
      <w:r>
        <w:t xml:space="preserve">s in paired draws of U1 and U2. </w:t>
      </w:r>
      <w:r w:rsidR="007D2A85">
        <w:t>As shown in</w:t>
      </w:r>
      <w:r>
        <w:t xml:space="preserve"> </w:t>
      </w:r>
      <w:r w:rsidR="009E2AE4">
        <w:fldChar w:fldCharType="begin"/>
      </w:r>
      <w:r>
        <w:instrText xml:space="preserve"> REF _Ref340653784 \h </w:instrText>
      </w:r>
      <w:r w:rsidR="00047821">
        <w:instrText xml:space="preserve"> \* MERGEFORMAT </w:instrText>
      </w:r>
      <w:r w:rsidR="009E2AE4">
        <w:fldChar w:fldCharType="separate"/>
      </w:r>
      <w:r>
        <w:t xml:space="preserve">Figure </w:t>
      </w:r>
      <w:r>
        <w:rPr>
          <w:noProof/>
        </w:rPr>
        <w:t>4</w:t>
      </w:r>
      <w:r w:rsidR="009E2AE4">
        <w:fldChar w:fldCharType="end"/>
      </w:r>
      <w:r w:rsidR="007D2A85">
        <w:t xml:space="preserve">, </w:t>
      </w:r>
      <w:r w:rsidR="000071B0">
        <w:t xml:space="preserve">we see </w:t>
      </w:r>
      <w:r w:rsidR="007D2A85">
        <w:t xml:space="preserve">clearly that method </w:t>
      </w:r>
      <w:r w:rsidR="001463F3">
        <w:t>one</w:t>
      </w:r>
      <w:r w:rsidR="007D2A85">
        <w:t>, independent sampling, producing some estimates where monotonicity is violated, because some of the distribution of values is below the 0</w:t>
      </w:r>
      <w:r w:rsidR="00E31B3F">
        <w:t>. M</w:t>
      </w:r>
      <w:r>
        <w:t xml:space="preserve">ethod two is also shown to produce some samples where monotonicity is violated, although it is also evident that the majority of the estimates produced by this distribution are within a small range, as indicated by the very small length of the black line for this method compared with many other methods. </w:t>
      </w:r>
    </w:p>
    <w:p w:rsidR="0091764E" w:rsidRDefault="007D2A85" w:rsidP="00047821">
      <w:pPr>
        <w:spacing w:line="480" w:lineRule="auto"/>
      </w:pPr>
      <w:r>
        <w:t xml:space="preserve">Two </w:t>
      </w:r>
      <w:r w:rsidR="00E31B3F">
        <w:t>further</w:t>
      </w:r>
      <w:r>
        <w:t xml:space="preserve"> problem</w:t>
      </w:r>
      <w:r w:rsidR="00E31B3F">
        <w:t>s</w:t>
      </w:r>
      <w:r>
        <w:t xml:space="preserve"> are also </w:t>
      </w:r>
      <w:r w:rsidR="000B5D3F">
        <w:t>observed</w:t>
      </w:r>
      <w:r>
        <w:t xml:space="preserve">. </w:t>
      </w:r>
      <w:r w:rsidR="00610911">
        <w:t>The first type of problem is a severe underestimation of the true uncertainty in this quantity, which is evident most strongly in method seven</w:t>
      </w:r>
      <w:r w:rsidR="0018273B">
        <w:t xml:space="preserve"> and method two</w:t>
      </w:r>
      <w:r w:rsidR="00610911">
        <w:t xml:space="preserve">. </w:t>
      </w:r>
      <w:r w:rsidR="00610911">
        <w:lastRenderedPageBreak/>
        <w:t>The second type of problem is evident in method three, four, five and six, which introduce a discontinuity into the distributions at the lower end (U2 – U1 = 0), while showing too wide a distribution at the upper end.</w:t>
      </w:r>
    </w:p>
    <w:p w:rsidR="00264F0F" w:rsidRDefault="003C0A89" w:rsidP="00047821">
      <w:pPr>
        <w:spacing w:line="480" w:lineRule="auto"/>
      </w:pPr>
      <w:r>
        <w:rPr>
          <w:noProof/>
        </w:rPr>
        <w:lastRenderedPageBreak/>
        <w:drawing>
          <wp:inline distT="0" distB="0" distL="0" distR="0" wp14:anchorId="095C91CF" wp14:editId="3F526274">
            <wp:extent cx="5725160" cy="8587105"/>
            <wp:effectExtent l="0" t="0" r="0" b="0"/>
            <wp:docPr id="6" name="Picture 6" descr="X:\Monotonicity\Code\R\Vioplot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Vioplot_a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8587105"/>
                    </a:xfrm>
                    <a:prstGeom prst="rect">
                      <a:avLst/>
                    </a:prstGeom>
                    <a:noFill/>
                    <a:ln>
                      <a:noFill/>
                    </a:ln>
                  </pic:spPr>
                </pic:pic>
              </a:graphicData>
            </a:graphic>
          </wp:inline>
        </w:drawing>
      </w:r>
    </w:p>
    <w:p w:rsidR="00524D9D" w:rsidRDefault="00524D9D" w:rsidP="00047821">
      <w:pPr>
        <w:pStyle w:val="Caption"/>
        <w:spacing w:line="480" w:lineRule="auto"/>
        <w:rPr>
          <w:noProof/>
        </w:rPr>
      </w:pPr>
      <w:bookmarkStart w:id="17" w:name="_Ref340241271"/>
      <w:r>
        <w:lastRenderedPageBreak/>
        <w:t xml:space="preserve">Figure </w:t>
      </w:r>
      <w:fldSimple w:instr=" SEQ Figure \* ARABIC ">
        <w:r w:rsidR="00F2589E">
          <w:rPr>
            <w:noProof/>
          </w:rPr>
          <w:t>5</w:t>
        </w:r>
      </w:fldSimple>
      <w:bookmarkEnd w:id="17"/>
      <w:r>
        <w:t xml:space="preserve"> Violin plot</w:t>
      </w:r>
      <w:r w:rsidR="00A90C1A">
        <w:t>s of a) (top figure)</w:t>
      </w:r>
      <w:r>
        <w:t xml:space="preserve"> </w:t>
      </w:r>
      <w:r w:rsidR="00A90C1A">
        <w:t xml:space="preserve">distribution of estimates of U1; b) (centre figure) distribution of estimates of U2; c) (bottom figure) </w:t>
      </w:r>
      <w:r>
        <w:t xml:space="preserve">distribution of </w:t>
      </w:r>
      <w:r w:rsidR="00A90C1A">
        <w:t xml:space="preserve">estimates of </w:t>
      </w:r>
      <w:r>
        <w:t>U1 - U2</w:t>
      </w:r>
      <w:r w:rsidR="00A90C1A">
        <w:t xml:space="preserve">. In each plot distributions produced by each of the ten methods are compared with those produced by the bootstrapped estimates, labelled ‘Boot’. </w:t>
      </w:r>
      <w:r w:rsidR="001463F3">
        <w:rPr>
          <w:noProof/>
        </w:rPr>
        <w:t xml:space="preserve">The white dots indicate the sample means. The thick vertical dark black lines indicate the interquartile range. The thin vertical black lines indicate the 95% intervals. </w:t>
      </w:r>
    </w:p>
    <w:p w:rsidR="00F2589E" w:rsidRDefault="00F2589E" w:rsidP="00D210AA">
      <w:pPr>
        <w:pStyle w:val="Heading2"/>
      </w:pPr>
      <w:r>
        <w:lastRenderedPageBreak/>
        <w:t>Supplementary analysis</w:t>
      </w:r>
    </w:p>
    <w:p w:rsidR="008E5FD4" w:rsidRDefault="00F2589E" w:rsidP="00F2589E">
      <w:pPr>
        <w:keepNext/>
        <w:spacing w:line="480" w:lineRule="auto"/>
      </w:pPr>
      <w:r>
        <w:t xml:space="preserve">Based on these results, methods 8, 9 and 10 were evaluated further by seeing what outputs they produced when the alternative summary statistics were used. In this analysis, U1 and U2 are derived from different samples of individuals, and so no IPD is available against which the results can be compared. The results of this additional analysis are shown in </w:t>
      </w:r>
      <w:r>
        <w:fldChar w:fldCharType="begin"/>
      </w:r>
      <w:r>
        <w:instrText xml:space="preserve"> REF _Ref346820797 \h </w:instrText>
      </w:r>
      <w:r>
        <w:fldChar w:fldCharType="separate"/>
      </w:r>
      <w:r>
        <w:t xml:space="preserve">Figure </w:t>
      </w:r>
      <w:r>
        <w:rPr>
          <w:noProof/>
        </w:rPr>
        <w:t>6</w:t>
      </w:r>
      <w:r>
        <w:fldChar w:fldCharType="end"/>
      </w:r>
      <w:r>
        <w:t xml:space="preserve">. </w:t>
      </w:r>
      <w:commentRangeStart w:id="18"/>
      <w:r>
        <w:fldChar w:fldCharType="begin"/>
      </w:r>
      <w:r>
        <w:instrText xml:space="preserve"> REF _Ref346820797 \h </w:instrText>
      </w:r>
      <w:r>
        <w:fldChar w:fldCharType="separate"/>
      </w:r>
      <w:r>
        <w:t xml:space="preserve">Figure </w:t>
      </w:r>
      <w:r>
        <w:rPr>
          <w:noProof/>
        </w:rPr>
        <w:t>6</w:t>
      </w:r>
      <w:r>
        <w:fldChar w:fldCharType="end"/>
      </w:r>
      <w:r w:rsidR="008E5FD4">
        <w:t xml:space="preserve">a indicates that, unlike the results shown in </w:t>
      </w:r>
      <w:r w:rsidR="008E5FD4">
        <w:fldChar w:fldCharType="begin"/>
      </w:r>
      <w:r w:rsidR="008E5FD4">
        <w:instrText xml:space="preserve"> REF _Ref340230165 \h  \* MERGEFORMAT </w:instrText>
      </w:r>
      <w:r w:rsidR="008E5FD4">
        <w:fldChar w:fldCharType="separate"/>
      </w:r>
      <w:r w:rsidR="008E5FD4">
        <w:t xml:space="preserve">Figure </w:t>
      </w:r>
      <w:r w:rsidR="008E5FD4">
        <w:rPr>
          <w:noProof/>
        </w:rPr>
        <w:t>3</w:t>
      </w:r>
      <w:r w:rsidR="008E5FD4">
        <w:fldChar w:fldCharType="end"/>
      </w:r>
      <w:r w:rsidR="008E5FD4">
        <w:t xml:space="preserve">, the densities of the independently sampled estimates of U2 and the estimates of U2 created using the difference method, labelled U2*, are no longer very similar. Instead the distribution of U2* is wider than of U2. </w:t>
      </w:r>
      <w:commentRangeEnd w:id="18"/>
      <w:r w:rsidR="00BC5A21">
        <w:rPr>
          <w:rStyle w:val="CommentReference"/>
        </w:rPr>
        <w:commentReference w:id="18"/>
      </w:r>
    </w:p>
    <w:p w:rsidR="006B36D8" w:rsidRDefault="008E5FD4" w:rsidP="00F2589E">
      <w:pPr>
        <w:keepNext/>
        <w:spacing w:line="480" w:lineRule="auto"/>
      </w:pPr>
      <w:r>
        <w:fldChar w:fldCharType="begin"/>
      </w:r>
      <w:r>
        <w:instrText xml:space="preserve"> REF _Ref346820797 \h </w:instrText>
      </w:r>
      <w:r>
        <w:fldChar w:fldCharType="separate"/>
      </w:r>
      <w:r>
        <w:t xml:space="preserve">Figure </w:t>
      </w:r>
      <w:r>
        <w:rPr>
          <w:noProof/>
        </w:rPr>
        <w:t>6</w:t>
      </w:r>
      <w:r>
        <w:fldChar w:fldCharType="end"/>
      </w:r>
      <w:r>
        <w:t xml:space="preserve">b shows the scatterplot produced by the first variation of the covariance methods, method 8. The distribution of scatter over this bivariate surface is narrow, and is unlike any of the subfigures in </w:t>
      </w:r>
      <w:r>
        <w:fldChar w:fldCharType="begin"/>
      </w:r>
      <w:r>
        <w:instrText xml:space="preserve"> REF _Ref340239153 \h  \* MERGEFORMAT </w:instrText>
      </w:r>
      <w:r>
        <w:fldChar w:fldCharType="separate"/>
      </w:r>
      <w:r>
        <w:t xml:space="preserve">Figure </w:t>
      </w:r>
      <w:r>
        <w:rPr>
          <w:noProof/>
        </w:rPr>
        <w:t>4</w:t>
      </w:r>
      <w:r>
        <w:fldChar w:fldCharType="end"/>
      </w:r>
      <w:r>
        <w:t xml:space="preserve"> in that it does not run parallel to the diagonal line indicating parity. </w:t>
      </w:r>
      <w:r w:rsidR="006B36D8">
        <w:t xml:space="preserve">Instead, there is greater variation along the u2 axis than the u1 axis, as should be expected given that u2 has a greater standard error in this example. </w:t>
      </w:r>
      <w:commentRangeStart w:id="19"/>
      <w:r w:rsidR="006B36D8">
        <w:fldChar w:fldCharType="begin"/>
      </w:r>
      <w:r w:rsidR="006B36D8">
        <w:instrText xml:space="preserve"> REF _Ref346820797 \h </w:instrText>
      </w:r>
      <w:r w:rsidR="006B36D8">
        <w:fldChar w:fldCharType="separate"/>
      </w:r>
      <w:r w:rsidR="006B36D8">
        <w:t xml:space="preserve">Figure </w:t>
      </w:r>
      <w:r w:rsidR="006B36D8">
        <w:rPr>
          <w:noProof/>
        </w:rPr>
        <w:t>6</w:t>
      </w:r>
      <w:r w:rsidR="006B36D8">
        <w:fldChar w:fldCharType="end"/>
      </w:r>
      <w:r w:rsidR="006B36D8">
        <w:t xml:space="preserve">c </w:t>
      </w:r>
      <w:proofErr w:type="gramStart"/>
      <w:r w:rsidR="006B36D8">
        <w:t>show</w:t>
      </w:r>
      <w:proofErr w:type="gramEnd"/>
      <w:r w:rsidR="006B36D8">
        <w:t xml:space="preserve"> the equivalent results for the other variation of the covariance method, method 9. This is similar to the scatterplot for method 8, but appears slightly narrower. It also has at least one point which is above the diagonal line, indicating that this method has violated the monotonicity assumption in this example.</w:t>
      </w:r>
      <w:commentRangeEnd w:id="19"/>
      <w:r w:rsidR="00BC5A21">
        <w:rPr>
          <w:rStyle w:val="CommentReference"/>
        </w:rPr>
        <w:commentReference w:id="19"/>
      </w:r>
      <w:r w:rsidR="006B36D8">
        <w:t xml:space="preserve"> </w:t>
      </w:r>
    </w:p>
    <w:p w:rsidR="008E5FD4" w:rsidRDefault="006B36D8" w:rsidP="00F2589E">
      <w:pPr>
        <w:keepNext/>
        <w:spacing w:line="480" w:lineRule="auto"/>
      </w:pPr>
      <w:r>
        <w:t xml:space="preserve">The scatterplot for method 10 is shown in </w:t>
      </w:r>
      <w:r>
        <w:fldChar w:fldCharType="begin"/>
      </w:r>
      <w:r>
        <w:instrText xml:space="preserve"> REF _Ref346820797 \h </w:instrText>
      </w:r>
      <w:r>
        <w:fldChar w:fldCharType="separate"/>
      </w:r>
      <w:r>
        <w:t xml:space="preserve">Figure </w:t>
      </w:r>
      <w:r>
        <w:rPr>
          <w:noProof/>
        </w:rPr>
        <w:t>6</w:t>
      </w:r>
      <w:r>
        <w:fldChar w:fldCharType="end"/>
      </w:r>
      <w:r>
        <w:t>d. The pattern of scatter appears</w:t>
      </w:r>
      <w:r w:rsidR="00BC5A21">
        <w:t xml:space="preserve"> slightly asymmetrical, and to </w:t>
      </w:r>
      <w:r>
        <w:t>vary more along the u1 dimension for smaller values of u2. No obvious discontinuities are introduced, and no violation of the monotonicity assumption can occur.</w:t>
      </w:r>
      <w:r w:rsidR="008E5FD4">
        <w:t xml:space="preserve"> </w:t>
      </w:r>
    </w:p>
    <w:p w:rsidR="00F2589E" w:rsidRDefault="00F2589E" w:rsidP="00F2589E">
      <w:pPr>
        <w:keepNext/>
        <w:spacing w:line="480" w:lineRule="auto"/>
      </w:pPr>
      <w:r>
        <w:rPr>
          <w:noProof/>
        </w:rPr>
        <w:lastRenderedPageBreak/>
        <w:drawing>
          <wp:inline distT="0" distB="0" distL="0" distR="0" wp14:anchorId="24FC59B5" wp14:editId="000A429C">
            <wp:extent cx="5431809" cy="5431809"/>
            <wp:effectExtent l="0" t="0" r="0" b="0"/>
            <wp:docPr id="3" name="Picture 3" descr="X:\Monotonicity\Code\R\PSA_a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Monotonicity\Code\R\PSA_al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31890" cy="5431890"/>
                    </a:xfrm>
                    <a:prstGeom prst="rect">
                      <a:avLst/>
                    </a:prstGeom>
                    <a:noFill/>
                    <a:ln>
                      <a:noFill/>
                    </a:ln>
                  </pic:spPr>
                </pic:pic>
              </a:graphicData>
            </a:graphic>
          </wp:inline>
        </w:drawing>
      </w:r>
    </w:p>
    <w:p w:rsidR="00F2589E" w:rsidRPr="00F2589E" w:rsidRDefault="00F2589E" w:rsidP="00F2589E">
      <w:pPr>
        <w:pStyle w:val="Caption"/>
      </w:pPr>
      <w:bookmarkStart w:id="20" w:name="_Ref346820797"/>
      <w:r>
        <w:t xml:space="preserve">Figure </w:t>
      </w:r>
      <w:fldSimple w:instr=" SEQ Figure \* ARABIC ">
        <w:r>
          <w:rPr>
            <w:noProof/>
          </w:rPr>
          <w:t>6</w:t>
        </w:r>
      </w:fldSimple>
      <w:bookmarkEnd w:id="20"/>
      <w:r>
        <w:t xml:space="preserve"> Results of supplementary analysis for selected method. a) Density plot of distribution of estimates for U1, U2 (independent sampling), and U2* (estimates of U2 using the differencing method). b) </w:t>
      </w:r>
      <w:proofErr w:type="gramStart"/>
      <w:r>
        <w:t>scatterplot</w:t>
      </w:r>
      <w:proofErr w:type="gramEnd"/>
      <w:r>
        <w:t xml:space="preserve"> of u2 against u1 for </w:t>
      </w:r>
      <w:r>
        <w:rPr>
          <w:noProof/>
        </w:rPr>
        <w:t>method 8; c) scatterplot of u2 against u1 for method 9; d) scatterplot of u2 against u1 for method 10.</w:t>
      </w:r>
    </w:p>
    <w:p w:rsidR="00F2589E" w:rsidRPr="00F2589E" w:rsidRDefault="00F2589E" w:rsidP="00F2589E"/>
    <w:p w:rsidR="00430AB7" w:rsidRDefault="001463F3" w:rsidP="00047821">
      <w:pPr>
        <w:pStyle w:val="Heading1"/>
      </w:pPr>
      <w:r>
        <w:t>Discussion</w:t>
      </w:r>
    </w:p>
    <w:p w:rsidR="00430AB7" w:rsidRDefault="00F473F3" w:rsidP="00D210AA">
      <w:pPr>
        <w:pStyle w:val="Heading2"/>
      </w:pPr>
      <w:r>
        <w:t>Findings</w:t>
      </w:r>
    </w:p>
    <w:p w:rsidR="00BB6DAB" w:rsidRDefault="00BB6DAB" w:rsidP="00047821">
      <w:pPr>
        <w:spacing w:line="480" w:lineRule="auto"/>
      </w:pPr>
      <w:r>
        <w:t xml:space="preserve">This paper compared ten methods which may be used to handle the monotonicity assumption within PSA, against a ‘gold standard’ of bootstrapped estimates of hypothetical IPD.  It confirmed that independent sampling is liable to produce violations of the monotonicity assumption, and so should not be adopted where it is important to incorporate this assumption within the PSA </w:t>
      </w:r>
      <w:r>
        <w:lastRenderedPageBreak/>
        <w:t xml:space="preserve">estimates. It also found that a number of other commonly used methods for </w:t>
      </w:r>
      <w:r w:rsidR="009F309A">
        <w:t xml:space="preserve">incorporating the monotonicity can effectively discard or misrepresent an important form of uncertainty: i.e. uncertainty about the difference between U1 and U2. </w:t>
      </w:r>
      <w:r w:rsidR="002F55D5">
        <w:t>Methods three</w:t>
      </w:r>
      <w:r w:rsidR="009F309A">
        <w:t xml:space="preserve">, </w:t>
      </w:r>
      <w:r w:rsidR="002F55D5">
        <w:t>four</w:t>
      </w:r>
      <w:r w:rsidR="009F309A">
        <w:t xml:space="preserve">, </w:t>
      </w:r>
      <w:r w:rsidR="002F55D5">
        <w:t>five</w:t>
      </w:r>
      <w:r w:rsidR="009F309A">
        <w:t xml:space="preserve">, </w:t>
      </w:r>
      <w:r w:rsidR="002F55D5">
        <w:t>and six</w:t>
      </w:r>
      <w:r w:rsidR="009F309A">
        <w:t xml:space="preserve"> introduce implausible discontinuities into the distribution of differences between values</w:t>
      </w:r>
      <w:r w:rsidR="002F55D5">
        <w:t>; t</w:t>
      </w:r>
      <w:r w:rsidR="009F309A">
        <w:t xml:space="preserve">here are also theoretical reasons </w:t>
      </w:r>
      <w:r w:rsidR="00E31B3F">
        <w:t>why</w:t>
      </w:r>
      <w:r w:rsidR="009F309A">
        <w:t xml:space="preserve"> </w:t>
      </w:r>
      <w:r w:rsidR="002F55D5">
        <w:t xml:space="preserve">these methods </w:t>
      </w:r>
      <w:r w:rsidR="009F309A">
        <w:t>will produce biased means</w:t>
      </w:r>
      <w:r w:rsidR="00E31B3F">
        <w:t xml:space="preserve"> </w:t>
      </w:r>
      <w:r w:rsidR="00E31B3F" w:rsidRPr="00E31B3F">
        <w:t>when monotonicity is v</w:t>
      </w:r>
      <w:r w:rsidR="00E31B3F">
        <w:t>iolated by independent sampling</w:t>
      </w:r>
      <w:r w:rsidR="009F309A">
        <w:t xml:space="preserve">. </w:t>
      </w:r>
    </w:p>
    <w:p w:rsidR="009B5207" w:rsidRDefault="009B5207" w:rsidP="00047821">
      <w:pPr>
        <w:spacing w:line="480" w:lineRule="auto"/>
      </w:pPr>
      <w:r>
        <w:t xml:space="preserve">Based on the results presented, and in particular the results shown in </w:t>
      </w:r>
      <w:r w:rsidR="009E2AE4">
        <w:fldChar w:fldCharType="begin"/>
      </w:r>
      <w:r>
        <w:instrText xml:space="preserve"> REF _Ref340241271 \h </w:instrText>
      </w:r>
      <w:r w:rsidR="00047821">
        <w:instrText xml:space="preserve"> \* MERGEFORMAT </w:instrText>
      </w:r>
      <w:r w:rsidR="009E2AE4">
        <w:fldChar w:fldCharType="separate"/>
      </w:r>
      <w:r>
        <w:t xml:space="preserve">Figure </w:t>
      </w:r>
      <w:r>
        <w:rPr>
          <w:noProof/>
        </w:rPr>
        <w:t>5</w:t>
      </w:r>
      <w:r w:rsidR="009E2AE4">
        <w:fldChar w:fldCharType="end"/>
      </w:r>
      <w:r>
        <w:t xml:space="preserve">c, only methods eight, nine and ten appeared to broadly appropriate their representation of both intra-distribution uncertainty (U1, U2) and inter-distribution uncertainty (U2 – U1). </w:t>
      </w:r>
    </w:p>
    <w:p w:rsidR="00F26302" w:rsidRDefault="009B5207" w:rsidP="00047821">
      <w:pPr>
        <w:spacing w:line="480" w:lineRule="auto"/>
      </w:pPr>
      <w:r>
        <w:t>Of the three methods that appeared appropriate, method ten has three clear advantages over methods eight and</w:t>
      </w:r>
      <w:r w:rsidR="0082301F">
        <w:t xml:space="preserve"> nine. Firstly, it uses statistical distributions (beta distributions) which are more appropriate for representing utility values than </w:t>
      </w:r>
      <w:r w:rsidR="00AB0860">
        <w:t xml:space="preserve">bivariate normal distributions used in methods </w:t>
      </w:r>
      <w:r w:rsidR="0082301F">
        <w:t>eight and nine</w:t>
      </w:r>
      <w:commentRangeStart w:id="21"/>
      <w:r w:rsidR="0082301F">
        <w:t>. Secondly, it is analytically impossible that method ten will produce any pairs of estimates which violate the monotonicity assumption, whereas occasional violation is possible with estimates produced by methods eight and nine.</w:t>
      </w:r>
      <w:commentRangeEnd w:id="21"/>
      <w:r w:rsidR="00BC5A21">
        <w:rPr>
          <w:rStyle w:val="CommentReference"/>
        </w:rPr>
        <w:commentReference w:id="21"/>
      </w:r>
      <w:r w:rsidR="0082301F">
        <w:t xml:space="preserve"> Thirdly, method ten is easier to implement, and can be implemented with far greater consistency, than methods eight and nine</w:t>
      </w:r>
      <w:r w:rsidR="008F57EA">
        <w:t xml:space="preserve">. Methods eight and nine both required relatively complex code to estimate </w:t>
      </w:r>
      <w:r w:rsidR="00E31B3F">
        <w:t xml:space="preserve">the </w:t>
      </w:r>
      <w:proofErr w:type="spellStart"/>
      <w:r w:rsidR="00E31B3F">
        <w:t>covariances</w:t>
      </w:r>
      <w:proofErr w:type="spellEnd"/>
      <w:r w:rsidR="00E31B3F">
        <w:t xml:space="preserve"> </w:t>
      </w:r>
      <w:r w:rsidR="008F57EA">
        <w:t>in an automated way, and produce estimates which are affected both by simulation uncertainty and the size of the training sets of samples used to calibrate the covariance values; these problems are described in more detail in the limitations section. By contrast, method ten is simple enough that it can be run in a non</w:t>
      </w:r>
      <w:r w:rsidR="00485010">
        <w:t>-macro enabled Excel worksheet</w:t>
      </w:r>
      <w:r w:rsidR="008F57EA">
        <w:t xml:space="preserve">, and will produce identical estimates </w:t>
      </w:r>
      <w:r w:rsidR="00485010">
        <w:t xml:space="preserve">of the Beta parameters </w:t>
      </w:r>
      <w:r w:rsidR="008F57EA">
        <w:t>each time.</w:t>
      </w:r>
    </w:p>
    <w:p w:rsidR="00430AB7" w:rsidRDefault="003E4861" w:rsidP="00D210AA">
      <w:pPr>
        <w:pStyle w:val="Heading2"/>
      </w:pPr>
      <w:r>
        <w:t>Limitations</w:t>
      </w:r>
    </w:p>
    <w:p w:rsidR="00631984" w:rsidRDefault="002F55D5" w:rsidP="00047821">
      <w:pPr>
        <w:spacing w:line="480" w:lineRule="auto"/>
      </w:pPr>
      <w:r>
        <w:t xml:space="preserve">This section will describe limitations with the current analysis. This includes: not </w:t>
      </w:r>
      <w:r w:rsidR="00631984">
        <w:t xml:space="preserve">looking at results for a range of hypothetical datasets; not presenting a hypothetical example with three or more states; not </w:t>
      </w:r>
      <w:r w:rsidR="008C6930">
        <w:t xml:space="preserve">investigating </w:t>
      </w:r>
      <w:r w:rsidR="003D49B8">
        <w:t xml:space="preserve">how dependent the results from the covariance-based methods are </w:t>
      </w:r>
      <w:r w:rsidR="005C4B18">
        <w:t xml:space="preserve">upon </w:t>
      </w:r>
      <w:r w:rsidR="003D49B8">
        <w:t xml:space="preserve">the size </w:t>
      </w:r>
      <w:r w:rsidR="003D49B8">
        <w:lastRenderedPageBreak/>
        <w:t>of the ‘training’ sets</w:t>
      </w:r>
      <w:r w:rsidR="00017FFA">
        <w:t xml:space="preserve">; and using distributions which bounded the range of </w:t>
      </w:r>
      <w:r w:rsidR="0031366F">
        <w:t xml:space="preserve">utility </w:t>
      </w:r>
      <w:r w:rsidR="00017FFA">
        <w:t xml:space="preserve">values between the </w:t>
      </w:r>
      <w:proofErr w:type="gramStart"/>
      <w:r w:rsidR="00017FFA">
        <w:t>range</w:t>
      </w:r>
      <w:proofErr w:type="gramEnd"/>
      <w:r w:rsidR="00017FFA">
        <w:t xml:space="preserve"> 0 to 1</w:t>
      </w:r>
      <w:r w:rsidR="00631984">
        <w:t>. Each of these limitations will be discussed in more detail.</w:t>
      </w:r>
    </w:p>
    <w:p w:rsidR="00FF4C70" w:rsidRDefault="003D49B8" w:rsidP="00047821">
      <w:pPr>
        <w:spacing w:line="480" w:lineRule="auto"/>
      </w:pPr>
      <w:r>
        <w:t xml:space="preserve">The </w:t>
      </w:r>
      <w:r w:rsidR="008F57EA">
        <w:t>first</w:t>
      </w:r>
      <w:r>
        <w:t xml:space="preserve"> limitation is that we did not look </w:t>
      </w:r>
      <w:r w:rsidR="004155F1">
        <w:t xml:space="preserve">at results for a range of different hypothetical datasets with different </w:t>
      </w:r>
      <w:r w:rsidR="004E593F">
        <w:t xml:space="preserve">individual level and </w:t>
      </w:r>
      <w:r w:rsidR="004155F1">
        <w:t xml:space="preserve">summary characteristics. For example, in our </w:t>
      </w:r>
      <w:r w:rsidR="005C4B18">
        <w:t xml:space="preserve">primary analysis using </w:t>
      </w:r>
      <w:r w:rsidR="004155F1">
        <w:t xml:space="preserve">hypothetical IPD the standard error of U1 and the standard error of U2 are </w:t>
      </w:r>
      <w:r w:rsidR="008F57EA">
        <w:t>similar</w:t>
      </w:r>
      <w:r w:rsidR="00B1466A">
        <w:t xml:space="preserve">, and this factor may have affected </w:t>
      </w:r>
      <w:commentRangeStart w:id="22"/>
      <w:r w:rsidR="00B1466A">
        <w:t xml:space="preserve">the results comparing each of the methods. </w:t>
      </w:r>
      <w:commentRangeEnd w:id="22"/>
      <w:r w:rsidR="008C6930">
        <w:rPr>
          <w:rStyle w:val="CommentReference"/>
        </w:rPr>
        <w:commentReference w:id="22"/>
      </w:r>
    </w:p>
    <w:p w:rsidR="00B1466A" w:rsidRDefault="00B1466A" w:rsidP="00047821">
      <w:pPr>
        <w:spacing w:line="480" w:lineRule="auto"/>
      </w:pPr>
      <w:r>
        <w:t xml:space="preserve">A </w:t>
      </w:r>
      <w:r w:rsidR="008F57EA">
        <w:t>second</w:t>
      </w:r>
      <w:r>
        <w:t xml:space="preserve"> limitation, related to the </w:t>
      </w:r>
      <w:r w:rsidR="0031366F">
        <w:t>first</w:t>
      </w:r>
      <w:r>
        <w:t xml:space="preserve"> limitation, is that our hypothetical dataset have only two disease severity states, U1 and U2, rather than three states such as U0, U1, and U2, where the </w:t>
      </w:r>
      <w:r w:rsidR="0031366F">
        <w:t>utility</w:t>
      </w:r>
      <w:r>
        <w:t xml:space="preserve"> of U0 is expected to be greater than for U1, and U1 to be greater than for U2. </w:t>
      </w:r>
      <w:r w:rsidR="000B14B7">
        <w:t>Introducing further states would lead to complications for methods seven, eight and nine, for example, as we would have to make decisions about the covariance between parameters U0 and U2, as well as between U0 and U1, and between U1 and U2.</w:t>
      </w:r>
      <w:r w:rsidR="005C4B18">
        <w:t xml:space="preserve"> This provides some further justification for choosing method ten.</w:t>
      </w:r>
    </w:p>
    <w:p w:rsidR="000B14B7" w:rsidRDefault="00B1466A" w:rsidP="00047821">
      <w:pPr>
        <w:spacing w:line="480" w:lineRule="auto"/>
      </w:pPr>
      <w:commentRangeStart w:id="23"/>
      <w:r>
        <w:t xml:space="preserve">A </w:t>
      </w:r>
      <w:r w:rsidR="008F57EA">
        <w:t xml:space="preserve">third </w:t>
      </w:r>
      <w:r>
        <w:t xml:space="preserve">limitation relates to </w:t>
      </w:r>
      <w:r w:rsidR="000B14B7">
        <w:t xml:space="preserve">how methods eight and nine </w:t>
      </w:r>
      <w:r>
        <w:t>have been implemented.</w:t>
      </w:r>
      <w:r w:rsidR="000B14B7">
        <w:t xml:space="preserve"> Both of these involve choosing covariance parameters conditional of whether any pair of values in a ‘training’ sample of 1,000 draws violates the monotonicity assumption. As the size of the ‘training’ sample increases, the probability of extreme values, including values which violate monotonicity, increases, and so we should expect the covariance selected to depend partly on the size of the training sample used. </w:t>
      </w:r>
      <w:commentRangeEnd w:id="23"/>
      <w:r w:rsidR="008C6930">
        <w:rPr>
          <w:rStyle w:val="CommentReference"/>
        </w:rPr>
        <w:commentReference w:id="23"/>
      </w:r>
    </w:p>
    <w:p w:rsidR="00017FFA" w:rsidRDefault="00017FFA" w:rsidP="00047821">
      <w:pPr>
        <w:spacing w:line="480" w:lineRule="auto"/>
      </w:pPr>
      <w:commentRangeStart w:id="24"/>
      <w:r>
        <w:t>The final limitation is relatively simple to address.</w:t>
      </w:r>
      <w:commentRangeEnd w:id="24"/>
      <w:r w:rsidR="008C6930">
        <w:rPr>
          <w:rStyle w:val="CommentReference"/>
        </w:rPr>
        <w:commentReference w:id="24"/>
      </w:r>
      <w:r>
        <w:t xml:space="preserve"> Because worse-than-death health states exist and are evaluated in some economic evaluations, it may be inappropriate to use estimates directly from a Beta distribution which is bounded within the range 0 to 1. This problem could be addressed by rescaling the output from the Beta distributions from the range 0 to 1 to the ra</w:t>
      </w:r>
      <w:r w:rsidR="00103ED7">
        <w:t xml:space="preserve">nge -0.594 to 1, for example, if representing </w:t>
      </w:r>
      <w:proofErr w:type="spellStart"/>
      <w:r w:rsidR="00103ED7">
        <w:t>HRQoL</w:t>
      </w:r>
      <w:proofErr w:type="spellEnd"/>
      <w:r w:rsidR="00103ED7">
        <w:t xml:space="preserve"> scores using the </w:t>
      </w:r>
      <w:proofErr w:type="spellStart"/>
      <w:r w:rsidR="00103ED7">
        <w:t>EuroQol</w:t>
      </w:r>
      <w:proofErr w:type="spellEnd"/>
      <w:r w:rsidR="00103ED7">
        <w:t xml:space="preserve"> Quality of Life (EQ-5D) scale.</w:t>
      </w:r>
      <w:r w:rsidR="0038052F">
        <w:t xml:space="preserve"> </w:t>
      </w:r>
      <w:r w:rsidR="0038052F">
        <w:fldChar w:fldCharType="begin" w:fldLock="1"/>
      </w:r>
      <w:r w:rsidR="0038052F">
        <w:instrText>ADDIN CSL_CITATION { "citationItems" : [ { "id" : "ITEM-1", "itemData" : { "abstract" : "The assessment of health-related quality of life (HR-QOL) is an essential element of healthcare evaluation. Hundreds of generic and specific HR-QOL instruments have been developed. Generic HR-QOL instruments are designed to be applicable across a wide range of populations and interventions. Specific HR-QOL measures are designed to be relevant to particular interventions or in certain subpopulations (e.g. individuals with rheumatoid arthritis). This review examines 7 generic HR-QOL instruments: (i) the Medical Outcomes Study 36-Item Short Form (SF-36) health survey; (ii) the Nottingham Health Profile (NHP); (iii) the Sickness Impact Profile (SIP); (iv) the Dartmouth Primary care Cooperative Information Project (COOP) Charts; (v) the Quality of Well-Being (QWB) Scale; (vi) the Health Utilities Index (HUI); and (vii) the EuroQol Instrument (EQ-5D). These instruments were selected because they are commonly used and/or cited in the English language literature. The 6 characteristics of an instrument addressed by this review are: (i) conceptual and measurement model; (ii) reliability; (iii) validity; (iv) respondent and administrative burden; (v) alternative forms; and (vi) cultural and language adaptations. Of the instruments reviewed, the SF-36 health survey is the most commonly used HR-QOL measure. It was developed as a short-form measure of functioning and well-being in the Medical Outcomes Study. The Dartmouth COOP Charts were designed to be used in everyday clinical practice to provide immediate feedback to clinicians about the health status of their patients. The NHP was developed to reflect lay rather than professional perceptions of health. The SIP was constructed as a measure of sickness in relation to impact on behaviour. The QWB, HUI and EQ-5D are preference-based measures designed to summarise HR-QOL in a single number ranging from 0 to 1. We found that there are no uniformly 'worst' or 'best' performing instruments. The decision to use one over another, to use a combination of 2 or more, to use a profile and/or a preference-based measure or to use a generic measure along with a targeted measure will be driven by the purpose of the measurement. In addition, the choice will depend on a variety of factors including the characteristics of the population (e.g. age, health status, language/culture) and the environment in which the measurement is undertaken (e.g. clinical trial, routine physician visit). We provide our summary of the level of evidence i\u2026", "author" : [ { "dropping-particle" : "", "family" : "Coons", "given" : "S J", "non-dropping-particle" : "", "parse-names" : false, "suffix" : "" }, { "dropping-particle" : "", "family" : "Rao", "given" : "S", "non-dropping-particle" : "", "parse-names" : false, "suffix" : "" }, { "dropping-particle" : "", "family" : "Keininger", "given" : "D L", "non-dropping-particle" : "", "parse-names" : false, "suffix" : "" }, { "dropping-particle" : "", "family" : "Hays", "given" : "R D", "non-dropping-particle" : "", "parse-names" : false, "suffix" : "" } ], "container-title" : "PharmacoEconomics", "id" : "ITEM-1", "issue" : "1", "issued" : { "date-parts" : [ [ "2000", "1" ] ] }, "page" : "13-35", "title" : "A comparative review of generic quality-of-life instruments.", "type" : "article-journal", "volume" : "17" }, "uris" : [ "http://www.mendeley.com/documents/?uuid=c3ac1033-10cf-4dec-af83-a3af0a489f1b" ] }, { "id" : "ITEM-2", "itemData" : { "DOI" : "10.1007/s00127-008-0463-5", "abstract" : "Generic health preference measures that capture quality of life improvements in depression are important for economic analysis of new technologies.", "author" : [ { "dropping-particle" : "", "family" : "Mann", "given" : "Rachel", "non-dropping-particle" : "", "parse-names" : false, "suffix" : "" }, { "dropping-particle" : "", "family" : "Gilbody", "given" : "Simon", "non-dropping-particle" : "", "parse-names" : false, "suffix" : "" }, { "dropping-particle" : "", "family" : "Richards", "given" : "David", "non-dropping-particle" : "", "parse-names" : false, "suffix" : "" } ], "container-title" : "Social psychiatry and psychiatric epidemiology", "id" : "ITEM-2", "issue" : "7", "issued" : { "date-parts" : [ [ "2009", "7" ] ] }, "page" : "569-78", "title" : "Putting the 'Q' in depression QALYs: a comparison of utility measurement using EQ-5D and SF-6D health related quality of life measures.", "type" : "article-journal", "volume" : "44" }, "uris" : [ "http://www.mendeley.com/documents/?uuid=0852f56e-f9f4-4355-a7fc-5e400f00113a" ] } ], "mendeley" : { "previouslyFormattedCitation" : "(5,6)" }, "properties" : { "noteIndex" : 0 }, "schema" : "https://github.com/citation-style-language/schema/raw/master/csl-citation.json" }</w:instrText>
      </w:r>
      <w:r w:rsidR="0038052F">
        <w:fldChar w:fldCharType="separate"/>
      </w:r>
      <w:r w:rsidR="0038052F" w:rsidRPr="0038052F">
        <w:rPr>
          <w:noProof/>
        </w:rPr>
        <w:t>(5,6)</w:t>
      </w:r>
      <w:r w:rsidR="0038052F">
        <w:fldChar w:fldCharType="end"/>
      </w:r>
      <w:r>
        <w:t xml:space="preserve"> </w:t>
      </w:r>
    </w:p>
    <w:p w:rsidR="00430AB7" w:rsidRDefault="00430AB7" w:rsidP="00D210AA">
      <w:pPr>
        <w:pStyle w:val="Heading2"/>
      </w:pPr>
      <w:commentRangeStart w:id="25"/>
      <w:r>
        <w:lastRenderedPageBreak/>
        <w:t>Implications for Research</w:t>
      </w:r>
      <w:commentRangeEnd w:id="25"/>
      <w:r w:rsidR="008C6930">
        <w:rPr>
          <w:rStyle w:val="CommentReference"/>
          <w:rFonts w:asciiTheme="minorHAnsi" w:eastAsiaTheme="minorEastAsia" w:hAnsiTheme="minorHAnsi" w:cstheme="minorBidi"/>
          <w:b w:val="0"/>
          <w:bCs w:val="0"/>
          <w:color w:val="auto"/>
        </w:rPr>
        <w:commentReference w:id="25"/>
      </w:r>
    </w:p>
    <w:p w:rsidR="00A90C1A" w:rsidRDefault="00E821E3" w:rsidP="0058112C">
      <w:pPr>
        <w:spacing w:line="480" w:lineRule="auto"/>
      </w:pPr>
      <w:r>
        <w:t xml:space="preserve">Further research should look at the dependence of the results and conclusions on the data we have used. </w:t>
      </w:r>
      <w:r w:rsidR="00485010">
        <w:t xml:space="preserve">For example, in our hypothetical dataset no individual happened to report a higher </w:t>
      </w:r>
      <w:proofErr w:type="spellStart"/>
      <w:r w:rsidR="00485010">
        <w:t>HrQoL</w:t>
      </w:r>
      <w:proofErr w:type="spellEnd"/>
      <w:r w:rsidR="00485010">
        <w:t xml:space="preserve"> score in the worse state than the bet</w:t>
      </w:r>
      <w:r w:rsidR="00F26302">
        <w:t xml:space="preserve">ter state. </w:t>
      </w:r>
      <w:r w:rsidR="0058112C">
        <w:t xml:space="preserve">Research could also consider the choice of statistical distribution on the results produced. Originally, normal distributions rather than beta distributions were used for each of these methods and appeared to have little substantive effect on the </w:t>
      </w:r>
      <w:proofErr w:type="gramStart"/>
      <w:r w:rsidR="0058112C">
        <w:t>results,</w:t>
      </w:r>
      <w:proofErr w:type="gramEnd"/>
      <w:r w:rsidR="0058112C">
        <w:t xml:space="preserve"> however other distributions such as the lognormal and gamma distributions may have more of an effect, of in different circumstances. </w:t>
      </w:r>
      <w:r w:rsidR="003A14BB">
        <w:t xml:space="preserve">Further research </w:t>
      </w:r>
      <w:r w:rsidR="0058112C">
        <w:t xml:space="preserve">should also consider the generalisation of these methods to three or more state. For the difference method, this can be done by using the method iteratively. Additionally, further empirical research could be conducted to investigate the in influence of the choice of method on decision uncertainty within the technology appraisal process. </w:t>
      </w:r>
    </w:p>
    <w:p w:rsidR="00430AB7" w:rsidRDefault="00430AB7" w:rsidP="00D210AA">
      <w:pPr>
        <w:pStyle w:val="Heading2"/>
      </w:pPr>
      <w:r>
        <w:t>Implications for practice</w:t>
      </w:r>
    </w:p>
    <w:p w:rsidR="00DA1E02" w:rsidRDefault="00DA1E02" w:rsidP="00047821">
      <w:pPr>
        <w:spacing w:line="480" w:lineRule="auto"/>
      </w:pPr>
      <w:r>
        <w:t xml:space="preserve">The decision whether to use a method which forces a monotonic relationship between two or more variables needs to be made on the basis of good clinical evidence and in consultation with clinical experts. </w:t>
      </w:r>
      <w:r w:rsidR="007F7436">
        <w:t xml:space="preserve">Using a method which forces this monotonic relationship for all PSA runs is to make a strong assumption which may not be justified by either the available evidence or clinical opinion. If there is neither strong evidence nor a consensus of clinical opinion that variables have this monotonic relationship, then simpler methods such as independent sampling, in </w:t>
      </w:r>
      <w:r w:rsidR="005C4B18">
        <w:t xml:space="preserve">which </w:t>
      </w:r>
      <w:r w:rsidR="007F7436">
        <w:t xml:space="preserve">monotonicity can be violated, may be more appropriate. </w:t>
      </w:r>
    </w:p>
    <w:p w:rsidR="007F7436" w:rsidRDefault="007F7436" w:rsidP="00047821">
      <w:pPr>
        <w:spacing w:line="480" w:lineRule="auto"/>
      </w:pPr>
      <w:r>
        <w:t xml:space="preserve">Some of the methods for ensuring monotonicity should be avoided for statistical reasons. These are the replacement methods (three and four) and the resampling methods (five and six). These methods produce biased estimates of the means and variances of the distributions, shifting the centres of these distributions by introducing discontinuities. As a result, they produce estimates which do not adequately represent the summary information </w:t>
      </w:r>
      <w:r w:rsidR="000E7974">
        <w:t xml:space="preserve">used in their construction. For this </w:t>
      </w:r>
      <w:r w:rsidR="000E7974">
        <w:lastRenderedPageBreak/>
        <w:t xml:space="preserve">reason we warn against the use of these methods even where there is strong belief in the clinical relationship between variables. </w:t>
      </w:r>
    </w:p>
    <w:p w:rsidR="00F26302" w:rsidRDefault="000E7974" w:rsidP="00047821">
      <w:pPr>
        <w:spacing w:line="480" w:lineRule="auto"/>
      </w:pPr>
      <w:r>
        <w:t xml:space="preserve">If the decision to use a method which ensures monotonicity between variables is made, then the most appropriate methods appear to be either to be a covariance-based method (method eight) or the difference method (method ten). As described in the findings section above, of these two approaches, the difference method has a number of advantages, and we have produced an easy-to-use Excel workbook to facilitate its use. </w:t>
      </w:r>
    </w:p>
    <w:p w:rsidR="00430AB7" w:rsidRDefault="00DF6C54" w:rsidP="00D210AA">
      <w:pPr>
        <w:pStyle w:val="Heading2"/>
      </w:pPr>
      <w:r>
        <w:t>Conclusion</w:t>
      </w:r>
    </w:p>
    <w:p w:rsidR="00485010" w:rsidRDefault="00DF6C54" w:rsidP="00047821">
      <w:pPr>
        <w:spacing w:line="480" w:lineRule="auto"/>
      </w:pPr>
      <w:r>
        <w:t xml:space="preserve">Within this paper, we have compared ten methods for producing PSA for two monotonically linked variables with each other, and with a ‘gold standard’ which uses IPD. We </w:t>
      </w:r>
      <w:r w:rsidR="0031366F">
        <w:t>identified a</w:t>
      </w:r>
      <w:r>
        <w:t xml:space="preserve"> method which we </w:t>
      </w:r>
      <w:r w:rsidR="0031366F">
        <w:t xml:space="preserve">deem </w:t>
      </w:r>
      <w:r>
        <w:t xml:space="preserve">to have superior properties in terms of representing uncertainty about the difference between variables, without producing biases or discontinuities in the simulated values. For this reason, we recommend the method be adopted within health technology </w:t>
      </w:r>
      <w:r w:rsidR="006B36D8">
        <w:t>appraisals</w:t>
      </w:r>
      <w:r w:rsidR="008C6930">
        <w:t xml:space="preserve"> where monotonicity is suspected to exist</w:t>
      </w:r>
      <w:bookmarkStart w:id="26" w:name="_GoBack"/>
      <w:bookmarkEnd w:id="26"/>
      <w:r>
        <w:t xml:space="preserve">. </w:t>
      </w:r>
    </w:p>
    <w:p w:rsidR="007816E3" w:rsidRDefault="007816E3">
      <w:pPr>
        <w:rPr>
          <w:rFonts w:asciiTheme="majorHAnsi" w:eastAsiaTheme="majorEastAsia" w:hAnsiTheme="majorHAnsi" w:cstheme="majorBidi"/>
          <w:b/>
          <w:bCs/>
          <w:color w:val="365F91" w:themeColor="accent1" w:themeShade="BF"/>
          <w:sz w:val="28"/>
          <w:szCs w:val="28"/>
        </w:rPr>
      </w:pPr>
      <w:r>
        <w:br w:type="page"/>
      </w:r>
    </w:p>
    <w:p w:rsidR="006C78E2" w:rsidRDefault="00485010" w:rsidP="00047821">
      <w:pPr>
        <w:pStyle w:val="Heading1"/>
        <w:spacing w:line="480" w:lineRule="auto"/>
      </w:pPr>
      <w:r>
        <w:lastRenderedPageBreak/>
        <w:t>References</w:t>
      </w:r>
    </w:p>
    <w:p w:rsidR="0038052F" w:rsidRPr="0038052F" w:rsidRDefault="000E7974" w:rsidP="00047821">
      <w:pPr>
        <w:pStyle w:val="NormalWeb"/>
        <w:spacing w:line="480" w:lineRule="auto"/>
        <w:ind w:left="640" w:hanging="640"/>
        <w:divId w:val="165443894"/>
        <w:rPr>
          <w:rFonts w:ascii="Calibri" w:eastAsiaTheme="minorEastAsia" w:hAnsi="Calibri"/>
          <w:noProof/>
          <w:sz w:val="22"/>
        </w:rPr>
      </w:pPr>
      <w:r>
        <w:fldChar w:fldCharType="begin" w:fldLock="1"/>
      </w:r>
      <w:r>
        <w:instrText xml:space="preserve">ADDIN Mendeley Bibliography CSL_BIBLIOGRAPHY </w:instrText>
      </w:r>
      <w:r>
        <w:fldChar w:fldCharType="separate"/>
      </w:r>
      <w:r w:rsidR="0038052F" w:rsidRPr="0038052F">
        <w:rPr>
          <w:rFonts w:ascii="Calibri" w:hAnsi="Calibri"/>
          <w:noProof/>
          <w:sz w:val="22"/>
        </w:rPr>
        <w:t xml:space="preserve">1. </w:t>
      </w:r>
      <w:r w:rsidR="0038052F" w:rsidRPr="0038052F">
        <w:rPr>
          <w:rFonts w:ascii="Calibri" w:hAnsi="Calibri"/>
          <w:noProof/>
          <w:sz w:val="22"/>
        </w:rPr>
        <w:tab/>
        <w:t>NICE. Guide to the methods of technology appraisal [Internet]. NICE methods guide. 2008 [cited 2012 Oct 15]. p. 80. Available from: http://www.nice.org.uk/media/B52/A7/TAMethodsGuideUpdatedJune2008.pdf</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2. </w:t>
      </w:r>
      <w:r w:rsidRPr="0038052F">
        <w:rPr>
          <w:rFonts w:ascii="Calibri" w:hAnsi="Calibri"/>
          <w:noProof/>
          <w:sz w:val="22"/>
        </w:rPr>
        <w:tab/>
        <w:t>Claxton K, Sculpher M, McCabe C, Briggs A, Akehurst R, Buxton M, et al. Probabilistic sensitivity analysis for NICE technology assessment: not an optional extra. Health economics [Internet]. 2005 Apr [cited 2012 Jul 15];14(4):339–47. Available from: http://www.ncbi.nlm.nih.gov/pubmed/15736142</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3. </w:t>
      </w:r>
      <w:r w:rsidRPr="0038052F">
        <w:rPr>
          <w:rFonts w:ascii="Calibri" w:hAnsi="Calibri"/>
          <w:noProof/>
          <w:sz w:val="22"/>
        </w:rPr>
        <w:tab/>
        <w:t>R Development Core Team. R: A language and environment for statistical computing [Internet]. Vienna, Austria: R Foundation for Statistical Computing; 2011. Available from: http://www.r-project.org/</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4. </w:t>
      </w:r>
      <w:r w:rsidRPr="0038052F">
        <w:rPr>
          <w:rFonts w:ascii="Calibri" w:hAnsi="Calibri"/>
          <w:noProof/>
          <w:sz w:val="22"/>
        </w:rPr>
        <w:tab/>
        <w:t xml:space="preserve">Hintze JL, Nelson RD. Violin Plots: A Box Plot-Density Trace Synergism. The American Statistican. 1998;52(2):181–4. </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5. </w:t>
      </w:r>
      <w:r w:rsidRPr="0038052F">
        <w:rPr>
          <w:rFonts w:ascii="Calibri" w:hAnsi="Calibri"/>
          <w:noProof/>
          <w:sz w:val="22"/>
        </w:rPr>
        <w:tab/>
        <w:t>Coons SJ, Rao S, Keininger DL, Hays RD. A comparative review of generic quality-of-life instruments. PharmacoEconomics [Internet]. 2000 Jan [cited 2012 Dec 4];17(1):13–35. Available from: http://www.ncbi.nlm.nih.gov/pubmed/10747763</w:t>
      </w:r>
    </w:p>
    <w:p w:rsidR="0038052F" w:rsidRPr="0038052F" w:rsidRDefault="0038052F" w:rsidP="00047821">
      <w:pPr>
        <w:pStyle w:val="NormalWeb"/>
        <w:spacing w:line="480" w:lineRule="auto"/>
        <w:ind w:left="640" w:hanging="640"/>
        <w:divId w:val="165443894"/>
        <w:rPr>
          <w:rFonts w:ascii="Calibri" w:hAnsi="Calibri"/>
          <w:noProof/>
          <w:sz w:val="22"/>
        </w:rPr>
      </w:pPr>
      <w:r w:rsidRPr="0038052F">
        <w:rPr>
          <w:rFonts w:ascii="Calibri" w:hAnsi="Calibri"/>
          <w:noProof/>
          <w:sz w:val="22"/>
        </w:rPr>
        <w:t xml:space="preserve">6. </w:t>
      </w:r>
      <w:r w:rsidRPr="0038052F">
        <w:rPr>
          <w:rFonts w:ascii="Calibri" w:hAnsi="Calibri"/>
          <w:noProof/>
          <w:sz w:val="22"/>
        </w:rPr>
        <w:tab/>
        <w:t xml:space="preserve">Mann R, Gilbody S, Richards D. Putting the “Q” in depression QALYs: a comparison of utility measurement using EQ-5D and SF-6D health related quality of life measures. Social psychiatry and psychiatric epidemiology [Internet]. 2009 Jul [cited 2012 Dec 4];44(7):569–78. Available from: http://www.ncbi.nlm.nih.gov/pubmed/19011721 </w:t>
      </w:r>
    </w:p>
    <w:p w:rsidR="00485010" w:rsidRPr="00485010" w:rsidRDefault="000E7974" w:rsidP="00047821">
      <w:pPr>
        <w:pStyle w:val="NormalWeb"/>
        <w:spacing w:line="480" w:lineRule="auto"/>
        <w:ind w:left="640" w:hanging="640"/>
        <w:divId w:val="1364210312"/>
      </w:pPr>
      <w:r>
        <w:fldChar w:fldCharType="end"/>
      </w:r>
    </w:p>
    <w:sectPr w:rsidR="00485010" w:rsidRPr="00485010" w:rsidSect="00047821">
      <w:pgSz w:w="11906" w:h="16838"/>
      <w:pgMar w:top="1440" w:right="1440" w:bottom="1440" w:left="1440" w:header="708" w:footer="708" w:gutter="0"/>
      <w:lnNumType w:countBy="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Jon Minton" w:date="2013-02-16T18:49:00Z" w:initials="JM">
    <w:p w:rsidR="009B1933" w:rsidRDefault="009B1933">
      <w:pPr>
        <w:pStyle w:val="CommentText"/>
      </w:pPr>
      <w:r>
        <w:rPr>
          <w:rStyle w:val="CommentReference"/>
        </w:rPr>
        <w:annotationRef/>
      </w:r>
      <w:r>
        <w:t>Matt comment: Combine T1 &amp; T2</w:t>
      </w:r>
    </w:p>
    <w:p w:rsidR="009B1933" w:rsidRDefault="009B1933">
      <w:pPr>
        <w:pStyle w:val="CommentText"/>
      </w:pPr>
    </w:p>
    <w:p w:rsidR="009B1933" w:rsidRDefault="009B1933">
      <w:pPr>
        <w:pStyle w:val="CommentText"/>
      </w:pPr>
      <w:r>
        <w:t>Jon: I’d rather not. These are separate analyses discussed in separate subsections of the paper.</w:t>
      </w:r>
    </w:p>
  </w:comment>
  <w:comment w:id="5" w:author="Jon Minton" w:date="2013-02-16T18:53:00Z" w:initials="JM">
    <w:p w:rsidR="009B1933" w:rsidRDefault="009B1933">
      <w:pPr>
        <w:pStyle w:val="CommentText"/>
      </w:pPr>
      <w:r>
        <w:rPr>
          <w:rStyle w:val="CommentReference"/>
        </w:rPr>
        <w:annotationRef/>
      </w:r>
      <w:r>
        <w:t xml:space="preserve">Matt: </w:t>
      </w:r>
    </w:p>
    <w:p w:rsidR="009B1933" w:rsidRDefault="009B1933">
      <w:pPr>
        <w:pStyle w:val="CommentText"/>
      </w:pPr>
      <w:r>
        <w:t>Suggests a third way of calculating this.</w:t>
      </w:r>
    </w:p>
    <w:p w:rsidR="009B1933" w:rsidRDefault="009B1933">
      <w:pPr>
        <w:pStyle w:val="CommentText"/>
      </w:pPr>
    </w:p>
    <w:p w:rsidR="009B1933" w:rsidRDefault="009B1933">
      <w:pPr>
        <w:pStyle w:val="CommentText"/>
      </w:pPr>
      <w:r>
        <w:t xml:space="preserve">Jon: I guess because of truncation error the best approach would be to take a mean of the three methods of calculating this. </w:t>
      </w:r>
      <w:r w:rsidR="004B3189">
        <w:t>I don’t think it’s an ‘instead of’, but might be an ‘as well as’.</w:t>
      </w:r>
    </w:p>
    <w:p w:rsidR="009B1933" w:rsidRPr="009B1933" w:rsidRDefault="009B1933">
      <w:pPr>
        <w:pStyle w:val="CommentText"/>
        <w:rPr>
          <w:b/>
          <w:u w:val="single"/>
        </w:rPr>
      </w:pPr>
      <w:r w:rsidRPr="009B1933">
        <w:rPr>
          <w:b/>
          <w:u w:val="single"/>
        </w:rPr>
        <w:t>Action: others to say whether they think this should be changed, and if so how.</w:t>
      </w:r>
    </w:p>
  </w:comment>
  <w:comment w:id="6" w:author="Jon Minton" w:date="2013-02-16T18:53:00Z" w:initials="JM">
    <w:p w:rsidR="004B3189" w:rsidRDefault="004B3189">
      <w:pPr>
        <w:pStyle w:val="CommentText"/>
      </w:pPr>
      <w:r>
        <w:rPr>
          <w:rStyle w:val="CommentReference"/>
        </w:rPr>
        <w:annotationRef/>
      </w:r>
      <w:r>
        <w:t xml:space="preserve">Matt comment: </w:t>
      </w:r>
    </w:p>
    <w:p w:rsidR="004B3189" w:rsidRDefault="004B3189">
      <w:pPr>
        <w:pStyle w:val="CommentText"/>
      </w:pPr>
      <w:r>
        <w:t>‘Change font’?</w:t>
      </w:r>
    </w:p>
    <w:p w:rsidR="004B3189" w:rsidRDefault="004B3189">
      <w:pPr>
        <w:pStyle w:val="CommentText"/>
      </w:pPr>
    </w:p>
    <w:p w:rsidR="004B3189" w:rsidRDefault="004B3189">
      <w:pPr>
        <w:pStyle w:val="CommentText"/>
      </w:pPr>
      <w:r>
        <w:t>Jon: Don’t care: which font would you prefer?</w:t>
      </w:r>
    </w:p>
  </w:comment>
  <w:comment w:id="7" w:author="Jon Minton" w:date="2013-02-16T18:54:00Z" w:initials="JM">
    <w:p w:rsidR="004B3189" w:rsidRDefault="004B3189">
      <w:pPr>
        <w:pStyle w:val="CommentText"/>
      </w:pPr>
      <w:r>
        <w:rPr>
          <w:rStyle w:val="CommentReference"/>
        </w:rPr>
        <w:annotationRef/>
      </w:r>
      <w:r>
        <w:t>Matt comment:</w:t>
      </w:r>
    </w:p>
    <w:p w:rsidR="004B3189" w:rsidRDefault="004B3189">
      <w:pPr>
        <w:pStyle w:val="CommentText"/>
      </w:pPr>
      <w:r>
        <w:t>Need to comment (later) that this means analysing the results first, and manipulating the covariance.</w:t>
      </w:r>
    </w:p>
  </w:comment>
  <w:comment w:id="9" w:author="Jon Minton" w:date="2013-02-16T18:55:00Z" w:initials="JM">
    <w:p w:rsidR="004B3189" w:rsidRDefault="004B3189">
      <w:pPr>
        <w:pStyle w:val="CommentText"/>
      </w:pPr>
      <w:r>
        <w:rPr>
          <w:rStyle w:val="CommentReference"/>
        </w:rPr>
        <w:annotationRef/>
      </w:r>
      <w:r>
        <w:t>I think there were some additional comments from another member of the Stevenson family here.</w:t>
      </w:r>
    </w:p>
  </w:comment>
  <w:comment w:id="10" w:author="Jon Minton" w:date="2013-02-16T18:58:00Z" w:initials="JM">
    <w:p w:rsidR="004B3189" w:rsidRDefault="004B3189">
      <w:pPr>
        <w:pStyle w:val="CommentText"/>
      </w:pPr>
      <w:r>
        <w:rPr>
          <w:rStyle w:val="CommentReference"/>
        </w:rPr>
        <w:annotationRef/>
      </w:r>
      <w:r>
        <w:t>Matt comment: Need more linking text. Not sure where this was heading.</w:t>
      </w:r>
    </w:p>
    <w:p w:rsidR="004B3189" w:rsidRPr="004B3189" w:rsidRDefault="004B3189">
      <w:pPr>
        <w:pStyle w:val="CommentText"/>
        <w:rPr>
          <w:b/>
          <w:u w:val="single"/>
        </w:rPr>
      </w:pPr>
      <w:r w:rsidRPr="004B3189">
        <w:rPr>
          <w:b/>
          <w:u w:val="single"/>
        </w:rPr>
        <w:t>Action: Kate?</w:t>
      </w:r>
    </w:p>
    <w:p w:rsidR="004B3189" w:rsidRDefault="004B3189">
      <w:pPr>
        <w:pStyle w:val="CommentText"/>
      </w:pPr>
    </w:p>
  </w:comment>
  <w:comment w:id="11" w:author="Jon Minton" w:date="2013-02-16T18:58:00Z" w:initials="JM">
    <w:p w:rsidR="004B3189" w:rsidRDefault="004B3189">
      <w:pPr>
        <w:pStyle w:val="CommentText"/>
      </w:pPr>
      <w:r>
        <w:rPr>
          <w:rStyle w:val="CommentReference"/>
        </w:rPr>
        <w:annotationRef/>
      </w:r>
      <w:r>
        <w:t xml:space="preserve">Matt comment: </w:t>
      </w:r>
    </w:p>
    <w:p w:rsidR="004B3189" w:rsidRDefault="004B3189">
      <w:pPr>
        <w:pStyle w:val="CommentText"/>
      </w:pPr>
      <w:r>
        <w:t xml:space="preserve">Poorly explained. </w:t>
      </w:r>
    </w:p>
    <w:p w:rsidR="004B3189" w:rsidRDefault="004B3189">
      <w:pPr>
        <w:pStyle w:val="CommentText"/>
      </w:pPr>
      <w:r>
        <w:t>Do we the use simultaneous equations to calculate a &amp; b?</w:t>
      </w:r>
    </w:p>
    <w:p w:rsidR="004B3189" w:rsidRPr="004B3189" w:rsidRDefault="004B3189">
      <w:pPr>
        <w:pStyle w:val="CommentText"/>
        <w:rPr>
          <w:b/>
          <w:u w:val="single"/>
        </w:rPr>
      </w:pPr>
      <w:r w:rsidRPr="004B3189">
        <w:rPr>
          <w:b/>
          <w:u w:val="single"/>
        </w:rPr>
        <w:t>Action: Kate?</w:t>
      </w:r>
    </w:p>
  </w:comment>
  <w:comment w:id="12" w:author="Jon Minton" w:date="2013-02-16T18:59:00Z" w:initials="JM">
    <w:p w:rsidR="004B3189" w:rsidRDefault="004B3189">
      <w:pPr>
        <w:pStyle w:val="CommentText"/>
      </w:pPr>
      <w:r>
        <w:rPr>
          <w:rStyle w:val="CommentReference"/>
        </w:rPr>
        <w:annotationRef/>
      </w:r>
      <w:r>
        <w:t>Matt comment:</w:t>
      </w:r>
    </w:p>
    <w:p w:rsidR="004B3189" w:rsidRDefault="004B3189">
      <w:pPr>
        <w:pStyle w:val="CommentText"/>
      </w:pPr>
      <w:r>
        <w:t>Is this used?</w:t>
      </w:r>
    </w:p>
    <w:p w:rsidR="004B3189" w:rsidRPr="004B3189" w:rsidRDefault="004B3189">
      <w:pPr>
        <w:pStyle w:val="CommentText"/>
        <w:rPr>
          <w:b/>
          <w:u w:val="single"/>
        </w:rPr>
      </w:pPr>
      <w:r w:rsidRPr="004B3189">
        <w:rPr>
          <w:b/>
          <w:u w:val="single"/>
        </w:rPr>
        <w:t>Action: Kate?</w:t>
      </w:r>
    </w:p>
  </w:comment>
  <w:comment w:id="13" w:author="Jon Minton" w:date="2013-02-16T19:00:00Z" w:initials="JM">
    <w:p w:rsidR="004B3189" w:rsidRDefault="004B3189">
      <w:pPr>
        <w:pStyle w:val="CommentText"/>
      </w:pPr>
      <w:r>
        <w:rPr>
          <w:rStyle w:val="CommentReference"/>
        </w:rPr>
        <w:annotationRef/>
      </w:r>
      <w:r>
        <w:t>Matt comment:</w:t>
      </w:r>
    </w:p>
    <w:p w:rsidR="004B3189" w:rsidRDefault="004B3189">
      <w:pPr>
        <w:pStyle w:val="CommentText"/>
      </w:pPr>
      <w:r>
        <w:t>If this is the only diff between the two methods then just mention this change</w:t>
      </w:r>
    </w:p>
    <w:p w:rsidR="004B3189" w:rsidRPr="004B3189" w:rsidRDefault="004B3189">
      <w:pPr>
        <w:pStyle w:val="CommentText"/>
        <w:rPr>
          <w:b/>
          <w:u w:val="single"/>
        </w:rPr>
      </w:pPr>
      <w:r w:rsidRPr="004B3189">
        <w:rPr>
          <w:b/>
          <w:u w:val="single"/>
        </w:rPr>
        <w:t>Action: Kate?</w:t>
      </w:r>
    </w:p>
  </w:comment>
  <w:comment w:id="14" w:author="Jon Minton" w:date="2013-02-16T19:03:00Z" w:initials="JM">
    <w:p w:rsidR="004B3189" w:rsidRDefault="004B3189">
      <w:pPr>
        <w:pStyle w:val="CommentText"/>
      </w:pPr>
      <w:r>
        <w:rPr>
          <w:rStyle w:val="CommentReference"/>
        </w:rPr>
        <w:annotationRef/>
      </w:r>
      <w:r>
        <w:t>Matt comment:</w:t>
      </w:r>
    </w:p>
    <w:p w:rsidR="004B3189" w:rsidRDefault="004B3189">
      <w:pPr>
        <w:pStyle w:val="CommentText"/>
      </w:pPr>
      <w:r>
        <w:t>Maybe not needed now?</w:t>
      </w:r>
    </w:p>
    <w:p w:rsidR="004B3189" w:rsidRDefault="004B3189">
      <w:pPr>
        <w:pStyle w:val="CommentText"/>
      </w:pPr>
      <w:r>
        <w:t>Not if you check the PSA parameters. If they violate mono, then recalculate CV.</w:t>
      </w:r>
    </w:p>
    <w:p w:rsidR="004B3189" w:rsidRDefault="004B3189">
      <w:pPr>
        <w:pStyle w:val="CommentText"/>
      </w:pPr>
    </w:p>
    <w:p w:rsidR="004B3189" w:rsidRDefault="004B3189">
      <w:pPr>
        <w:pStyle w:val="CommentText"/>
      </w:pPr>
      <w:r>
        <w:t xml:space="preserve">Jon: The point is the CV selected should not be dependent on the number of PSA samples, and currently it is because it doesn’t incorporate tolerance. Using more PSA runs is penalised against by this approach for this reason, which </w:t>
      </w:r>
      <w:r w:rsidR="00BC5A21">
        <w:t>shouldn’t be the case.</w:t>
      </w:r>
    </w:p>
  </w:comment>
  <w:comment w:id="18" w:author="Jon Minton" w:date="2013-02-16T19:05:00Z" w:initials="JM">
    <w:p w:rsidR="00BC5A21" w:rsidRDefault="00BC5A21">
      <w:pPr>
        <w:pStyle w:val="CommentText"/>
      </w:pPr>
      <w:r>
        <w:rPr>
          <w:rStyle w:val="CommentReference"/>
        </w:rPr>
        <w:annotationRef/>
      </w:r>
      <w:r>
        <w:t>Matt comment:</w:t>
      </w:r>
    </w:p>
    <w:p w:rsidR="00BC5A21" w:rsidRDefault="00BC5A21">
      <w:pPr>
        <w:pStyle w:val="CommentText"/>
      </w:pPr>
      <w:r>
        <w:t>Trying to do too much here for 1 fig. To discuss.</w:t>
      </w:r>
    </w:p>
    <w:p w:rsidR="00BC5A21" w:rsidRPr="00BC5A21" w:rsidRDefault="00BC5A21">
      <w:pPr>
        <w:pStyle w:val="CommentText"/>
        <w:rPr>
          <w:b/>
          <w:u w:val="single"/>
        </w:rPr>
      </w:pPr>
      <w:r w:rsidRPr="00BC5A21">
        <w:rPr>
          <w:b/>
          <w:u w:val="single"/>
        </w:rPr>
        <w:t>Action: Matt &amp; Jon to discuss.</w:t>
      </w:r>
    </w:p>
  </w:comment>
  <w:comment w:id="19" w:author="Jon Minton" w:date="2013-02-16T19:08:00Z" w:initials="JM">
    <w:p w:rsidR="00BC5A21" w:rsidRDefault="00BC5A21">
      <w:pPr>
        <w:pStyle w:val="CommentText"/>
      </w:pPr>
      <w:r>
        <w:rPr>
          <w:rStyle w:val="CommentReference"/>
        </w:rPr>
        <w:annotationRef/>
      </w:r>
      <w:r>
        <w:t>Matt comment:</w:t>
      </w:r>
    </w:p>
    <w:p w:rsidR="00BC5A21" w:rsidRDefault="00BC5A21">
      <w:pPr>
        <w:pStyle w:val="CommentText"/>
      </w:pPr>
      <w:r>
        <w:t>“But it shouldn’t if done correctly.”</w:t>
      </w:r>
    </w:p>
    <w:p w:rsidR="00BC5A21" w:rsidRDefault="00BC5A21">
      <w:pPr>
        <w:pStyle w:val="CommentText"/>
      </w:pPr>
    </w:p>
    <w:p w:rsidR="00BC5A21" w:rsidRDefault="00BC5A21">
      <w:pPr>
        <w:pStyle w:val="CommentText"/>
      </w:pPr>
      <w:r>
        <w:t>I don’t think so. This is the training set/test set distinction. The diagonal of the scatter being non-parallel to the parity line means this violation becomes more likely for this type of method, but it is always a possibility because draws from one distribution aren’t forced analytically to be more/less than concurrent draws from the other distribution.</w:t>
      </w:r>
    </w:p>
  </w:comment>
  <w:comment w:id="21" w:author="Jon Minton" w:date="2013-02-16T19:12:00Z" w:initials="JM">
    <w:p w:rsidR="00BC5A21" w:rsidRDefault="00BC5A21">
      <w:pPr>
        <w:pStyle w:val="CommentText"/>
      </w:pPr>
      <w:r>
        <w:rPr>
          <w:rStyle w:val="CommentReference"/>
        </w:rPr>
        <w:annotationRef/>
      </w:r>
      <w:r>
        <w:t xml:space="preserve">Matt comment: See earlier, the advantage would be that checking and recalculation is not needed. </w:t>
      </w:r>
    </w:p>
    <w:p w:rsidR="00BC5A21" w:rsidRDefault="00BC5A21">
      <w:pPr>
        <w:pStyle w:val="CommentText"/>
      </w:pPr>
    </w:p>
    <w:p w:rsidR="00BC5A21" w:rsidRDefault="00BC5A21">
      <w:pPr>
        <w:pStyle w:val="CommentText"/>
      </w:pPr>
      <w:r>
        <w:t>Jon: I think you might be saying that these methods should be a different method, in which there is further iterative recalculation. The difficulty with this is that the covariance estimate will always gradually creep to 1.</w:t>
      </w:r>
    </w:p>
  </w:comment>
  <w:comment w:id="22" w:author="Jon Minton" w:date="2013-02-16T19:14:00Z" w:initials="JM">
    <w:p w:rsidR="008C6930" w:rsidRDefault="008C6930">
      <w:pPr>
        <w:pStyle w:val="CommentText"/>
      </w:pPr>
      <w:r>
        <w:rPr>
          <w:rStyle w:val="CommentReference"/>
        </w:rPr>
        <w:annotationRef/>
      </w:r>
      <w:r>
        <w:t xml:space="preserve">Matt comment: </w:t>
      </w:r>
      <w:proofErr w:type="spellStart"/>
      <w:r>
        <w:t>discusss</w:t>
      </w:r>
      <w:proofErr w:type="spellEnd"/>
      <w:r>
        <w:t xml:space="preserve"> if data were truly correlated.</w:t>
      </w:r>
    </w:p>
  </w:comment>
  <w:comment w:id="23" w:author="Jon Minton" w:date="2013-02-16T19:15:00Z" w:initials="JM">
    <w:p w:rsidR="008C6930" w:rsidRDefault="008C6930">
      <w:pPr>
        <w:pStyle w:val="CommentText"/>
      </w:pPr>
      <w:r>
        <w:rPr>
          <w:rStyle w:val="CommentReference"/>
        </w:rPr>
        <w:annotationRef/>
      </w:r>
      <w:r>
        <w:t>Matt comment: I would use this directly in the PSA though.</w:t>
      </w:r>
    </w:p>
    <w:p w:rsidR="008C6930" w:rsidRDefault="008C6930">
      <w:pPr>
        <w:pStyle w:val="CommentText"/>
      </w:pPr>
    </w:p>
    <w:p w:rsidR="008C6930" w:rsidRDefault="008C6930">
      <w:pPr>
        <w:pStyle w:val="CommentText"/>
      </w:pPr>
      <w:r>
        <w:t xml:space="preserve">Jon: Still not sure what you’re suggesting, other than look at a different method. </w:t>
      </w:r>
    </w:p>
  </w:comment>
  <w:comment w:id="24" w:author="Jon Minton" w:date="2013-02-16T19:17:00Z" w:initials="JM">
    <w:p w:rsidR="008C6930" w:rsidRDefault="008C6930">
      <w:pPr>
        <w:pStyle w:val="CommentText"/>
      </w:pPr>
      <w:r>
        <w:rPr>
          <w:rStyle w:val="CommentReference"/>
        </w:rPr>
        <w:annotationRef/>
      </w:r>
      <w:r>
        <w:t>Matt comment: if simple, why didn’t we do it? Omit this text?</w:t>
      </w:r>
    </w:p>
    <w:p w:rsidR="008C6930" w:rsidRDefault="008C6930">
      <w:pPr>
        <w:pStyle w:val="CommentText"/>
      </w:pPr>
    </w:p>
    <w:p w:rsidR="008C6930" w:rsidRDefault="008C6930">
      <w:pPr>
        <w:pStyle w:val="CommentText"/>
      </w:pPr>
      <w:r>
        <w:t xml:space="preserve">Jon: I want to say we picked the example where </w:t>
      </w:r>
      <w:proofErr w:type="spellStart"/>
      <w:r>
        <w:t>HRQoL</w:t>
      </w:r>
      <w:proofErr w:type="spellEnd"/>
      <w:r>
        <w:t xml:space="preserve"> is within the 0-1 range because it’s easier to follow, but the fact the Beta distribution is between 0 and 1 doesn’t mean it couldn’t handle cases where the range is different, because Beta can be scaled. </w:t>
      </w:r>
    </w:p>
  </w:comment>
  <w:comment w:id="25" w:author="Jon Minton" w:date="2013-02-16T19:18:00Z" w:initials="JM">
    <w:p w:rsidR="008C6930" w:rsidRDefault="008C6930">
      <w:pPr>
        <w:pStyle w:val="CommentText"/>
      </w:pPr>
      <w:r>
        <w:rPr>
          <w:rStyle w:val="CommentReference"/>
        </w:rPr>
        <w:annotationRef/>
      </w:r>
      <w:r>
        <w:t>Matt comment: could we not combine into a limitations/implications as they are so overlapping?</w:t>
      </w:r>
    </w:p>
    <w:p w:rsidR="008C6930" w:rsidRDefault="008C6930">
      <w:pPr>
        <w:pStyle w:val="CommentText"/>
      </w:pPr>
    </w:p>
    <w:p w:rsidR="008C6930" w:rsidRDefault="008C6930">
      <w:pPr>
        <w:pStyle w:val="CommentText"/>
      </w:pPr>
      <w:r>
        <w:t>Jon: depends whether this is OK with the journal, and whether other authors want this.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703" w:rsidRDefault="00583703" w:rsidP="00751271">
      <w:pPr>
        <w:spacing w:after="0" w:line="240" w:lineRule="auto"/>
      </w:pPr>
      <w:r>
        <w:separator/>
      </w:r>
    </w:p>
  </w:endnote>
  <w:endnote w:type="continuationSeparator" w:id="0">
    <w:p w:rsidR="00583703" w:rsidRDefault="00583703" w:rsidP="00751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5534818"/>
      <w:docPartObj>
        <w:docPartGallery w:val="Page Numbers (Bottom of Page)"/>
        <w:docPartUnique/>
      </w:docPartObj>
    </w:sdtPr>
    <w:sdtContent>
      <w:p w:rsidR="00330E69" w:rsidRDefault="00330E69">
        <w:pPr>
          <w:pStyle w:val="Footer"/>
          <w:jc w:val="center"/>
        </w:pPr>
        <w:r>
          <w:fldChar w:fldCharType="begin"/>
        </w:r>
        <w:r>
          <w:instrText xml:space="preserve"> PAGE   \* MERGEFORMAT </w:instrText>
        </w:r>
        <w:r>
          <w:fldChar w:fldCharType="separate"/>
        </w:r>
        <w:r w:rsidR="008C6930">
          <w:rPr>
            <w:noProof/>
          </w:rPr>
          <w:t>31</w:t>
        </w:r>
        <w:r>
          <w:rPr>
            <w:noProof/>
          </w:rPr>
          <w:fldChar w:fldCharType="end"/>
        </w:r>
      </w:p>
    </w:sdtContent>
  </w:sdt>
  <w:p w:rsidR="00330E69" w:rsidRDefault="00330E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703" w:rsidRDefault="00583703" w:rsidP="00751271">
      <w:pPr>
        <w:spacing w:after="0" w:line="240" w:lineRule="auto"/>
      </w:pPr>
      <w:r>
        <w:separator/>
      </w:r>
    </w:p>
  </w:footnote>
  <w:footnote w:type="continuationSeparator" w:id="0">
    <w:p w:rsidR="00583703" w:rsidRDefault="00583703" w:rsidP="007512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0EA4"/>
    <w:multiLevelType w:val="hybridMultilevel"/>
    <w:tmpl w:val="63C4D96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68D5CC1"/>
    <w:multiLevelType w:val="hybridMultilevel"/>
    <w:tmpl w:val="A444439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FFC5835"/>
    <w:multiLevelType w:val="hybridMultilevel"/>
    <w:tmpl w:val="3E3AAE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6A75AE"/>
    <w:multiLevelType w:val="hybridMultilevel"/>
    <w:tmpl w:val="40BE19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8545265"/>
    <w:multiLevelType w:val="hybridMultilevel"/>
    <w:tmpl w:val="4AA63612"/>
    <w:lvl w:ilvl="0" w:tplc="F94EA72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2103CF6"/>
    <w:multiLevelType w:val="hybridMultilevel"/>
    <w:tmpl w:val="F02E9D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A97614C"/>
    <w:multiLevelType w:val="hybridMultilevel"/>
    <w:tmpl w:val="CB0E5CC2"/>
    <w:lvl w:ilvl="0" w:tplc="14AA3654">
      <w:start w:val="1"/>
      <w:numFmt w:val="decimal"/>
      <w:lvlText w:val="%1)"/>
      <w:lvlJc w:val="left"/>
      <w:pPr>
        <w:tabs>
          <w:tab w:val="num" w:pos="720"/>
        </w:tabs>
        <w:ind w:left="720" w:hanging="360"/>
      </w:pPr>
    </w:lvl>
    <w:lvl w:ilvl="1" w:tplc="8F240306" w:tentative="1">
      <w:start w:val="1"/>
      <w:numFmt w:val="decimal"/>
      <w:lvlText w:val="%2)"/>
      <w:lvlJc w:val="left"/>
      <w:pPr>
        <w:tabs>
          <w:tab w:val="num" w:pos="1440"/>
        </w:tabs>
        <w:ind w:left="1440" w:hanging="360"/>
      </w:pPr>
    </w:lvl>
    <w:lvl w:ilvl="2" w:tplc="3984EB8E" w:tentative="1">
      <w:start w:val="1"/>
      <w:numFmt w:val="decimal"/>
      <w:lvlText w:val="%3)"/>
      <w:lvlJc w:val="left"/>
      <w:pPr>
        <w:tabs>
          <w:tab w:val="num" w:pos="2160"/>
        </w:tabs>
        <w:ind w:left="2160" w:hanging="360"/>
      </w:pPr>
    </w:lvl>
    <w:lvl w:ilvl="3" w:tplc="6C56A438" w:tentative="1">
      <w:start w:val="1"/>
      <w:numFmt w:val="decimal"/>
      <w:lvlText w:val="%4)"/>
      <w:lvlJc w:val="left"/>
      <w:pPr>
        <w:tabs>
          <w:tab w:val="num" w:pos="2880"/>
        </w:tabs>
        <w:ind w:left="2880" w:hanging="360"/>
      </w:pPr>
    </w:lvl>
    <w:lvl w:ilvl="4" w:tplc="7382AAFE" w:tentative="1">
      <w:start w:val="1"/>
      <w:numFmt w:val="decimal"/>
      <w:lvlText w:val="%5)"/>
      <w:lvlJc w:val="left"/>
      <w:pPr>
        <w:tabs>
          <w:tab w:val="num" w:pos="3600"/>
        </w:tabs>
        <w:ind w:left="3600" w:hanging="360"/>
      </w:pPr>
    </w:lvl>
    <w:lvl w:ilvl="5" w:tplc="7F3EE588" w:tentative="1">
      <w:start w:val="1"/>
      <w:numFmt w:val="decimal"/>
      <w:lvlText w:val="%6)"/>
      <w:lvlJc w:val="left"/>
      <w:pPr>
        <w:tabs>
          <w:tab w:val="num" w:pos="4320"/>
        </w:tabs>
        <w:ind w:left="4320" w:hanging="360"/>
      </w:pPr>
    </w:lvl>
    <w:lvl w:ilvl="6" w:tplc="4DB804AA" w:tentative="1">
      <w:start w:val="1"/>
      <w:numFmt w:val="decimal"/>
      <w:lvlText w:val="%7)"/>
      <w:lvlJc w:val="left"/>
      <w:pPr>
        <w:tabs>
          <w:tab w:val="num" w:pos="5040"/>
        </w:tabs>
        <w:ind w:left="5040" w:hanging="360"/>
      </w:pPr>
    </w:lvl>
    <w:lvl w:ilvl="7" w:tplc="4D58B98E" w:tentative="1">
      <w:start w:val="1"/>
      <w:numFmt w:val="decimal"/>
      <w:lvlText w:val="%8)"/>
      <w:lvlJc w:val="left"/>
      <w:pPr>
        <w:tabs>
          <w:tab w:val="num" w:pos="5760"/>
        </w:tabs>
        <w:ind w:left="5760" w:hanging="360"/>
      </w:pPr>
    </w:lvl>
    <w:lvl w:ilvl="8" w:tplc="32960874" w:tentative="1">
      <w:start w:val="1"/>
      <w:numFmt w:val="decimal"/>
      <w:lvlText w:val="%9)"/>
      <w:lvlJc w:val="left"/>
      <w:pPr>
        <w:tabs>
          <w:tab w:val="num" w:pos="6480"/>
        </w:tabs>
        <w:ind w:left="6480" w:hanging="360"/>
      </w:pPr>
    </w:lvl>
  </w:abstractNum>
  <w:abstractNum w:abstractNumId="7">
    <w:nsid w:val="77F53549"/>
    <w:multiLevelType w:val="hybridMultilevel"/>
    <w:tmpl w:val="D2C67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1F4C16"/>
    <w:multiLevelType w:val="hybridMultilevel"/>
    <w:tmpl w:val="923EF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0"/>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30AB7"/>
    <w:rsid w:val="0000364E"/>
    <w:rsid w:val="000071B0"/>
    <w:rsid w:val="00011837"/>
    <w:rsid w:val="00017FFA"/>
    <w:rsid w:val="00022242"/>
    <w:rsid w:val="00024205"/>
    <w:rsid w:val="00025316"/>
    <w:rsid w:val="00027CAE"/>
    <w:rsid w:val="000444A0"/>
    <w:rsid w:val="00047821"/>
    <w:rsid w:val="00056F93"/>
    <w:rsid w:val="00072341"/>
    <w:rsid w:val="0007717F"/>
    <w:rsid w:val="000776A7"/>
    <w:rsid w:val="00084D3F"/>
    <w:rsid w:val="00086EF3"/>
    <w:rsid w:val="00091BB9"/>
    <w:rsid w:val="000A6FF5"/>
    <w:rsid w:val="000B14B7"/>
    <w:rsid w:val="000B5D3F"/>
    <w:rsid w:val="000C21A2"/>
    <w:rsid w:val="000E2BD3"/>
    <w:rsid w:val="000E7974"/>
    <w:rsid w:val="00100A52"/>
    <w:rsid w:val="001021E8"/>
    <w:rsid w:val="00103ED7"/>
    <w:rsid w:val="0012061B"/>
    <w:rsid w:val="00126979"/>
    <w:rsid w:val="00131603"/>
    <w:rsid w:val="00131B0D"/>
    <w:rsid w:val="001424BF"/>
    <w:rsid w:val="001463F3"/>
    <w:rsid w:val="001517EA"/>
    <w:rsid w:val="00165045"/>
    <w:rsid w:val="00165E76"/>
    <w:rsid w:val="00170F06"/>
    <w:rsid w:val="00175781"/>
    <w:rsid w:val="00181285"/>
    <w:rsid w:val="0018273B"/>
    <w:rsid w:val="0018746E"/>
    <w:rsid w:val="001901D2"/>
    <w:rsid w:val="00197741"/>
    <w:rsid w:val="001D7B8E"/>
    <w:rsid w:val="001E1BC2"/>
    <w:rsid w:val="001F26ED"/>
    <w:rsid w:val="0020182C"/>
    <w:rsid w:val="0023213E"/>
    <w:rsid w:val="002377E6"/>
    <w:rsid w:val="002432E0"/>
    <w:rsid w:val="00257BA1"/>
    <w:rsid w:val="00261C32"/>
    <w:rsid w:val="002625DA"/>
    <w:rsid w:val="00264F0F"/>
    <w:rsid w:val="0027765F"/>
    <w:rsid w:val="00284FC4"/>
    <w:rsid w:val="0028566C"/>
    <w:rsid w:val="00293DB7"/>
    <w:rsid w:val="002B2850"/>
    <w:rsid w:val="002B4FC1"/>
    <w:rsid w:val="002C422F"/>
    <w:rsid w:val="002C4675"/>
    <w:rsid w:val="002F55D5"/>
    <w:rsid w:val="0030364B"/>
    <w:rsid w:val="0031366F"/>
    <w:rsid w:val="00330E69"/>
    <w:rsid w:val="00331FE1"/>
    <w:rsid w:val="00341956"/>
    <w:rsid w:val="00341F80"/>
    <w:rsid w:val="00345DD5"/>
    <w:rsid w:val="00355F07"/>
    <w:rsid w:val="003620BF"/>
    <w:rsid w:val="00364E77"/>
    <w:rsid w:val="00366994"/>
    <w:rsid w:val="00366FEC"/>
    <w:rsid w:val="0038052F"/>
    <w:rsid w:val="00381017"/>
    <w:rsid w:val="003A01DA"/>
    <w:rsid w:val="003A0530"/>
    <w:rsid w:val="003A14BB"/>
    <w:rsid w:val="003B2A39"/>
    <w:rsid w:val="003B460E"/>
    <w:rsid w:val="003B7023"/>
    <w:rsid w:val="003C0A89"/>
    <w:rsid w:val="003C2637"/>
    <w:rsid w:val="003D2C1B"/>
    <w:rsid w:val="003D49B8"/>
    <w:rsid w:val="003E132B"/>
    <w:rsid w:val="003E3177"/>
    <w:rsid w:val="003E4861"/>
    <w:rsid w:val="00405C79"/>
    <w:rsid w:val="00406EF0"/>
    <w:rsid w:val="004155F1"/>
    <w:rsid w:val="00424EBC"/>
    <w:rsid w:val="00430AB7"/>
    <w:rsid w:val="00432E45"/>
    <w:rsid w:val="004634E1"/>
    <w:rsid w:val="00464BEF"/>
    <w:rsid w:val="00485010"/>
    <w:rsid w:val="0048769E"/>
    <w:rsid w:val="00492116"/>
    <w:rsid w:val="004A314A"/>
    <w:rsid w:val="004B25EB"/>
    <w:rsid w:val="004B2A9B"/>
    <w:rsid w:val="004B3189"/>
    <w:rsid w:val="004D6DDF"/>
    <w:rsid w:val="004E593F"/>
    <w:rsid w:val="004E5985"/>
    <w:rsid w:val="00501F16"/>
    <w:rsid w:val="00513D80"/>
    <w:rsid w:val="005235E2"/>
    <w:rsid w:val="00524D9D"/>
    <w:rsid w:val="0055628C"/>
    <w:rsid w:val="00567B8E"/>
    <w:rsid w:val="005703A1"/>
    <w:rsid w:val="00573178"/>
    <w:rsid w:val="00573694"/>
    <w:rsid w:val="0058112C"/>
    <w:rsid w:val="00583703"/>
    <w:rsid w:val="00586CF3"/>
    <w:rsid w:val="00587A6D"/>
    <w:rsid w:val="005C4B18"/>
    <w:rsid w:val="005F3734"/>
    <w:rsid w:val="00610911"/>
    <w:rsid w:val="00612F8E"/>
    <w:rsid w:val="00623BEB"/>
    <w:rsid w:val="00625FDD"/>
    <w:rsid w:val="00627E2C"/>
    <w:rsid w:val="00631984"/>
    <w:rsid w:val="0064679C"/>
    <w:rsid w:val="00652A55"/>
    <w:rsid w:val="00652EB0"/>
    <w:rsid w:val="00664DEE"/>
    <w:rsid w:val="00665A42"/>
    <w:rsid w:val="006853AB"/>
    <w:rsid w:val="00693183"/>
    <w:rsid w:val="0069383B"/>
    <w:rsid w:val="006A0C4F"/>
    <w:rsid w:val="006A31BA"/>
    <w:rsid w:val="006A5E2C"/>
    <w:rsid w:val="006B236F"/>
    <w:rsid w:val="006B36D8"/>
    <w:rsid w:val="006C78E2"/>
    <w:rsid w:val="006D2EBC"/>
    <w:rsid w:val="006D66D2"/>
    <w:rsid w:val="006E6329"/>
    <w:rsid w:val="006F0B1D"/>
    <w:rsid w:val="007078FF"/>
    <w:rsid w:val="00707C32"/>
    <w:rsid w:val="0071048C"/>
    <w:rsid w:val="00717F8D"/>
    <w:rsid w:val="007260F2"/>
    <w:rsid w:val="00751271"/>
    <w:rsid w:val="00762D85"/>
    <w:rsid w:val="007631B1"/>
    <w:rsid w:val="00775489"/>
    <w:rsid w:val="007816E3"/>
    <w:rsid w:val="007A51D0"/>
    <w:rsid w:val="007B482F"/>
    <w:rsid w:val="007C54F7"/>
    <w:rsid w:val="007D2A85"/>
    <w:rsid w:val="007F7436"/>
    <w:rsid w:val="008003F4"/>
    <w:rsid w:val="0082301F"/>
    <w:rsid w:val="008558AC"/>
    <w:rsid w:val="00857C70"/>
    <w:rsid w:val="00861CBB"/>
    <w:rsid w:val="0086407B"/>
    <w:rsid w:val="0086671E"/>
    <w:rsid w:val="00872FF4"/>
    <w:rsid w:val="00875907"/>
    <w:rsid w:val="008C20E7"/>
    <w:rsid w:val="008C446F"/>
    <w:rsid w:val="008C61B5"/>
    <w:rsid w:val="008C6930"/>
    <w:rsid w:val="008C6FB9"/>
    <w:rsid w:val="008C7323"/>
    <w:rsid w:val="008D073C"/>
    <w:rsid w:val="008D31FB"/>
    <w:rsid w:val="008E0F30"/>
    <w:rsid w:val="008E1115"/>
    <w:rsid w:val="008E5FD4"/>
    <w:rsid w:val="008E6EBD"/>
    <w:rsid w:val="008F57EA"/>
    <w:rsid w:val="008F7A5A"/>
    <w:rsid w:val="00900EF8"/>
    <w:rsid w:val="0090309D"/>
    <w:rsid w:val="009041DA"/>
    <w:rsid w:val="009143A3"/>
    <w:rsid w:val="0091764E"/>
    <w:rsid w:val="00920074"/>
    <w:rsid w:val="00920908"/>
    <w:rsid w:val="0093632F"/>
    <w:rsid w:val="009579A4"/>
    <w:rsid w:val="00975116"/>
    <w:rsid w:val="009858AC"/>
    <w:rsid w:val="009A27CB"/>
    <w:rsid w:val="009A4F6E"/>
    <w:rsid w:val="009B1933"/>
    <w:rsid w:val="009B5207"/>
    <w:rsid w:val="009B762A"/>
    <w:rsid w:val="009D2079"/>
    <w:rsid w:val="009D4C8F"/>
    <w:rsid w:val="009D6F8F"/>
    <w:rsid w:val="009E2AE4"/>
    <w:rsid w:val="009F309A"/>
    <w:rsid w:val="00A05CE5"/>
    <w:rsid w:val="00A2097A"/>
    <w:rsid w:val="00A2397C"/>
    <w:rsid w:val="00A32813"/>
    <w:rsid w:val="00A34793"/>
    <w:rsid w:val="00A53CD0"/>
    <w:rsid w:val="00A65CD0"/>
    <w:rsid w:val="00A7702F"/>
    <w:rsid w:val="00A85C2A"/>
    <w:rsid w:val="00A86571"/>
    <w:rsid w:val="00A90C1A"/>
    <w:rsid w:val="00AA771D"/>
    <w:rsid w:val="00AB0860"/>
    <w:rsid w:val="00AB754C"/>
    <w:rsid w:val="00AC3BF9"/>
    <w:rsid w:val="00AD113C"/>
    <w:rsid w:val="00AE2C7F"/>
    <w:rsid w:val="00AF419D"/>
    <w:rsid w:val="00B1103F"/>
    <w:rsid w:val="00B1466A"/>
    <w:rsid w:val="00B27776"/>
    <w:rsid w:val="00B3216C"/>
    <w:rsid w:val="00B35C1F"/>
    <w:rsid w:val="00B45270"/>
    <w:rsid w:val="00B50085"/>
    <w:rsid w:val="00B67B4C"/>
    <w:rsid w:val="00B714CC"/>
    <w:rsid w:val="00B724C3"/>
    <w:rsid w:val="00B73EB8"/>
    <w:rsid w:val="00B74806"/>
    <w:rsid w:val="00BA157D"/>
    <w:rsid w:val="00BB5414"/>
    <w:rsid w:val="00BB6DAB"/>
    <w:rsid w:val="00BC3549"/>
    <w:rsid w:val="00BC5A21"/>
    <w:rsid w:val="00BD4E41"/>
    <w:rsid w:val="00BE3F5D"/>
    <w:rsid w:val="00BE5084"/>
    <w:rsid w:val="00BE5A50"/>
    <w:rsid w:val="00BE5DFF"/>
    <w:rsid w:val="00BE663B"/>
    <w:rsid w:val="00C279D1"/>
    <w:rsid w:val="00C3479E"/>
    <w:rsid w:val="00C44D3B"/>
    <w:rsid w:val="00C51E4E"/>
    <w:rsid w:val="00C52573"/>
    <w:rsid w:val="00C61C03"/>
    <w:rsid w:val="00C62DE5"/>
    <w:rsid w:val="00C77F67"/>
    <w:rsid w:val="00C80149"/>
    <w:rsid w:val="00C81A35"/>
    <w:rsid w:val="00C82897"/>
    <w:rsid w:val="00C86CD6"/>
    <w:rsid w:val="00C870A5"/>
    <w:rsid w:val="00C9346B"/>
    <w:rsid w:val="00CD5F76"/>
    <w:rsid w:val="00CD6B12"/>
    <w:rsid w:val="00CF35A2"/>
    <w:rsid w:val="00CF5DBC"/>
    <w:rsid w:val="00D16FF3"/>
    <w:rsid w:val="00D210AA"/>
    <w:rsid w:val="00D273DF"/>
    <w:rsid w:val="00D36589"/>
    <w:rsid w:val="00D456D2"/>
    <w:rsid w:val="00D758FB"/>
    <w:rsid w:val="00D80909"/>
    <w:rsid w:val="00D84401"/>
    <w:rsid w:val="00D918BD"/>
    <w:rsid w:val="00DA1E02"/>
    <w:rsid w:val="00DA2697"/>
    <w:rsid w:val="00DA744F"/>
    <w:rsid w:val="00DB38DE"/>
    <w:rsid w:val="00DC30F4"/>
    <w:rsid w:val="00DC38DD"/>
    <w:rsid w:val="00DC700E"/>
    <w:rsid w:val="00DD41F7"/>
    <w:rsid w:val="00DD7D4D"/>
    <w:rsid w:val="00DF2845"/>
    <w:rsid w:val="00DF407F"/>
    <w:rsid w:val="00DF6C54"/>
    <w:rsid w:val="00E2131D"/>
    <w:rsid w:val="00E23BD9"/>
    <w:rsid w:val="00E23CCF"/>
    <w:rsid w:val="00E31B3F"/>
    <w:rsid w:val="00E36AFD"/>
    <w:rsid w:val="00E546A3"/>
    <w:rsid w:val="00E70A72"/>
    <w:rsid w:val="00E71475"/>
    <w:rsid w:val="00E76B44"/>
    <w:rsid w:val="00E821E3"/>
    <w:rsid w:val="00E95D58"/>
    <w:rsid w:val="00EA7B68"/>
    <w:rsid w:val="00EC0C0F"/>
    <w:rsid w:val="00ED107D"/>
    <w:rsid w:val="00EE62A8"/>
    <w:rsid w:val="00EF2C9A"/>
    <w:rsid w:val="00EF6A5A"/>
    <w:rsid w:val="00F10E64"/>
    <w:rsid w:val="00F2589E"/>
    <w:rsid w:val="00F26302"/>
    <w:rsid w:val="00F401A7"/>
    <w:rsid w:val="00F446BF"/>
    <w:rsid w:val="00F473F3"/>
    <w:rsid w:val="00F552DF"/>
    <w:rsid w:val="00F61C10"/>
    <w:rsid w:val="00F7190D"/>
    <w:rsid w:val="00F74533"/>
    <w:rsid w:val="00FB6527"/>
    <w:rsid w:val="00FD094C"/>
    <w:rsid w:val="00FF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AE4"/>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0AA"/>
    <w:pPr>
      <w:keepNext/>
      <w:keepLines/>
      <w:spacing w:before="200" w:after="0" w:line="480"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10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 w:type="character" w:styleId="LineNumber">
    <w:name w:val="line number"/>
    <w:basedOn w:val="DefaultParagraphFont"/>
    <w:uiPriority w:val="99"/>
    <w:semiHidden/>
    <w:unhideWhenUsed/>
    <w:rsid w:val="000478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A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0A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0AB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30A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AB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0AB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0AB7"/>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0AB7"/>
    <w:pPr>
      <w:ind w:left="720"/>
      <w:contextualSpacing/>
    </w:pPr>
  </w:style>
  <w:style w:type="character" w:customStyle="1" w:styleId="Heading4Char">
    <w:name w:val="Heading 4 Char"/>
    <w:basedOn w:val="DefaultParagraphFont"/>
    <w:link w:val="Heading4"/>
    <w:uiPriority w:val="9"/>
    <w:rsid w:val="00430AB7"/>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3D2C1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0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0EF8"/>
    <w:rPr>
      <w:rFonts w:ascii="Tahoma" w:hAnsi="Tahoma" w:cs="Tahoma"/>
      <w:sz w:val="16"/>
      <w:szCs w:val="16"/>
    </w:rPr>
  </w:style>
  <w:style w:type="paragraph" w:styleId="Caption">
    <w:name w:val="caption"/>
    <w:basedOn w:val="Normal"/>
    <w:next w:val="Normal"/>
    <w:uiPriority w:val="35"/>
    <w:unhideWhenUsed/>
    <w:qFormat/>
    <w:rsid w:val="00900EF8"/>
    <w:pPr>
      <w:spacing w:line="240" w:lineRule="auto"/>
    </w:pPr>
    <w:rPr>
      <w:b/>
      <w:bCs/>
      <w:color w:val="4F81BD" w:themeColor="accent1"/>
      <w:sz w:val="18"/>
      <w:szCs w:val="18"/>
    </w:rPr>
  </w:style>
  <w:style w:type="table" w:styleId="TableGrid">
    <w:name w:val="Table Grid"/>
    <w:basedOn w:val="TableNormal"/>
    <w:uiPriority w:val="59"/>
    <w:rsid w:val="00900E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4533"/>
    <w:rPr>
      <w:color w:val="808080"/>
    </w:rPr>
  </w:style>
  <w:style w:type="paragraph" w:styleId="HTMLPreformatted">
    <w:name w:val="HTML Preformatted"/>
    <w:basedOn w:val="Normal"/>
    <w:link w:val="HTMLPreformattedChar"/>
    <w:uiPriority w:val="99"/>
    <w:unhideWhenUsed/>
    <w:rsid w:val="00BB5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B5414"/>
    <w:rPr>
      <w:rFonts w:ascii="Courier New" w:eastAsia="Times New Roman" w:hAnsi="Courier New" w:cs="Courier New"/>
      <w:sz w:val="20"/>
      <w:szCs w:val="20"/>
      <w:lang w:eastAsia="en-GB"/>
    </w:rPr>
  </w:style>
  <w:style w:type="character" w:styleId="CommentReference">
    <w:name w:val="annotation reference"/>
    <w:basedOn w:val="DefaultParagraphFont"/>
    <w:uiPriority w:val="99"/>
    <w:semiHidden/>
    <w:unhideWhenUsed/>
    <w:rsid w:val="00AF419D"/>
    <w:rPr>
      <w:sz w:val="16"/>
      <w:szCs w:val="16"/>
    </w:rPr>
  </w:style>
  <w:style w:type="paragraph" w:styleId="CommentText">
    <w:name w:val="annotation text"/>
    <w:basedOn w:val="Normal"/>
    <w:link w:val="CommentTextChar"/>
    <w:uiPriority w:val="99"/>
    <w:semiHidden/>
    <w:unhideWhenUsed/>
    <w:rsid w:val="00AF419D"/>
    <w:pPr>
      <w:spacing w:line="240" w:lineRule="auto"/>
    </w:pPr>
    <w:rPr>
      <w:sz w:val="20"/>
      <w:szCs w:val="20"/>
    </w:rPr>
  </w:style>
  <w:style w:type="character" w:customStyle="1" w:styleId="CommentTextChar">
    <w:name w:val="Comment Text Char"/>
    <w:basedOn w:val="DefaultParagraphFont"/>
    <w:link w:val="CommentText"/>
    <w:uiPriority w:val="99"/>
    <w:semiHidden/>
    <w:rsid w:val="00AF419D"/>
    <w:rPr>
      <w:sz w:val="20"/>
      <w:szCs w:val="20"/>
    </w:rPr>
  </w:style>
  <w:style w:type="paragraph" w:styleId="CommentSubject">
    <w:name w:val="annotation subject"/>
    <w:basedOn w:val="CommentText"/>
    <w:next w:val="CommentText"/>
    <w:link w:val="CommentSubjectChar"/>
    <w:uiPriority w:val="99"/>
    <w:semiHidden/>
    <w:unhideWhenUsed/>
    <w:rsid w:val="00AF419D"/>
    <w:rPr>
      <w:b/>
      <w:bCs/>
    </w:rPr>
  </w:style>
  <w:style w:type="character" w:customStyle="1" w:styleId="CommentSubjectChar">
    <w:name w:val="Comment Subject Char"/>
    <w:basedOn w:val="CommentTextChar"/>
    <w:link w:val="CommentSubject"/>
    <w:uiPriority w:val="99"/>
    <w:semiHidden/>
    <w:rsid w:val="00AF419D"/>
    <w:rPr>
      <w:b/>
      <w:bCs/>
      <w:sz w:val="20"/>
      <w:szCs w:val="20"/>
    </w:rPr>
  </w:style>
  <w:style w:type="paragraph" w:styleId="Header">
    <w:name w:val="header"/>
    <w:basedOn w:val="Normal"/>
    <w:link w:val="HeaderChar"/>
    <w:uiPriority w:val="99"/>
    <w:semiHidden/>
    <w:unhideWhenUsed/>
    <w:rsid w:val="0075127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1271"/>
  </w:style>
  <w:style w:type="paragraph" w:styleId="Footer">
    <w:name w:val="footer"/>
    <w:basedOn w:val="Normal"/>
    <w:link w:val="FooterChar"/>
    <w:uiPriority w:val="99"/>
    <w:unhideWhenUsed/>
    <w:rsid w:val="00751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12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6282">
      <w:bodyDiv w:val="1"/>
      <w:marLeft w:val="0"/>
      <w:marRight w:val="0"/>
      <w:marTop w:val="0"/>
      <w:marBottom w:val="0"/>
      <w:divBdr>
        <w:top w:val="none" w:sz="0" w:space="0" w:color="auto"/>
        <w:left w:val="none" w:sz="0" w:space="0" w:color="auto"/>
        <w:bottom w:val="none" w:sz="0" w:space="0" w:color="auto"/>
        <w:right w:val="none" w:sz="0" w:space="0" w:color="auto"/>
      </w:divBdr>
    </w:div>
    <w:div w:id="254368371">
      <w:bodyDiv w:val="1"/>
      <w:marLeft w:val="0"/>
      <w:marRight w:val="0"/>
      <w:marTop w:val="0"/>
      <w:marBottom w:val="0"/>
      <w:divBdr>
        <w:top w:val="none" w:sz="0" w:space="0" w:color="auto"/>
        <w:left w:val="none" w:sz="0" w:space="0" w:color="auto"/>
        <w:bottom w:val="none" w:sz="0" w:space="0" w:color="auto"/>
        <w:right w:val="none" w:sz="0" w:space="0" w:color="auto"/>
      </w:divBdr>
    </w:div>
    <w:div w:id="330447756">
      <w:bodyDiv w:val="1"/>
      <w:marLeft w:val="0"/>
      <w:marRight w:val="0"/>
      <w:marTop w:val="0"/>
      <w:marBottom w:val="0"/>
      <w:divBdr>
        <w:top w:val="none" w:sz="0" w:space="0" w:color="auto"/>
        <w:left w:val="none" w:sz="0" w:space="0" w:color="auto"/>
        <w:bottom w:val="none" w:sz="0" w:space="0" w:color="auto"/>
        <w:right w:val="none" w:sz="0" w:space="0" w:color="auto"/>
      </w:divBdr>
    </w:div>
    <w:div w:id="447743307">
      <w:bodyDiv w:val="1"/>
      <w:marLeft w:val="0"/>
      <w:marRight w:val="0"/>
      <w:marTop w:val="0"/>
      <w:marBottom w:val="0"/>
      <w:divBdr>
        <w:top w:val="none" w:sz="0" w:space="0" w:color="auto"/>
        <w:left w:val="none" w:sz="0" w:space="0" w:color="auto"/>
        <w:bottom w:val="none" w:sz="0" w:space="0" w:color="auto"/>
        <w:right w:val="none" w:sz="0" w:space="0" w:color="auto"/>
      </w:divBdr>
      <w:divsChild>
        <w:div w:id="788282282">
          <w:marLeft w:val="0"/>
          <w:marRight w:val="0"/>
          <w:marTop w:val="0"/>
          <w:marBottom w:val="0"/>
          <w:divBdr>
            <w:top w:val="none" w:sz="0" w:space="0" w:color="auto"/>
            <w:left w:val="none" w:sz="0" w:space="0" w:color="auto"/>
            <w:bottom w:val="none" w:sz="0" w:space="0" w:color="auto"/>
            <w:right w:val="none" w:sz="0" w:space="0" w:color="auto"/>
          </w:divBdr>
          <w:divsChild>
            <w:div w:id="1250384059">
              <w:marLeft w:val="0"/>
              <w:marRight w:val="0"/>
              <w:marTop w:val="0"/>
              <w:marBottom w:val="0"/>
              <w:divBdr>
                <w:top w:val="none" w:sz="0" w:space="0" w:color="auto"/>
                <w:left w:val="none" w:sz="0" w:space="0" w:color="auto"/>
                <w:bottom w:val="none" w:sz="0" w:space="0" w:color="auto"/>
                <w:right w:val="none" w:sz="0" w:space="0" w:color="auto"/>
              </w:divBdr>
              <w:divsChild>
                <w:div w:id="1700546182">
                  <w:marLeft w:val="0"/>
                  <w:marRight w:val="0"/>
                  <w:marTop w:val="0"/>
                  <w:marBottom w:val="0"/>
                  <w:divBdr>
                    <w:top w:val="none" w:sz="0" w:space="0" w:color="auto"/>
                    <w:left w:val="none" w:sz="0" w:space="0" w:color="auto"/>
                    <w:bottom w:val="none" w:sz="0" w:space="0" w:color="auto"/>
                    <w:right w:val="none" w:sz="0" w:space="0" w:color="auto"/>
                  </w:divBdr>
                  <w:divsChild>
                    <w:div w:id="16783147">
                      <w:marLeft w:val="0"/>
                      <w:marRight w:val="0"/>
                      <w:marTop w:val="0"/>
                      <w:marBottom w:val="0"/>
                      <w:divBdr>
                        <w:top w:val="none" w:sz="0" w:space="0" w:color="auto"/>
                        <w:left w:val="none" w:sz="0" w:space="0" w:color="auto"/>
                        <w:bottom w:val="none" w:sz="0" w:space="0" w:color="auto"/>
                        <w:right w:val="none" w:sz="0" w:space="0" w:color="auto"/>
                      </w:divBdr>
                      <w:divsChild>
                        <w:div w:id="1364210312">
                          <w:marLeft w:val="0"/>
                          <w:marRight w:val="0"/>
                          <w:marTop w:val="0"/>
                          <w:marBottom w:val="0"/>
                          <w:divBdr>
                            <w:top w:val="none" w:sz="0" w:space="0" w:color="auto"/>
                            <w:left w:val="none" w:sz="0" w:space="0" w:color="auto"/>
                            <w:bottom w:val="none" w:sz="0" w:space="0" w:color="auto"/>
                            <w:right w:val="none" w:sz="0" w:space="0" w:color="auto"/>
                          </w:divBdr>
                          <w:divsChild>
                            <w:div w:id="1654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93700">
      <w:bodyDiv w:val="1"/>
      <w:marLeft w:val="0"/>
      <w:marRight w:val="0"/>
      <w:marTop w:val="0"/>
      <w:marBottom w:val="0"/>
      <w:divBdr>
        <w:top w:val="none" w:sz="0" w:space="0" w:color="auto"/>
        <w:left w:val="none" w:sz="0" w:space="0" w:color="auto"/>
        <w:bottom w:val="none" w:sz="0" w:space="0" w:color="auto"/>
        <w:right w:val="none" w:sz="0" w:space="0" w:color="auto"/>
      </w:divBdr>
    </w:div>
    <w:div w:id="636841390">
      <w:bodyDiv w:val="1"/>
      <w:marLeft w:val="0"/>
      <w:marRight w:val="0"/>
      <w:marTop w:val="0"/>
      <w:marBottom w:val="0"/>
      <w:divBdr>
        <w:top w:val="none" w:sz="0" w:space="0" w:color="auto"/>
        <w:left w:val="none" w:sz="0" w:space="0" w:color="auto"/>
        <w:bottom w:val="none" w:sz="0" w:space="0" w:color="auto"/>
        <w:right w:val="none" w:sz="0" w:space="0" w:color="auto"/>
      </w:divBdr>
    </w:div>
    <w:div w:id="695617635">
      <w:bodyDiv w:val="1"/>
      <w:marLeft w:val="0"/>
      <w:marRight w:val="0"/>
      <w:marTop w:val="0"/>
      <w:marBottom w:val="0"/>
      <w:divBdr>
        <w:top w:val="none" w:sz="0" w:space="0" w:color="auto"/>
        <w:left w:val="none" w:sz="0" w:space="0" w:color="auto"/>
        <w:bottom w:val="none" w:sz="0" w:space="0" w:color="auto"/>
        <w:right w:val="none" w:sz="0" w:space="0" w:color="auto"/>
      </w:divBdr>
    </w:div>
    <w:div w:id="795370716">
      <w:bodyDiv w:val="1"/>
      <w:marLeft w:val="0"/>
      <w:marRight w:val="0"/>
      <w:marTop w:val="0"/>
      <w:marBottom w:val="0"/>
      <w:divBdr>
        <w:top w:val="none" w:sz="0" w:space="0" w:color="auto"/>
        <w:left w:val="none" w:sz="0" w:space="0" w:color="auto"/>
        <w:bottom w:val="none" w:sz="0" w:space="0" w:color="auto"/>
        <w:right w:val="none" w:sz="0" w:space="0" w:color="auto"/>
      </w:divBdr>
    </w:div>
    <w:div w:id="797648711">
      <w:bodyDiv w:val="1"/>
      <w:marLeft w:val="0"/>
      <w:marRight w:val="0"/>
      <w:marTop w:val="0"/>
      <w:marBottom w:val="0"/>
      <w:divBdr>
        <w:top w:val="none" w:sz="0" w:space="0" w:color="auto"/>
        <w:left w:val="none" w:sz="0" w:space="0" w:color="auto"/>
        <w:bottom w:val="none" w:sz="0" w:space="0" w:color="auto"/>
        <w:right w:val="none" w:sz="0" w:space="0" w:color="auto"/>
      </w:divBdr>
    </w:div>
    <w:div w:id="851992396">
      <w:bodyDiv w:val="1"/>
      <w:marLeft w:val="0"/>
      <w:marRight w:val="0"/>
      <w:marTop w:val="0"/>
      <w:marBottom w:val="0"/>
      <w:divBdr>
        <w:top w:val="none" w:sz="0" w:space="0" w:color="auto"/>
        <w:left w:val="none" w:sz="0" w:space="0" w:color="auto"/>
        <w:bottom w:val="none" w:sz="0" w:space="0" w:color="auto"/>
        <w:right w:val="none" w:sz="0" w:space="0" w:color="auto"/>
      </w:divBdr>
    </w:div>
    <w:div w:id="920871827">
      <w:bodyDiv w:val="1"/>
      <w:marLeft w:val="0"/>
      <w:marRight w:val="0"/>
      <w:marTop w:val="0"/>
      <w:marBottom w:val="0"/>
      <w:divBdr>
        <w:top w:val="none" w:sz="0" w:space="0" w:color="auto"/>
        <w:left w:val="none" w:sz="0" w:space="0" w:color="auto"/>
        <w:bottom w:val="none" w:sz="0" w:space="0" w:color="auto"/>
        <w:right w:val="none" w:sz="0" w:space="0" w:color="auto"/>
      </w:divBdr>
      <w:divsChild>
        <w:div w:id="178786910">
          <w:marLeft w:val="619"/>
          <w:marRight w:val="0"/>
          <w:marTop w:val="0"/>
          <w:marBottom w:val="0"/>
          <w:divBdr>
            <w:top w:val="none" w:sz="0" w:space="0" w:color="auto"/>
            <w:left w:val="none" w:sz="0" w:space="0" w:color="auto"/>
            <w:bottom w:val="none" w:sz="0" w:space="0" w:color="auto"/>
            <w:right w:val="none" w:sz="0" w:space="0" w:color="auto"/>
          </w:divBdr>
        </w:div>
        <w:div w:id="331221621">
          <w:marLeft w:val="619"/>
          <w:marRight w:val="0"/>
          <w:marTop w:val="0"/>
          <w:marBottom w:val="0"/>
          <w:divBdr>
            <w:top w:val="none" w:sz="0" w:space="0" w:color="auto"/>
            <w:left w:val="none" w:sz="0" w:space="0" w:color="auto"/>
            <w:bottom w:val="none" w:sz="0" w:space="0" w:color="auto"/>
            <w:right w:val="none" w:sz="0" w:space="0" w:color="auto"/>
          </w:divBdr>
        </w:div>
        <w:div w:id="371275360">
          <w:marLeft w:val="619"/>
          <w:marRight w:val="0"/>
          <w:marTop w:val="0"/>
          <w:marBottom w:val="0"/>
          <w:divBdr>
            <w:top w:val="none" w:sz="0" w:space="0" w:color="auto"/>
            <w:left w:val="none" w:sz="0" w:space="0" w:color="auto"/>
            <w:bottom w:val="none" w:sz="0" w:space="0" w:color="auto"/>
            <w:right w:val="none" w:sz="0" w:space="0" w:color="auto"/>
          </w:divBdr>
        </w:div>
        <w:div w:id="386609897">
          <w:marLeft w:val="619"/>
          <w:marRight w:val="0"/>
          <w:marTop w:val="0"/>
          <w:marBottom w:val="0"/>
          <w:divBdr>
            <w:top w:val="none" w:sz="0" w:space="0" w:color="auto"/>
            <w:left w:val="none" w:sz="0" w:space="0" w:color="auto"/>
            <w:bottom w:val="none" w:sz="0" w:space="0" w:color="auto"/>
            <w:right w:val="none" w:sz="0" w:space="0" w:color="auto"/>
          </w:divBdr>
        </w:div>
        <w:div w:id="629749952">
          <w:marLeft w:val="619"/>
          <w:marRight w:val="0"/>
          <w:marTop w:val="0"/>
          <w:marBottom w:val="0"/>
          <w:divBdr>
            <w:top w:val="none" w:sz="0" w:space="0" w:color="auto"/>
            <w:left w:val="none" w:sz="0" w:space="0" w:color="auto"/>
            <w:bottom w:val="none" w:sz="0" w:space="0" w:color="auto"/>
            <w:right w:val="none" w:sz="0" w:space="0" w:color="auto"/>
          </w:divBdr>
        </w:div>
        <w:div w:id="694575155">
          <w:marLeft w:val="619"/>
          <w:marRight w:val="0"/>
          <w:marTop w:val="0"/>
          <w:marBottom w:val="0"/>
          <w:divBdr>
            <w:top w:val="none" w:sz="0" w:space="0" w:color="auto"/>
            <w:left w:val="none" w:sz="0" w:space="0" w:color="auto"/>
            <w:bottom w:val="none" w:sz="0" w:space="0" w:color="auto"/>
            <w:right w:val="none" w:sz="0" w:space="0" w:color="auto"/>
          </w:divBdr>
        </w:div>
        <w:div w:id="1127889165">
          <w:marLeft w:val="619"/>
          <w:marRight w:val="0"/>
          <w:marTop w:val="0"/>
          <w:marBottom w:val="0"/>
          <w:divBdr>
            <w:top w:val="none" w:sz="0" w:space="0" w:color="auto"/>
            <w:left w:val="none" w:sz="0" w:space="0" w:color="auto"/>
            <w:bottom w:val="none" w:sz="0" w:space="0" w:color="auto"/>
            <w:right w:val="none" w:sz="0" w:space="0" w:color="auto"/>
          </w:divBdr>
        </w:div>
        <w:div w:id="1167600391">
          <w:marLeft w:val="619"/>
          <w:marRight w:val="0"/>
          <w:marTop w:val="0"/>
          <w:marBottom w:val="0"/>
          <w:divBdr>
            <w:top w:val="none" w:sz="0" w:space="0" w:color="auto"/>
            <w:left w:val="none" w:sz="0" w:space="0" w:color="auto"/>
            <w:bottom w:val="none" w:sz="0" w:space="0" w:color="auto"/>
            <w:right w:val="none" w:sz="0" w:space="0" w:color="auto"/>
          </w:divBdr>
        </w:div>
        <w:div w:id="1319504929">
          <w:marLeft w:val="619"/>
          <w:marRight w:val="0"/>
          <w:marTop w:val="0"/>
          <w:marBottom w:val="0"/>
          <w:divBdr>
            <w:top w:val="none" w:sz="0" w:space="0" w:color="auto"/>
            <w:left w:val="none" w:sz="0" w:space="0" w:color="auto"/>
            <w:bottom w:val="none" w:sz="0" w:space="0" w:color="auto"/>
            <w:right w:val="none" w:sz="0" w:space="0" w:color="auto"/>
          </w:divBdr>
        </w:div>
        <w:div w:id="2101640954">
          <w:marLeft w:val="619"/>
          <w:marRight w:val="0"/>
          <w:marTop w:val="0"/>
          <w:marBottom w:val="0"/>
          <w:divBdr>
            <w:top w:val="none" w:sz="0" w:space="0" w:color="auto"/>
            <w:left w:val="none" w:sz="0" w:space="0" w:color="auto"/>
            <w:bottom w:val="none" w:sz="0" w:space="0" w:color="auto"/>
            <w:right w:val="none" w:sz="0" w:space="0" w:color="auto"/>
          </w:divBdr>
        </w:div>
      </w:divsChild>
    </w:div>
    <w:div w:id="1084911592">
      <w:bodyDiv w:val="1"/>
      <w:marLeft w:val="0"/>
      <w:marRight w:val="0"/>
      <w:marTop w:val="0"/>
      <w:marBottom w:val="0"/>
      <w:divBdr>
        <w:top w:val="none" w:sz="0" w:space="0" w:color="auto"/>
        <w:left w:val="none" w:sz="0" w:space="0" w:color="auto"/>
        <w:bottom w:val="none" w:sz="0" w:space="0" w:color="auto"/>
        <w:right w:val="none" w:sz="0" w:space="0" w:color="auto"/>
      </w:divBdr>
    </w:div>
    <w:div w:id="1128859879">
      <w:bodyDiv w:val="1"/>
      <w:marLeft w:val="0"/>
      <w:marRight w:val="0"/>
      <w:marTop w:val="0"/>
      <w:marBottom w:val="0"/>
      <w:divBdr>
        <w:top w:val="none" w:sz="0" w:space="0" w:color="auto"/>
        <w:left w:val="none" w:sz="0" w:space="0" w:color="auto"/>
        <w:bottom w:val="none" w:sz="0" w:space="0" w:color="auto"/>
        <w:right w:val="none" w:sz="0" w:space="0" w:color="auto"/>
      </w:divBdr>
      <w:divsChild>
        <w:div w:id="516505061">
          <w:marLeft w:val="0"/>
          <w:marRight w:val="0"/>
          <w:marTop w:val="0"/>
          <w:marBottom w:val="48"/>
          <w:divBdr>
            <w:top w:val="none" w:sz="0" w:space="0" w:color="auto"/>
            <w:left w:val="none" w:sz="0" w:space="0" w:color="auto"/>
            <w:bottom w:val="none" w:sz="0" w:space="0" w:color="auto"/>
            <w:right w:val="none" w:sz="0" w:space="0" w:color="auto"/>
          </w:divBdr>
        </w:div>
        <w:div w:id="99959488">
          <w:marLeft w:val="0"/>
          <w:marRight w:val="0"/>
          <w:marTop w:val="0"/>
          <w:marBottom w:val="48"/>
          <w:divBdr>
            <w:top w:val="none" w:sz="0" w:space="0" w:color="auto"/>
            <w:left w:val="none" w:sz="0" w:space="0" w:color="auto"/>
            <w:bottom w:val="none" w:sz="0" w:space="0" w:color="auto"/>
            <w:right w:val="none" w:sz="0" w:space="0" w:color="auto"/>
          </w:divBdr>
        </w:div>
        <w:div w:id="1607999341">
          <w:marLeft w:val="0"/>
          <w:marRight w:val="0"/>
          <w:marTop w:val="0"/>
          <w:marBottom w:val="48"/>
          <w:divBdr>
            <w:top w:val="none" w:sz="0" w:space="0" w:color="auto"/>
            <w:left w:val="none" w:sz="0" w:space="0" w:color="auto"/>
            <w:bottom w:val="none" w:sz="0" w:space="0" w:color="auto"/>
            <w:right w:val="none" w:sz="0" w:space="0" w:color="auto"/>
          </w:divBdr>
        </w:div>
        <w:div w:id="646086530">
          <w:marLeft w:val="0"/>
          <w:marRight w:val="0"/>
          <w:marTop w:val="0"/>
          <w:marBottom w:val="48"/>
          <w:divBdr>
            <w:top w:val="none" w:sz="0" w:space="0" w:color="auto"/>
            <w:left w:val="none" w:sz="0" w:space="0" w:color="auto"/>
            <w:bottom w:val="none" w:sz="0" w:space="0" w:color="auto"/>
            <w:right w:val="none" w:sz="0" w:space="0" w:color="auto"/>
          </w:divBdr>
        </w:div>
      </w:divsChild>
    </w:div>
    <w:div w:id="1245606977">
      <w:bodyDiv w:val="1"/>
      <w:marLeft w:val="0"/>
      <w:marRight w:val="0"/>
      <w:marTop w:val="0"/>
      <w:marBottom w:val="0"/>
      <w:divBdr>
        <w:top w:val="none" w:sz="0" w:space="0" w:color="auto"/>
        <w:left w:val="none" w:sz="0" w:space="0" w:color="auto"/>
        <w:bottom w:val="none" w:sz="0" w:space="0" w:color="auto"/>
        <w:right w:val="none" w:sz="0" w:space="0" w:color="auto"/>
      </w:divBdr>
    </w:div>
    <w:div w:id="1481729532">
      <w:bodyDiv w:val="1"/>
      <w:marLeft w:val="0"/>
      <w:marRight w:val="0"/>
      <w:marTop w:val="0"/>
      <w:marBottom w:val="0"/>
      <w:divBdr>
        <w:top w:val="none" w:sz="0" w:space="0" w:color="auto"/>
        <w:left w:val="none" w:sz="0" w:space="0" w:color="auto"/>
        <w:bottom w:val="none" w:sz="0" w:space="0" w:color="auto"/>
        <w:right w:val="none" w:sz="0" w:space="0" w:color="auto"/>
      </w:divBdr>
    </w:div>
    <w:div w:id="1661155828">
      <w:bodyDiv w:val="1"/>
      <w:marLeft w:val="0"/>
      <w:marRight w:val="0"/>
      <w:marTop w:val="0"/>
      <w:marBottom w:val="0"/>
      <w:divBdr>
        <w:top w:val="none" w:sz="0" w:space="0" w:color="auto"/>
        <w:left w:val="none" w:sz="0" w:space="0" w:color="auto"/>
        <w:bottom w:val="none" w:sz="0" w:space="0" w:color="auto"/>
        <w:right w:val="none" w:sz="0" w:space="0" w:color="auto"/>
      </w:divBdr>
    </w:div>
    <w:div w:id="1777367020">
      <w:bodyDiv w:val="1"/>
      <w:marLeft w:val="0"/>
      <w:marRight w:val="0"/>
      <w:marTop w:val="0"/>
      <w:marBottom w:val="0"/>
      <w:divBdr>
        <w:top w:val="none" w:sz="0" w:space="0" w:color="auto"/>
        <w:left w:val="none" w:sz="0" w:space="0" w:color="auto"/>
        <w:bottom w:val="none" w:sz="0" w:space="0" w:color="auto"/>
        <w:right w:val="none" w:sz="0" w:space="0" w:color="auto"/>
      </w:divBdr>
    </w:div>
    <w:div w:id="1806776043">
      <w:bodyDiv w:val="1"/>
      <w:marLeft w:val="0"/>
      <w:marRight w:val="0"/>
      <w:marTop w:val="0"/>
      <w:marBottom w:val="0"/>
      <w:divBdr>
        <w:top w:val="none" w:sz="0" w:space="0" w:color="auto"/>
        <w:left w:val="none" w:sz="0" w:space="0" w:color="auto"/>
        <w:bottom w:val="none" w:sz="0" w:space="0" w:color="auto"/>
        <w:right w:val="none" w:sz="0" w:space="0" w:color="auto"/>
      </w:divBdr>
    </w:div>
    <w:div w:id="1943032806">
      <w:bodyDiv w:val="1"/>
      <w:marLeft w:val="0"/>
      <w:marRight w:val="0"/>
      <w:marTop w:val="0"/>
      <w:marBottom w:val="0"/>
      <w:divBdr>
        <w:top w:val="none" w:sz="0" w:space="0" w:color="auto"/>
        <w:left w:val="none" w:sz="0" w:space="0" w:color="auto"/>
        <w:bottom w:val="none" w:sz="0" w:space="0" w:color="auto"/>
        <w:right w:val="none" w:sz="0" w:space="0" w:color="auto"/>
      </w:divBdr>
    </w:div>
    <w:div w:id="1963537832">
      <w:bodyDiv w:val="1"/>
      <w:marLeft w:val="0"/>
      <w:marRight w:val="0"/>
      <w:marTop w:val="0"/>
      <w:marBottom w:val="0"/>
      <w:divBdr>
        <w:top w:val="none" w:sz="0" w:space="0" w:color="auto"/>
        <w:left w:val="none" w:sz="0" w:space="0" w:color="auto"/>
        <w:bottom w:val="none" w:sz="0" w:space="0" w:color="auto"/>
        <w:right w:val="none" w:sz="0" w:space="0" w:color="auto"/>
      </w:divBdr>
    </w:div>
    <w:div w:id="2013145210">
      <w:bodyDiv w:val="1"/>
      <w:marLeft w:val="0"/>
      <w:marRight w:val="0"/>
      <w:marTop w:val="0"/>
      <w:marBottom w:val="0"/>
      <w:divBdr>
        <w:top w:val="none" w:sz="0" w:space="0" w:color="auto"/>
        <w:left w:val="none" w:sz="0" w:space="0" w:color="auto"/>
        <w:bottom w:val="none" w:sz="0" w:space="0" w:color="auto"/>
        <w:right w:val="none" w:sz="0" w:space="0" w:color="auto"/>
      </w:divBdr>
    </w:div>
    <w:div w:id="201491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81B0F-7E97-4578-8455-4410C5FE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31</Pages>
  <Words>7811</Words>
  <Characters>44529</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52236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Minton</dc:creator>
  <cp:lastModifiedBy>Jon Minton</cp:lastModifiedBy>
  <cp:revision>21</cp:revision>
  <dcterms:created xsi:type="dcterms:W3CDTF">2012-12-02T16:20:00Z</dcterms:created>
  <dcterms:modified xsi:type="dcterms:W3CDTF">2013-02-16T19:18:00Z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j.minton@sheffield.ac.uk@www.mendeley.com</vt:lpwstr>
  </property>
  <property fmtid="{D5CDD505-2E9C-101B-9397-08002B2CF9AE}" pid="4" name="Mendeley Citation Style_1">
    <vt:lpwstr>http://www.zotero.org/styles/vancouver</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http://www.zotero.org/styles/bmj</vt:lpwstr>
  </property>
  <property fmtid="{D5CDD505-2E9C-101B-9397-08002B2CF9AE}" pid="12" name="Mendeley Recent Style Name 3_1">
    <vt:lpwstr>BMJ</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