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Pr="005E580D" w:rsidRDefault="002E25CC" w:rsidP="00960E95">
      <w:pPr>
        <w:pStyle w:val="Title"/>
        <w:rPr>
          <w:szCs w:val="36"/>
        </w:rPr>
      </w:pPr>
      <w:r>
        <w:t xml:space="preserve">Using computer-based models to understand the relationship between health and employability: how a </w:t>
      </w:r>
      <w:r w:rsidR="00960E95">
        <w:t>small health disadvantage could cause a big employment disadvantage in a competitive labour market</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Jonathan Minton</w:t>
      </w:r>
    </w:p>
    <w:p w:rsidR="002E25CC" w:rsidRDefault="002E25CC" w:rsidP="005E580D">
      <w:pPr>
        <w:spacing w:after="0"/>
      </w:pPr>
      <w:r>
        <w:t xml:space="preserve">Health Economics and Decision Sciences, </w:t>
      </w:r>
    </w:p>
    <w:p w:rsidR="002E25CC" w:rsidRDefault="002E25CC" w:rsidP="005E580D">
      <w:pPr>
        <w:spacing w:after="0"/>
      </w:pPr>
      <w:r>
        <w:t>School of Health and Related Research,</w:t>
      </w:r>
    </w:p>
    <w:p w:rsidR="002E25CC" w:rsidRDefault="002E25CC" w:rsidP="005E580D">
      <w:pPr>
        <w:spacing w:after="0"/>
      </w:pPr>
      <w:r>
        <w:t>The University of Sheffield</w:t>
      </w:r>
    </w:p>
    <w:p w:rsidR="002E25CC" w:rsidRDefault="002E25CC" w:rsidP="005E580D">
      <w:pPr>
        <w:spacing w:after="0"/>
      </w:pPr>
      <w:r>
        <w:t>Regent Court</w:t>
      </w:r>
    </w:p>
    <w:p w:rsidR="002E25CC" w:rsidRDefault="002E25CC" w:rsidP="005E580D">
      <w:pPr>
        <w:spacing w:after="0"/>
      </w:pPr>
      <w:r>
        <w:t>30 Regent Street</w:t>
      </w:r>
    </w:p>
    <w:p w:rsidR="002E25CC" w:rsidRDefault="002E25CC" w:rsidP="005E580D">
      <w:pPr>
        <w:spacing w:after="0"/>
      </w:pPr>
      <w:r>
        <w:t>Sheffield</w:t>
      </w:r>
    </w:p>
    <w:p w:rsidR="002E25CC" w:rsidRPr="002E25CC" w:rsidRDefault="002E25CC" w:rsidP="005E580D">
      <w:pPr>
        <w:spacing w:after="0"/>
      </w:pPr>
      <w:r>
        <w:t>S1 4DA</w:t>
      </w:r>
    </w:p>
    <w:p w:rsidR="002E25CC" w:rsidRDefault="002E25CC" w:rsidP="002E25CC">
      <w:pPr>
        <w:pStyle w:val="Heading1"/>
        <w:rPr>
          <w:rFonts w:ascii="Arial" w:hAnsi="Arial" w:cs="Arial"/>
          <w:color w:val="333333"/>
          <w:sz w:val="18"/>
          <w:szCs w:val="18"/>
        </w:rPr>
      </w:pPr>
      <w:r>
        <w:rPr>
          <w:rFonts w:ascii="Arial" w:hAnsi="Arial" w:cs="Arial"/>
          <w:color w:val="333333"/>
          <w:sz w:val="18"/>
          <w:szCs w:val="18"/>
        </w:rPr>
        <w:t>Keywords:</w:t>
      </w:r>
    </w:p>
    <w:p w:rsidR="002E25CC" w:rsidRPr="002E25CC" w:rsidRDefault="00EA2FAF" w:rsidP="002E25CC">
      <w:r>
        <w:t>Economics</w:t>
      </w:r>
      <w:r w:rsidR="002E25CC">
        <w:t xml:space="preserve">; </w:t>
      </w:r>
      <w:r>
        <w:t>self-rated health</w:t>
      </w:r>
      <w:r w:rsidR="002E25CC">
        <w:t xml:space="preserve">; </w:t>
      </w:r>
      <w:r>
        <w:t>socio-economic</w:t>
      </w:r>
      <w:r w:rsidR="002E25CC">
        <w:t xml:space="preserve">; </w:t>
      </w:r>
      <w:r>
        <w:t>modelling</w:t>
      </w:r>
      <w:r w:rsidR="005E580D">
        <w:t xml:space="preserve">; </w:t>
      </w:r>
      <w:r>
        <w:t>employment</w:t>
      </w:r>
    </w:p>
    <w:p w:rsidR="002E25CC" w:rsidRDefault="002E25CC" w:rsidP="002E25CC">
      <w:pPr>
        <w:pStyle w:val="Heading1"/>
      </w:pPr>
      <w:r>
        <w:rPr>
          <w:rFonts w:ascii="Arial" w:hAnsi="Arial" w:cs="Arial"/>
          <w:color w:val="333333"/>
          <w:sz w:val="18"/>
          <w:szCs w:val="18"/>
        </w:rPr>
        <w:t>Word count -</w:t>
      </w:r>
      <w:r w:rsidR="005E580D">
        <w:rPr>
          <w:rFonts w:ascii="Arial" w:hAnsi="Arial" w:cs="Arial"/>
          <w:color w:val="333333"/>
          <w:sz w:val="18"/>
          <w:szCs w:val="18"/>
        </w:rPr>
        <w:t xml:space="preserve"> 2328</w:t>
      </w:r>
      <w:r>
        <w:br w:type="page"/>
      </w:r>
    </w:p>
    <w:p w:rsidR="00960E95" w:rsidRDefault="002E25CC" w:rsidP="002E25CC">
      <w:pPr>
        <w:pStyle w:val="Heading1"/>
      </w:pPr>
      <w:r>
        <w:lastRenderedPageBreak/>
        <w:t>Abstract</w:t>
      </w:r>
    </w:p>
    <w:p w:rsidR="002E25CC" w:rsidRDefault="005E580D" w:rsidP="002E25CC">
      <w:pPr>
        <w:rPr>
          <w:b/>
        </w:rPr>
      </w:pPr>
      <w:r>
        <w:rPr>
          <w:b/>
        </w:rPr>
        <w:t>Introduction</w:t>
      </w:r>
    </w:p>
    <w:p w:rsidR="005E580D" w:rsidRDefault="005E580D" w:rsidP="002E25CC">
      <w:r>
        <w:t xml:space="preserve">Recent research </w:t>
      </w:r>
      <w:r w:rsidR="0016028B">
        <w:t xml:space="preserve">suggests </w:t>
      </w:r>
      <w:r>
        <w:t xml:space="preserve">it has become harder </w:t>
      </w:r>
      <w:r w:rsidR="002D4700">
        <w:t xml:space="preserve">in recent decades and </w:t>
      </w:r>
      <w:r>
        <w:t xml:space="preserve">in the UK for people with limiting longstanding illnesses to find employment. </w:t>
      </w:r>
      <w:r w:rsidR="0016028B">
        <w:t xml:space="preserve">Rates of reported </w:t>
      </w:r>
      <w:r w:rsidR="002D4700">
        <w:t xml:space="preserve">limiting longstanding illnesses have </w:t>
      </w:r>
      <w:r w:rsidR="0016028B">
        <w:t>been stable</w:t>
      </w:r>
      <w:r w:rsidR="002D4700">
        <w:t>, but the disadvantage such illness has conferred on employability has increased substantially. This paper uses a simple computer based model to formally explore how this may have occurred.</w:t>
      </w:r>
    </w:p>
    <w:p w:rsidR="005E580D" w:rsidRDefault="005E580D" w:rsidP="002E25CC">
      <w:pPr>
        <w:rPr>
          <w:b/>
        </w:rPr>
      </w:pPr>
      <w:r>
        <w:rPr>
          <w:b/>
        </w:rPr>
        <w:t>Method</w:t>
      </w:r>
    </w:p>
    <w:p w:rsidR="002D4700" w:rsidRPr="002D4700" w:rsidRDefault="002D4700" w:rsidP="002E25CC">
      <w:r>
        <w:t xml:space="preserve">A stylised model was developed </w:t>
      </w:r>
      <w:r w:rsidR="0016028B">
        <w:t xml:space="preserve">in which </w:t>
      </w:r>
      <w:r>
        <w:t xml:space="preserve">job seeking </w:t>
      </w:r>
      <w:r w:rsidR="0016028B">
        <w:t xml:space="preserve">is considered </w:t>
      </w:r>
      <w:r>
        <w:t>a ‘winner takes all’ process</w:t>
      </w:r>
      <w:r w:rsidR="0016028B">
        <w:t xml:space="preserve"> which rewards only the </w:t>
      </w:r>
      <w:r w:rsidR="00774E8B">
        <w:t xml:space="preserve">‘best’ candidate. </w:t>
      </w:r>
      <w:r w:rsidR="0016028B">
        <w:t xml:space="preserve">It </w:t>
      </w:r>
      <w:r>
        <w:t xml:space="preserve">simulates the probability of a candidate with some degree of health based disadvantage achieving a job offer following an application, </w:t>
      </w:r>
      <w:r w:rsidR="0016028B">
        <w:t xml:space="preserve">given </w:t>
      </w:r>
      <w:r>
        <w:t xml:space="preserve">both the degree of health based disadvantage and the number of competitors for that position. </w:t>
      </w:r>
    </w:p>
    <w:p w:rsidR="005E580D" w:rsidRDefault="005E580D" w:rsidP="002E25CC">
      <w:pPr>
        <w:rPr>
          <w:b/>
        </w:rPr>
      </w:pPr>
      <w:r>
        <w:rPr>
          <w:b/>
        </w:rPr>
        <w:t>Results</w:t>
      </w:r>
    </w:p>
    <w:p w:rsidR="00774E8B" w:rsidRPr="00774E8B" w:rsidRDefault="00774E8B" w:rsidP="002E25CC">
      <w:r>
        <w:t xml:space="preserve">The model predicts that, when there are larger numbers of candidates per position, slight disadvantages in performance due to ill health could result in a large employability disadvantage, </w:t>
      </w:r>
      <w:r w:rsidR="0016028B">
        <w:t xml:space="preserve">so </w:t>
      </w:r>
      <w:r>
        <w:t>a level of health disadvantage which would not render someone unemployable when labour markets are less competitive could exclude them from more competitive labour markets.</w:t>
      </w:r>
    </w:p>
    <w:p w:rsidR="005E580D" w:rsidRDefault="005E580D" w:rsidP="002E25CC">
      <w:pPr>
        <w:rPr>
          <w:b/>
        </w:rPr>
      </w:pPr>
      <w:r>
        <w:rPr>
          <w:b/>
        </w:rPr>
        <w:t>Discussion</w:t>
      </w:r>
    </w:p>
    <w:p w:rsidR="00774E8B" w:rsidRDefault="00774E8B" w:rsidP="002E25CC">
      <w:r>
        <w:t>The use of the stylised model means the</w:t>
      </w:r>
      <w:r w:rsidR="00BC2531">
        <w:t xml:space="preserve"> logical</w:t>
      </w:r>
      <w:r>
        <w:t xml:space="preserve"> implications of assumptions can be </w:t>
      </w:r>
      <w:r w:rsidR="00BC2531">
        <w:t>scrutinised</w:t>
      </w:r>
      <w:r>
        <w:t xml:space="preserve">. </w:t>
      </w:r>
      <w:r w:rsidR="0016028B">
        <w:t xml:space="preserve">A </w:t>
      </w:r>
      <w:r w:rsidR="00534252">
        <w:t>more competitive labour market</w:t>
      </w:r>
      <w:r>
        <w:t xml:space="preserve"> may be more likely to disproportionately exclude people in poorer health than </w:t>
      </w:r>
      <w:r w:rsidR="0016028B">
        <w:t xml:space="preserve">generally </w:t>
      </w:r>
      <w:r>
        <w:t>assumed</w:t>
      </w:r>
      <w:r w:rsidR="00BC2531">
        <w:t>, and so the level of health necessary to avoid becoming socially excluded in this way could have increased as a result of economic changes in the UK over the last thirty years.</w:t>
      </w:r>
    </w:p>
    <w:p w:rsidR="00BC2531" w:rsidRDefault="00BC2531" w:rsidP="002E25CC"/>
    <w:p w:rsidR="00BC2531" w:rsidRDefault="00BC2531">
      <w:pPr>
        <w:rPr>
          <w:rFonts w:asciiTheme="majorHAnsi" w:eastAsiaTheme="majorEastAsia" w:hAnsiTheme="majorHAnsi" w:cstheme="majorBidi"/>
          <w:b/>
          <w:bCs/>
          <w:smallCaps/>
          <w:color w:val="365F91" w:themeColor="accent1" w:themeShade="BF"/>
          <w:sz w:val="28"/>
          <w:szCs w:val="28"/>
        </w:rPr>
      </w:pPr>
      <w:r>
        <w:br w:type="page"/>
      </w:r>
    </w:p>
    <w:p w:rsidR="00960E95" w:rsidRDefault="00960E95" w:rsidP="00960E95">
      <w:pPr>
        <w:pStyle w:val="Heading1"/>
      </w:pPr>
      <w:r>
        <w:lastRenderedPageBreak/>
        <w:t>Introduct</w:t>
      </w:r>
      <w:r w:rsidR="008D5D12">
        <w:t>i</w:t>
      </w:r>
      <w:r>
        <w:t>on</w:t>
      </w:r>
    </w:p>
    <w:p w:rsidR="00AE6943" w:rsidRDefault="0007030F" w:rsidP="00A452FB">
      <w:r w:rsidRPr="00A452FB">
        <w:t xml:space="preserve">Recent research has </w:t>
      </w:r>
      <w:r w:rsidR="00AE6943">
        <w:t>indicated that people of working age who report limiting longstanding illness</w:t>
      </w:r>
      <w:r w:rsidR="007A2769">
        <w:t xml:space="preserve"> (LLTI)</w:t>
      </w:r>
      <w:r w:rsidR="00AE6943">
        <w:t xml:space="preserve"> are much less likely to be employed and much more likely to be economically inactive than they w</w:t>
      </w:r>
      <w:r w:rsidR="00970E19">
        <w:t>ould have been a generation ago, and that</w:t>
      </w:r>
      <w:r w:rsidRPr="00A452FB">
        <w:t xml:space="preserve"> </w:t>
      </w:r>
      <w:r w:rsidR="00970E19">
        <w:t>t</w:t>
      </w:r>
      <w:r w:rsidRPr="00A452FB">
        <w:t>his relationship is much stronger for people with unskilled manual labour backgrounds than other occupational groups</w:t>
      </w:r>
      <w:r w:rsidR="00A452FB" w:rsidRPr="00A452FB">
        <w:t>.</w:t>
      </w:r>
      <w:r w:rsidR="00970E19" w:rsidRPr="00970E19">
        <w:t xml:space="preserve"> </w:t>
      </w:r>
      <w:r w:rsidR="0060605A">
        <w:fldChar w:fldCharType="begin" w:fldLock="1"/>
      </w:r>
      <w:r w:rsidR="00842ADF">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"family" : "Minton", "given" : "J. W." }, { "family" : "Pickett", "given" : "K. E." }, { "family" : "Dorling", "given" : "D."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"id" : "ITEM-2", "itemData" : { "DOI" : "10.1136/bmj.e2858", "author" : [ { "family" : "Bartley", "given" : "M" } ], "container-title" : "BMJ", "id" : "ITEM-2", "issue" : "may09 1", "issued" : { "date-parts" : [ [ "2012", "5", "9" ] ] }, "note" : "1756-1833 (Electronic)\n0959-535X (Linking)\nComment\nEditorial", "page" : "e2858-e2858", "title" : "Economic inactivity and health", "type" : "article-journal", "volume" : "344" }, "uris" : [ "http://www.mendeley.com/documents/?uuid=051263e6-80c7-4443-b810-59af0cd61728" ] } ], "mendeley" : { "previouslyFormattedCitation" : "[1,2]" }, "properties" : { "noteIndex" : 0 }, "schema" : "https://github.com/citation-style-language/schema/raw/master/csl-citation.json" }</w:instrText>
      </w:r>
      <w:r w:rsidR="0060605A">
        <w:fldChar w:fldCharType="separate"/>
      </w:r>
      <w:r w:rsidR="0060605A" w:rsidRPr="0060605A">
        <w:rPr>
          <w:noProof/>
        </w:rPr>
        <w:t>[1,2]</w:t>
      </w:r>
      <w:r w:rsidR="0060605A">
        <w:fldChar w:fldCharType="end"/>
      </w:r>
      <w:r w:rsidR="00A452FB" w:rsidRPr="00A452FB">
        <w:t xml:space="preserve"> </w:t>
      </w:r>
      <w:r w:rsidR="007A2769">
        <w:t xml:space="preserve">Self-assessed health has not worsened in this or other European countries over this time, but the employability disadvantage associated with having a LLTI has. </w:t>
      </w:r>
      <w:r w:rsidR="00BE5A70">
        <w:fldChar w:fldCharType="begin" w:fldLock="1"/>
      </w:r>
      <w:r w:rsidR="00842ADF">
        <w:instrText>ADDIN CSL_CITATION { "citationItems" : [ { "id" : "ITEM-1", "itemData" : { "DOI" : "10.1093/ije/dyh342", "abstract" : "Changes over time in inequalities in self-reported health are studied for increasingly more countries, but a comprehensive overview encompassing several countries is still lacking. The general aim of this article is to determine whether inequalities in self-assessed health in 10 European countries showed a general tendency either to increase or to decrease between the 1980s and the 1990s and whether trends varied among countries.", "author" : [ { "family" : "Kunst", "given" : "Anton E" }, { "family" : "Bos", "given" : "Vivian" }, { "family" : "Lahelma", "given" : "Eero" }, { "family" : "Bartley", "given" : "Mel" }, { "family" : "Lissau", "given" : "Inge" }, { "family" : "Regidor", "given" : "Enrique" }, { "family" : "Mielck", "given" : "Andreas" }, { "family" : "Cardano", "given" : "Mario" }, { "family" : "Dalstra", "given" : "Jetty A A" }, { "family" : "Geurts", "given" : "Jos\u00e9 J M" }, { "family" : "Helmert", "given" : "Uwe" }, { "family" : "Lennartsson", "given" : "Carin" }, { "family" : "Ramm", "given" : "Jorun" }, { "family" : "Spadea", "given" : "Teresa" }, { "family" : "Stronegger", "given" : "Willibald J" }, { "family" : "Mackenbach", "given" : "Johan P" } ], "container-title" : "International journal of epidemiology", "id" : "ITEM-1", "issue" : "2", "issued" : { "date-parts" : [ [ "2005", "4" ] ] }, "page" : "295-305", "title" : "Trends in socioeconomic inequalities in self-assessed health in 10 European countries.", "type" : "article-journal", "volume" : "34" }, "uris" : [ "http://www.mendeley.com/documents/?uuid=a92bf0d5-a302-4929-8f59-3e0f96959b50" ] } ], "mendeley" : { "previouslyFormattedCitation" : "[3]" }, "properties" : { "noteIndex" : 0 }, "schema" : "https://github.com/citation-style-language/schema/raw/master/csl-citation.json" }</w:instrText>
      </w:r>
      <w:r w:rsidR="00BE5A70">
        <w:fldChar w:fldCharType="separate"/>
      </w:r>
      <w:r w:rsidR="00BE5A70" w:rsidRPr="00BE5A70">
        <w:rPr>
          <w:noProof/>
        </w:rPr>
        <w:t>[3]</w:t>
      </w:r>
      <w:r w:rsidR="00BE5A70">
        <w:fldChar w:fldCharType="end"/>
      </w:r>
      <w:r w:rsidR="00BE5A70">
        <w:t xml:space="preserve"> </w:t>
      </w:r>
      <w:r w:rsidR="007A2769">
        <w:t xml:space="preserve">This paper </w:t>
      </w:r>
      <w:r w:rsidR="00382A90">
        <w:t>describes</w:t>
      </w:r>
      <w:r w:rsidR="007A2769">
        <w:t xml:space="preserve"> a computer-based model </w:t>
      </w:r>
      <w:r w:rsidR="00382A90">
        <w:t xml:space="preserve">which has been developed </w:t>
      </w:r>
      <w:r w:rsidR="007A2769">
        <w:t xml:space="preserve">to explore how this could have happened. </w:t>
      </w:r>
    </w:p>
    <w:p w:rsidR="008D5D12" w:rsidRDefault="007A2769" w:rsidP="008D5D12">
      <w:r>
        <w:t xml:space="preserve">The computer-based </w:t>
      </w:r>
      <w:r w:rsidR="00A452FB">
        <w:t xml:space="preserve">model incorporates just two parameters, one relating to ill health of a candidate, and another to the number of competitors for a position. The model assumes that getting a job is essentially a ‘winner-takes-all’ process, in which the best of a number of candidates for a job get all of the reward (a job), and all other candidates get nothing. </w:t>
      </w:r>
      <w:r w:rsidR="00DE7642">
        <w:t>Using a computer-based model in this way is useful as a tool for demonstrating the logical implications of making particular assumptions in a complex system incorporating nonlinearities, where these implications may not be immediately apparent.</w:t>
      </w:r>
      <w:r w:rsidR="0007030F">
        <w:t xml:space="preserve"> </w:t>
      </w:r>
      <w:r w:rsidR="00842ADF">
        <w:t>The model was constructed in R, and the code is presented in the appendix.</w:t>
      </w:r>
      <w:r w:rsidR="00842ADF">
        <w:fldChar w:fldCharType="begin" w:fldLock="1"/>
      </w:r>
      <w:r w:rsidR="00842ADF">
        <w:instrText>ADDIN CSL_CITATION { "citationItems" : [ { "id" : "ITEM-1", "itemData" : { "author" : [ { "family" : "Team", "given" : "R Development Core" } ], "id" : "ITEM-1", "issued" : { "date-parts" : [ [ "2011" ] ] }, "publisher" : "R Foundation for Statistical Computing", "publisher-place" : "Vienna, Austria", "title" : "R: A language and environment for statistical computing", "type" : "article" }, "uris" : [ "http://www.mendeley.com/documents/?uuid=734024d5-b9f2-4345-b139-174a902d643a" ] }, { "id" : "ITEM-2", "itemData" : { "ISBN" : "978-0-387-75968-5", "author" : [ { "family" : "Sarkar", "given" : "Deepayan" } ], "id" : "ITEM-2", "issued" : { "date-parts" : [ [ "2008" ] ] }, "publisher" : "Springer", "publisher-place" : "New York", "title" : "Lattice: Multivariate Data Visualization with R.", "type" : "book" }, "uris" : [ "http://www.mendeley.com/documents/?uuid=2ea118fc-2497-46ab-a186-e3e21f81687b" ] } ], "mendeley" : { "previouslyFormattedCitation" : "[4,5]" }, "properties" : { "noteIndex" : 0 }, "schema" : "https://github.com/citation-style-language/schema/raw/master/csl-citation.json" }</w:instrText>
      </w:r>
      <w:r w:rsidR="00842ADF">
        <w:fldChar w:fldCharType="separate"/>
      </w:r>
      <w:r w:rsidR="00842ADF" w:rsidRPr="00842ADF">
        <w:rPr>
          <w:noProof/>
        </w:rPr>
        <w:t>[4,5]</w:t>
      </w:r>
      <w:r w:rsidR="00842ADF">
        <w:fldChar w:fldCharType="end"/>
      </w:r>
    </w:p>
    <w:p w:rsidR="00960E95" w:rsidRDefault="00960E95" w:rsidP="00960E95">
      <w:pPr>
        <w:pStyle w:val="Heading1"/>
      </w:pPr>
      <w:r>
        <w:t>Methods</w:t>
      </w:r>
    </w:p>
    <w:p w:rsidR="008D5D12" w:rsidRDefault="00231EC4" w:rsidP="008D5D12">
      <w:r>
        <w:t>Mathematical</w:t>
      </w:r>
      <w:r w:rsidR="008D5D12">
        <w:t xml:space="preserve"> models are commonly used in health technology assessments to help </w:t>
      </w:r>
      <w:r>
        <w:t xml:space="preserve">NICE </w:t>
      </w:r>
      <w:r w:rsidR="008D5D12">
        <w:t xml:space="preserve">and other health based decision making organisations make coherent, evidence-based decisions. </w:t>
      </w:r>
      <w:r w:rsidR="00BE5A70">
        <w:fldChar w:fldCharType="begin" w:fldLock="1"/>
      </w:r>
      <w:r w:rsidR="00842ADF">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 } ], "mendeley" : { "previouslyFormattedCitation" : "[6]" }, "properties" : { "noteIndex" : 0 }, "schema" : "https://github.com/citation-style-language/schema/raw/master/csl-citation.json" }</w:instrText>
      </w:r>
      <w:r w:rsidR="00BE5A70">
        <w:fldChar w:fldCharType="separate"/>
      </w:r>
      <w:r w:rsidR="00842ADF" w:rsidRPr="00842ADF">
        <w:rPr>
          <w:noProof/>
        </w:rPr>
        <w:t>[6]</w:t>
      </w:r>
      <w:r w:rsidR="00BE5A70">
        <w:fldChar w:fldCharType="end"/>
      </w:r>
      <w:r w:rsidR="0039787B">
        <w:t xml:space="preserve"> </w:t>
      </w:r>
      <w:r>
        <w:t>T</w:t>
      </w:r>
      <w:r w:rsidR="008D5D12">
        <w:t xml:space="preserve">he role of this model is more as tool for exploring the logical </w:t>
      </w:r>
      <w:r w:rsidR="00625887">
        <w:t xml:space="preserve">ecological </w:t>
      </w:r>
      <w:r w:rsidR="008D5D12">
        <w:t xml:space="preserve">consequences of </w:t>
      </w:r>
      <w:r w:rsidR="00625887">
        <w:t xml:space="preserve">accepting </w:t>
      </w:r>
      <w:r w:rsidR="008D5D12">
        <w:t xml:space="preserve">a series of </w:t>
      </w:r>
      <w:r w:rsidR="00625887">
        <w:t xml:space="preserve">individual level </w:t>
      </w:r>
      <w:r w:rsidR="008D5D12">
        <w:t>assumption</w:t>
      </w:r>
      <w:r w:rsidR="00625887">
        <w:t>s about job selection processes.</w:t>
      </w:r>
      <w:r w:rsidR="00BE5A70">
        <w:fldChar w:fldCharType="begin" w:fldLock="1"/>
      </w:r>
      <w:r w:rsidR="00842ADF">
        <w:instrText>ADDIN CSL_CITATION { "citationItems" : [ { "id" : "ITEM-1", "itemData" : { "DOI" : "10.1371/journal.pone.0013371", "abstract" : "Within affluent populations, there are marked socioeconomic gradients in health behavior, with people of lower socioeconomic position smoking more, exercising less, having poorer diets, complying less well with therapy, using medical services less, ignoring health and safety advice more, and being less health-conscious overall, than their more affluent peers. Whilst the proximate mechanisms underlying these behavioral differences have been investigated, the ultimate causes have not.", "author" : [ { "family" : "Nettle", "given" : "Daniel" } ], "container-title" : "PloS one", "id" : "ITEM-1", "issue" : "10", "issued" : { "date-parts" : [ [ "2010", "1" ] ] }, "page" : "e13371", "title" : "Why are there social gradients in preventative health behavior? A perspective from behavioral ecology.", "type" : "article-journal", "volume" : "5" }, "uris" : [ "http://www.mendeley.com/documents/?uuid=7ebf43a4-f33c-40f7-b068-00983ff5b37b" ] } ], "mendeley" : { "previouslyFormattedCitation" : "[7]" }, "properties" : { "noteIndex" : 0 }, "schema" : "https://github.com/citation-style-language/schema/raw/master/csl-citation.json" }</w:instrText>
      </w:r>
      <w:r w:rsidR="00BE5A70">
        <w:fldChar w:fldCharType="separate"/>
      </w:r>
      <w:r w:rsidR="00842ADF" w:rsidRPr="00842ADF">
        <w:rPr>
          <w:noProof/>
        </w:rPr>
        <w:t>[7]</w:t>
      </w:r>
      <w:r w:rsidR="00BE5A70">
        <w:fldChar w:fldCharType="end"/>
      </w:r>
      <w:r w:rsidR="00625887">
        <w:t xml:space="preserve"> Because of nonlinearities, small changes at the individual level can lead to large changes at the ecological level </w:t>
      </w:r>
      <w:r w:rsidR="00BE5A70">
        <w:fldChar w:fldCharType="begin" w:fldLock="1"/>
      </w:r>
      <w:r w:rsidR="00842ADF">
        <w:instrText>ADDIN CSL_CITATION { "citationItems" : [ { "id" : "ITEM-1", "itemData" : { "ISBN" : "13 978 0335 21600", "author" : [ { "family" : "Gilbert", "given" : "Nigel" }, { "family" : "Troitzsch", "given" : "Klaus G." } ], "edition" : "Second Edi", "id" : "ITEM-1", "issued" : { "date-parts" : [ [ "2005" ] ] }, "publisher" : "OUP", "publisher-place" : "Maidenhead", "title" : "Simulation for the Social Scientist", "type" : "book" }, "uris" : [ "http://www.mendeley.com/documents/?uuid=268facb8-1ff4-4858-8b0a-11b491609440" ] }, { "id" : "ITEM-2", "itemData" : { "author" : [ { "family" : "Schelling", "given" : "T" } ], "id" : "ITEM-2", "issued" : { "date-parts" : [ [ "1978" ] ] }, "publisher" : "V W Norton &amp; Company Ltd.", "publisher-place" : "London", "title" : "Micromotives and Macrobehaviour", "type" : "book" }, "uris" : [ "http://www.mendeley.com/documents/?uuid=ea2c1b56-23dd-442a-8b5d-768bc19247f4" ] }, { "id" : "ITEM-3", "itemData" : { "author" : [ { "family" : "Ormerod", "given" : "Paul" } ], "id" : "ITEM-3", "issued" : { "date-parts" : [ [ "2005" ] ] }, "page" : "272", "publisher" : "Faber &amp; Faber", "publisher-place" : "London", "title" : "Why Most Things Fail: Evolution, Extinction and Economics", "type" : "book" }, "uris" : [ "http://www.mendeley.com/documents/?uuid=40a500b7-4e18-4b19-bf8e-8dd8c514a6b8" ] } ], "mendeley" : { "previouslyFormattedCitation" : "[8\u201310]" }, "properties" : { "noteIndex" : 0 }, "schema" : "https://github.com/citation-style-language/schema/raw/master/csl-citation.json" }</w:instrText>
      </w:r>
      <w:r w:rsidR="00BE5A70">
        <w:fldChar w:fldCharType="separate"/>
      </w:r>
      <w:r w:rsidR="00842ADF" w:rsidRPr="00842ADF">
        <w:rPr>
          <w:noProof/>
        </w:rPr>
        <w:t>[8–10]</w:t>
      </w:r>
      <w:r w:rsidR="00BE5A70">
        <w:fldChar w:fldCharType="end"/>
      </w:r>
      <w:r w:rsidR="0039787B">
        <w:t xml:space="preserve"> </w:t>
      </w:r>
      <w:r w:rsidR="00625887">
        <w:t>These logical implications may not be apparent without adopting a formal model, because it is more intuitive to assume that inputs and outputs are broadly proportional to one another</w:t>
      </w:r>
      <w:r w:rsidR="00970E19">
        <w:t>.</w:t>
      </w:r>
      <w:r w:rsidR="00625887">
        <w:t xml:space="preserve"> </w:t>
      </w:r>
      <w:r w:rsidR="0039787B">
        <w:fldChar w:fldCharType="begin" w:fldLock="1"/>
      </w:r>
      <w:r w:rsidR="00842ADF">
        <w:instrText>ADDIN CSL_CITATION { "citationItems" : [ { "id" : "ITEM-1", "itemData" : { "abstract" : "Evidence is reviewed which suggests there may be little or no direct introspective access to higher order cognitive processes. Subjects are sometimes (a) unaware of the existence of a stimulus that importantly influenced a response, (b) unaware of the existence of the response, and (c) unaware that he stimulus has affected the response. It is proposed that when people attempt to report on their cognitive processes, that is, on the processes mediating the effects of a stimulus on a response, they do not do so on the basis of any true introspection. Instead, their reports are based on a priori, implicit causal theories, or judgments about the extent to whcih a particular stimulus is a plausible cause of a given response. This suggests that though people may not be able to observed directly their cognitive processes, they will sometimes be able to report accurately about them. Accurate reports will occur when influential stimuli are salient and are plausible causes of the responses they produce, and will not occur when stimuli are not salient or are not plausible causes.", "author" : [ { "family" : "Nisbett", "given" : "Richard" }, { "family" : "Wilson", "given" : "T D" } ], "container-title" : "Psychological Review", "id" : "ITEM-1", "issue" : "3", "issued" : { "date-parts" : [ [ "1977" ] ] }, "page" : "231-259", "title" : "Telling More Than We Can Know: Verbal Reports on Mental processes", "type" : "article-journal", "volume" : "84" }, "uris" : [ "http://www.mendeley.com/documents/?uuid=a0973d1a-dea1-439f-ac61-79b09b1f25e0" ] } ], "mendeley" : { "previouslyFormattedCitation" : "[11]" }, "properties" : { "noteIndex" : 0 }, "schema" : "https://github.com/citation-style-language/schema/raw/master/csl-citation.json" }</w:instrText>
      </w:r>
      <w:r w:rsidR="0039787B">
        <w:fldChar w:fldCharType="separate"/>
      </w:r>
      <w:r w:rsidR="00842ADF" w:rsidRPr="00842ADF">
        <w:rPr>
          <w:noProof/>
        </w:rPr>
        <w:t>[11]</w:t>
      </w:r>
      <w:r w:rsidR="0039787B">
        <w:fldChar w:fldCharType="end"/>
      </w:r>
      <w:r w:rsidR="008D5D12">
        <w:t xml:space="preserve"> </w:t>
      </w:r>
    </w:p>
    <w:p w:rsidR="00F028D4" w:rsidRPr="008D5D12" w:rsidRDefault="002E25CC" w:rsidP="00F028D4">
      <w:pPr>
        <w:pStyle w:val="Heading2"/>
      </w:pPr>
      <w:r>
        <w:t>A</w:t>
      </w:r>
      <w:r w:rsidR="00F028D4">
        <w:t xml:space="preserve">ssumptions modelled </w:t>
      </w:r>
    </w:p>
    <w:p w:rsidR="00625887" w:rsidRDefault="00625887" w:rsidP="00231EC4">
      <w:r>
        <w:t>The assumptions made in the model are</w:t>
      </w:r>
      <w:r w:rsidR="00231EC4">
        <w:t xml:space="preserv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w:t>
      </w:r>
    </w:p>
    <w:p w:rsidR="00231EC4" w:rsidRPr="00231EC4" w:rsidRDefault="00625887" w:rsidP="00231EC4">
      <w:r>
        <w:t xml:space="preserve">To assume that getting a job is essentially </w:t>
      </w:r>
      <w:r w:rsidR="00231EC4">
        <w:t>a winter-takes-all process</w:t>
      </w:r>
      <w:r>
        <w:t xml:space="preserve"> is to say that </w:t>
      </w:r>
      <w:r w:rsidR="00231EC4">
        <w:t>if on</w:t>
      </w:r>
      <w:r>
        <w:t>e</w:t>
      </w:r>
      <w:r w:rsidR="00231EC4">
        <w:t xml:space="preserve"> candidate’s performance in the selection process is 9</w:t>
      </w:r>
      <w:r w:rsidR="00631686">
        <w:t>5% as good as another candidate’s</w:t>
      </w:r>
      <w:r w:rsidR="00231EC4">
        <w:t xml:space="preserve">, then this candidate will not receive 95% of the ‘reward’ for this performance. </w:t>
      </w:r>
      <w:r>
        <w:t>This is the assumption that means the relationship between inputs and outputs can be nonlinear.</w:t>
      </w:r>
      <w:r w:rsidR="00231EC4">
        <w:t xml:space="preserve"> </w:t>
      </w:r>
    </w:p>
    <w:p w:rsidR="00231EC4" w:rsidRPr="00231EC4" w:rsidRDefault="00970E19" w:rsidP="00231EC4">
      <w:r>
        <w:t xml:space="preserve">Two </w:t>
      </w:r>
      <w:r w:rsidR="00F06BDC">
        <w:t xml:space="preserve">further assumptions are that: each candidate has an ‘average’ level of fitness; </w:t>
      </w:r>
      <w:r>
        <w:t xml:space="preserve">and that </w:t>
      </w:r>
      <w:r w:rsidR="00F06BDC">
        <w:t xml:space="preserve">there is some level of variation around that average level; and that there are fundamentally just two types of candidate – healthy candidates and health impaired candidates – who apply for jobs. Additionally, there is the assumption that if a person’s employability falls below a certain threshold then they effectively become ‘unemployable’. If, for example, a 62 year old has specialised for the previous 40 years in a particular occupation, and there are currently only 10 new opportunities in that field per </w:t>
      </w:r>
      <w:r w:rsidR="00F06BDC">
        <w:lastRenderedPageBreak/>
        <w:t xml:space="preserve">year, and the candidates needs on average to apply for 100 positions to be offered one job then it will take that person on average </w:t>
      </w:r>
      <w:r w:rsidR="00C965EA">
        <w:t>10</w:t>
      </w:r>
      <w:bookmarkStart w:id="0" w:name="_GoBack"/>
      <w:bookmarkEnd w:id="0"/>
      <w:r w:rsidR="00F06BDC">
        <w:t xml:space="preserve"> years to get a job. If the retirement age is 65 then that person is effectively ‘unemployable’ as they could expect employment </w:t>
      </w:r>
      <w:r w:rsidR="00F06BDC">
        <w:rPr>
          <w:i/>
        </w:rPr>
        <w:t>after</w:t>
      </w:r>
      <w:r w:rsidR="00F06BDC">
        <w:t xml:space="preserve"> they are due to retire, and so due to move beyond working age.</w:t>
      </w:r>
    </w:p>
    <w:p w:rsidR="00960E95" w:rsidRDefault="00F028D4" w:rsidP="00960E95">
      <w:pPr>
        <w:pStyle w:val="Heading2"/>
      </w:pPr>
      <w:r>
        <w:t>The model</w:t>
      </w:r>
    </w:p>
    <w:p w:rsidR="00F06BDC" w:rsidRDefault="00970E19">
      <w:r>
        <w:t>The model is implemented as follows</w:t>
      </w:r>
      <w:r w:rsidR="00400952">
        <w:t xml:space="preserve">: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w:t>
      </w:r>
    </w:p>
    <w:p w:rsidR="00F06BDC" w:rsidRDefault="00400952">
      <w:r>
        <w:t xml:space="preserve">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w:t>
      </w:r>
      <w:r w:rsidR="00970E19">
        <w:t>In this graphical representation B represents the distribution from which the health-impaired candidate’s apparent job fitness is drawn, and A represents the distribution from which the candidate in full health’s job fitness is drawn. Paired draws from each distribution are drawn four times, to represent four attempts to win a job. Candidate A’s performance, represented by the long black link, is superior on the first three occasions, and so is selected. Candidate B, represented by the shorter grey line, demonstrates superior performance on the fourth occasion, and so is successful on this occasion.</w:t>
      </w:r>
    </w:p>
    <w:p w:rsidR="00F06BDC" w:rsidRDefault="00F06BDC" w:rsidP="00F06BDC">
      <w:pPr>
        <w:keepNext/>
      </w:pPr>
      <w:r>
        <w:rPr>
          <w:noProof/>
          <w:lang w:eastAsia="en-GB"/>
        </w:rPr>
        <mc:AlternateContent>
          <mc:Choice Requires="wpc">
            <w:drawing>
              <wp:inline distT="0" distB="0" distL="0" distR="0" wp14:anchorId="36D138D6" wp14:editId="137E3D37">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F06BDC" w:rsidRDefault="00F06BDC" w:rsidP="00F06BDC">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F06BDC" w:rsidRDefault="00F06BDC" w:rsidP="00F06BDC">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F06BDC" w:rsidRDefault="00F06BDC" w:rsidP="00F06BDC">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F06BDC" w:rsidRDefault="00F06BDC" w:rsidP="00F06BDC">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F06BDC" w:rsidRDefault="00F06BDC" w:rsidP="00F06BDC">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F06BDC" w:rsidRDefault="00F06BDC" w:rsidP="00F06BDC">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F06BDC" w:rsidRDefault="00F06BDC" w:rsidP="00F06BDC">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F06BDC" w:rsidRDefault="00F06BDC" w:rsidP="00F06BDC">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F06BDC" w:rsidRDefault="00F06BDC" w:rsidP="00F06BDC">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F06BDC" w:rsidRDefault="00F06BDC" w:rsidP="00F06BDC">
                        <w:pPr>
                          <w:rPr>
                            <w:i/>
                          </w:rPr>
                        </w:pPr>
                        <w:r>
                          <w:rPr>
                            <w:i/>
                          </w:rPr>
                          <w:t>Better</w:t>
                        </w:r>
                      </w:p>
                    </w:txbxContent>
                  </v:textbox>
                </v:shape>
                <w10:anchorlock/>
              </v:group>
            </w:pict>
          </mc:Fallback>
        </mc:AlternateContent>
      </w:r>
    </w:p>
    <w:p w:rsidR="00F06BDC" w:rsidRDefault="00F06BDC" w:rsidP="00F06BDC">
      <w:pPr>
        <w:pStyle w:val="Caption"/>
      </w:pPr>
      <w:bookmarkStart w:id="1" w:name="_Ref331781024"/>
      <w:r>
        <w:t xml:space="preserve">Figure </w:t>
      </w:r>
      <w:fldSimple w:instr=" SEQ Figure \* ARABIC ">
        <w:r w:rsidR="0039787B">
          <w:rPr>
            <w:noProof/>
          </w:rPr>
          <w:t>1</w:t>
        </w:r>
      </w:fldSimple>
      <w:bookmarkEnd w:id="1"/>
      <w:r>
        <w:t xml:space="preserve"> Stylised job selection model</w:t>
      </w:r>
    </w:p>
    <w:p w:rsidR="00960E95" w:rsidRDefault="00400952">
      <w:r>
        <w:t xml:space="preserve">Although an analytic solution to the problem is possible when using this distribution, the simulation approach has the advantage of being relatively easy to produce and follow, so of course being </w:t>
      </w:r>
      <w:r>
        <w:lastRenderedPageBreak/>
        <w:t xml:space="preserve">readily adaptable to the other distributions and the incorporation of different assumptions and layers of simulation complexity. </w:t>
      </w:r>
    </w:p>
    <w:p w:rsidR="00960E95" w:rsidRDefault="00960E95" w:rsidP="00960E95">
      <w:pPr>
        <w:pStyle w:val="Heading1"/>
      </w:pPr>
      <w:r>
        <w:t>Results</w:t>
      </w:r>
    </w:p>
    <w:p w:rsidR="00E73915" w:rsidRDefault="00382A90" w:rsidP="00E73915">
      <w:r>
        <w:t xml:space="preserve">Where there is a single job rival in full health, the relationship between the degree of health-related disadvantage, d, and the probability of a successful job application is shown in </w:t>
      </w:r>
      <w:r w:rsidR="0039787B">
        <w:fldChar w:fldCharType="begin"/>
      </w:r>
      <w:r w:rsidR="0039787B">
        <w:instrText xml:space="preserve"> REF _Ref333843292 \h </w:instrText>
      </w:r>
      <w:r w:rsidR="0039787B">
        <w:fldChar w:fldCharType="separate"/>
      </w:r>
      <w:r w:rsidR="0039787B">
        <w:t xml:space="preserve">Figure </w:t>
      </w:r>
      <w:r w:rsidR="0039787B">
        <w:rPr>
          <w:noProof/>
        </w:rPr>
        <w:t>2</w:t>
      </w:r>
      <w:r w:rsidR="0039787B">
        <w:fldChar w:fldCharType="end"/>
      </w:r>
      <w:r w:rsidR="0039787B">
        <w:t xml:space="preserve"> </w:t>
      </w:r>
      <w:r>
        <w:t xml:space="preserve">below. The </w:t>
      </w:r>
      <w:r w:rsidR="00E73915">
        <w:t>probability of the disadvantaged candidate presenting as the better candidate decreases monotonically with the degree of disadvantage</w:t>
      </w:r>
      <w:r>
        <w:t xml:space="preserve">. </w:t>
      </w:r>
    </w:p>
    <w:p w:rsidR="0039787B" w:rsidRDefault="00502E58" w:rsidP="0039787B">
      <w:pPr>
        <w:keepNext/>
      </w:pPr>
      <w:r>
        <w:rPr>
          <w:noProof/>
          <w:lang w:eastAsia="en-GB"/>
        </w:rPr>
        <w:drawing>
          <wp:inline distT="0" distB="0" distL="0" distR="0" wp14:anchorId="6CFF27CB" wp14:editId="13A67529">
            <wp:extent cx="5727700" cy="5727700"/>
            <wp:effectExtent l="0" t="0" r="6350" b="6350"/>
            <wp:docPr id="32" name="Picture 32" descr="C:\Users\Jon Minton\Google Drive\Nonlinearity Fitness Paper\rScripts\fig1_k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Nonlinearity Fitness Paper\rScripts\fig1_ki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502E58" w:rsidRDefault="0039787B" w:rsidP="0039787B">
      <w:pPr>
        <w:pStyle w:val="Caption"/>
      </w:pPr>
      <w:bookmarkStart w:id="2" w:name="_Ref333843292"/>
      <w:r>
        <w:t xml:space="preserve">Figure </w:t>
      </w:r>
      <w:fldSimple w:instr=" SEQ Figure \* ARABIC ">
        <w:r>
          <w:rPr>
            <w:noProof/>
          </w:rPr>
          <w:t>2</w:t>
        </w:r>
      </w:fldSimple>
      <w:bookmarkEnd w:id="2"/>
      <w:r>
        <w:t xml:space="preserve"> Simulated relationship between probability of winning a for a health impaired candidate as a function of degree of disadvantage, when competing against one competitor in full health.</w:t>
      </w:r>
    </w:p>
    <w:p w:rsidR="00E73915" w:rsidRPr="00E73915" w:rsidRDefault="00E73915" w:rsidP="00E73915"/>
    <w:p w:rsidR="00A975DC" w:rsidRDefault="00382A90" w:rsidP="00A975DC">
      <w:r>
        <w:t xml:space="preserve">The relationship between the number of healthy competitors, k, and the probability of the health impaired candidate presenting as the best candidate is illustrated in </w:t>
      </w:r>
      <w:r w:rsidR="0039787B">
        <w:fldChar w:fldCharType="begin"/>
      </w:r>
      <w:r w:rsidR="0039787B">
        <w:instrText xml:space="preserve"> REF _Ref333843379 \h </w:instrText>
      </w:r>
      <w:r w:rsidR="0039787B">
        <w:fldChar w:fldCharType="separate"/>
      </w:r>
      <w:r w:rsidR="0039787B">
        <w:t xml:space="preserve">Figure </w:t>
      </w:r>
      <w:r w:rsidR="0039787B">
        <w:rPr>
          <w:noProof/>
        </w:rPr>
        <w:t>3</w:t>
      </w:r>
      <w:r w:rsidR="0039787B">
        <w:fldChar w:fldCharType="end"/>
      </w:r>
      <w:r>
        <w:t xml:space="preserve">. In this figure, the </w:t>
      </w:r>
      <w:r>
        <w:lastRenderedPageBreak/>
        <w:t xml:space="preserve">degree of disadvantage d has been held constant at 0.5, i.e. half a standard deviation below the mean fitness level of the candidates in full health. As </w:t>
      </w:r>
      <w:r w:rsidR="00A975DC">
        <w:t>the number of competitors increases</w:t>
      </w:r>
      <w:r w:rsidR="00502E58">
        <w:t>,</w:t>
      </w:r>
      <w:r w:rsidR="00A975DC">
        <w:t xml:space="preserve"> the probability of </w:t>
      </w:r>
      <w:r w:rsidR="00502E58">
        <w:t xml:space="preserve">the health impaired candidate </w:t>
      </w:r>
      <w:r w:rsidR="00A975DC">
        <w:t xml:space="preserve">winning </w:t>
      </w:r>
      <w:r w:rsidR="00502E58">
        <w:t>the</w:t>
      </w:r>
      <w:r w:rsidR="00A975DC">
        <w:t xml:space="preserve"> job decreases. </w:t>
      </w:r>
      <w:r w:rsidR="005B344B">
        <w:t>Because o</w:t>
      </w:r>
      <w:r w:rsidR="00A975DC">
        <w:t>f the initial disadvantage, however, the probability of getting the job is lower than what would be expe</w:t>
      </w:r>
      <w:r w:rsidR="00640B63">
        <w:t xml:space="preserve">cted of a </w:t>
      </w:r>
      <w:proofErr w:type="spellStart"/>
      <w:r w:rsidR="00640B63">
        <w:t>nonimpaired</w:t>
      </w:r>
      <w:proofErr w:type="spellEnd"/>
      <w:r w:rsidR="00640B63">
        <w:t xml:space="preserve"> candidate</w:t>
      </w:r>
      <w:r w:rsidR="00A975DC">
        <w:t xml:space="preserve"> irrespective of the number of candidates. </w:t>
      </w:r>
    </w:p>
    <w:p w:rsidR="00A975DC" w:rsidRDefault="00A975DC" w:rsidP="00A975DC">
      <w:r>
        <w:t xml:space="preserve"> </w:t>
      </w:r>
    </w:p>
    <w:p w:rsidR="0039787B" w:rsidRDefault="007F0135" w:rsidP="0039787B">
      <w:pPr>
        <w:keepNext/>
      </w:pPr>
      <w:r>
        <w:rPr>
          <w:noProof/>
          <w:lang w:eastAsia="en-GB"/>
        </w:rPr>
        <w:drawing>
          <wp:inline distT="0" distB="0" distL="0" distR="0" wp14:anchorId="73E95446" wp14:editId="5952EBFA">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7F0135" w:rsidRDefault="0039787B" w:rsidP="0039787B">
      <w:pPr>
        <w:pStyle w:val="Caption"/>
      </w:pPr>
      <w:bookmarkStart w:id="3" w:name="_Ref333843379"/>
      <w:r>
        <w:t xml:space="preserve">Figure </w:t>
      </w:r>
      <w:fldSimple w:instr=" SEQ Figure \* ARABIC ">
        <w:r>
          <w:rPr>
            <w:noProof/>
          </w:rPr>
          <w:t>3</w:t>
        </w:r>
      </w:fldSimple>
      <w:bookmarkEnd w:id="3"/>
      <w:r>
        <w:t xml:space="preserve"> Simulated probability of winning a job for a health impaired candidate with d=0.5, as a function of the number of other candidates for that position in full health</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w:t>
      </w:r>
      <w:r w:rsidR="0039787B">
        <w:fldChar w:fldCharType="begin"/>
      </w:r>
      <w:r w:rsidR="0039787B">
        <w:instrText xml:space="preserve"> REF _Ref333843640 \h </w:instrText>
      </w:r>
      <w:r w:rsidR="0039787B">
        <w:fldChar w:fldCharType="separate"/>
      </w:r>
      <w:r w:rsidR="0039787B">
        <w:t xml:space="preserve">Figure </w:t>
      </w:r>
      <w:r w:rsidR="0039787B">
        <w:rPr>
          <w:noProof/>
        </w:rPr>
        <w:t>4</w:t>
      </w:r>
      <w:r w:rsidR="0039787B">
        <w:fldChar w:fldCharType="end"/>
      </w:r>
      <w:r>
        <w:t xml:space="preserve">below. </w:t>
      </w:r>
      <w:r w:rsidR="0039787B">
        <w:fldChar w:fldCharType="begin"/>
      </w:r>
      <w:r w:rsidR="0039787B">
        <w:instrText xml:space="preserve"> REF _Ref333843648 \h </w:instrText>
      </w:r>
      <w:r w:rsidR="0039787B">
        <w:fldChar w:fldCharType="separate"/>
      </w:r>
      <w:r w:rsidR="0039787B">
        <w:t xml:space="preserve">Figure </w:t>
      </w:r>
      <w:r w:rsidR="0039787B">
        <w:rPr>
          <w:noProof/>
        </w:rPr>
        <w:t>5</w:t>
      </w:r>
      <w:r w:rsidR="0039787B">
        <w:fldChar w:fldCharType="end"/>
      </w:r>
      <w:r>
        <w:t xml:space="preserve"> presents the same relationship using the equivalent measure, expected number of applications necessary to get a job. </w:t>
      </w:r>
      <w:r w:rsidR="00382A90">
        <w:t xml:space="preserve">It </w:t>
      </w:r>
      <w:r>
        <w:t xml:space="preserve">is seen that someone with a given level of health disadvantage will face an increasing challenge to their </w:t>
      </w:r>
      <w:r w:rsidR="00382A90">
        <w:t xml:space="preserve">chances </w:t>
      </w:r>
      <w:r>
        <w:t xml:space="preserve">getting a job as the number of competitors per place increases. It is further noted that this </w:t>
      </w:r>
      <w:r>
        <w:lastRenderedPageBreak/>
        <w:t>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39787B" w:rsidRDefault="0039787B" w:rsidP="0039787B">
      <w:pPr>
        <w:keepNext/>
      </w:pPr>
      <w:r>
        <w:rPr>
          <w:noProof/>
          <w:lang w:eastAsia="en-GB"/>
        </w:rPr>
        <w:drawing>
          <wp:inline distT="0" distB="0" distL="0" distR="0" wp14:anchorId="5D33BAE6" wp14:editId="2495E4AB">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39787B" w:rsidRDefault="0039787B" w:rsidP="0039787B">
      <w:pPr>
        <w:pStyle w:val="Caption"/>
      </w:pPr>
      <w:bookmarkStart w:id="4" w:name="_Ref333843640"/>
      <w:r>
        <w:t xml:space="preserve">Figure </w:t>
      </w:r>
      <w:fldSimple w:instr=" SEQ Figure \* ARABIC ">
        <w:r>
          <w:rPr>
            <w:noProof/>
          </w:rPr>
          <w:t>4</w:t>
        </w:r>
      </w:fldSimple>
      <w:bookmarkEnd w:id="4"/>
      <w:r>
        <w:t xml:space="preserve"> Joint simulated relationship between health </w:t>
      </w:r>
      <w:proofErr w:type="gramStart"/>
      <w:r>
        <w:t>disadvantage</w:t>
      </w:r>
      <w:proofErr w:type="gramEnd"/>
      <w:r>
        <w:t>, number of competitors, and probability of winning a job per attempt</w:t>
      </w:r>
    </w:p>
    <w:p w:rsidR="0039787B" w:rsidRDefault="00863282" w:rsidP="0039787B">
      <w:pPr>
        <w:keepNext/>
      </w:pPr>
      <w:r>
        <w:rPr>
          <w:noProof/>
          <w:lang w:eastAsia="en-GB"/>
        </w:rPr>
        <w:lastRenderedPageBreak/>
        <w:drawing>
          <wp:inline distT="0" distB="0" distL="0" distR="0" wp14:anchorId="2572492B" wp14:editId="2C6DB051">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p>
    <w:p w:rsidR="00A975DC" w:rsidRPr="00A975DC" w:rsidRDefault="0039787B" w:rsidP="0039787B">
      <w:pPr>
        <w:pStyle w:val="Caption"/>
      </w:pPr>
      <w:bookmarkStart w:id="5" w:name="_Ref333843648"/>
      <w:r>
        <w:t xml:space="preserve">Figure </w:t>
      </w:r>
      <w:r>
        <w:fldChar w:fldCharType="begin"/>
      </w:r>
      <w:r>
        <w:instrText xml:space="preserve"> SEQ Figure \* ARABIC </w:instrText>
      </w:r>
      <w:r>
        <w:fldChar w:fldCharType="separate"/>
      </w:r>
      <w:proofErr w:type="gramStart"/>
      <w:r>
        <w:rPr>
          <w:noProof/>
        </w:rPr>
        <w:t>5</w:t>
      </w:r>
      <w:r>
        <w:fldChar w:fldCharType="end"/>
      </w:r>
      <w:bookmarkEnd w:id="5"/>
      <w:r>
        <w:t xml:space="preserve"> Joint relationship</w:t>
      </w:r>
      <w:proofErr w:type="gramEnd"/>
      <w:r>
        <w:t xml:space="preserve"> between health disadvantage, number of competitors in full health per job, and expected number of attempts to secure one job</w:t>
      </w:r>
    </w:p>
    <w:p w:rsidR="00960E95" w:rsidRDefault="00F028D4" w:rsidP="00960E95">
      <w:pPr>
        <w:pStyle w:val="Heading2"/>
      </w:pPr>
      <w:proofErr w:type="spellStart"/>
      <w:r>
        <w:t>Unemployability</w:t>
      </w:r>
      <w:proofErr w:type="spellEnd"/>
      <w:r>
        <w:t xml:space="preserve"> thresholds</w:t>
      </w:r>
    </w:p>
    <w:p w:rsidR="00640B63" w:rsidRDefault="00640B63" w:rsidP="008C369E">
      <w:r>
        <w:t xml:space="preserve">If we </w:t>
      </w:r>
      <w:r w:rsidR="00970E19">
        <w:t>assume</w:t>
      </w:r>
      <w:r>
        <w:t xml:space="preserve"> </w:t>
      </w:r>
      <w:r w:rsidR="008C369E">
        <w:t>that someone who requires on the average 200 applic</w:t>
      </w:r>
      <w:r w:rsidR="00970E19">
        <w:t xml:space="preserve">ations to receive one job offer, equivalent to a probability of 0.005, </w:t>
      </w:r>
      <w:r w:rsidR="008C369E">
        <w:t xml:space="preserve">is </w:t>
      </w:r>
      <w:r>
        <w:t xml:space="preserve">effectively </w:t>
      </w:r>
      <w:r w:rsidR="008C369E">
        <w:t>‘unemployab</w:t>
      </w:r>
      <w:r>
        <w:t>le</w:t>
      </w:r>
      <w:r w:rsidR="008C369E">
        <w:t xml:space="preserve">’, then we can observe how increased competition for jobs (increased k) will push an increasing proportion of the working age population into the ‘unemployable’ category. </w:t>
      </w:r>
    </w:p>
    <w:p w:rsidR="008C369E" w:rsidRPr="008C369E" w:rsidRDefault="008C369E" w:rsidP="008C369E">
      <w:r>
        <w:t xml:space="preserve">With just one competitor per job, </w:t>
      </w:r>
      <w:r w:rsidR="00970E19">
        <w:t>the degree of fitness disadvantage d required</w:t>
      </w:r>
      <w:r w:rsidR="00BC2283">
        <w:t xml:space="preserve"> to reach this threshold is 2.3, </w:t>
      </w:r>
      <w:r w:rsidR="00970E19">
        <w:t xml:space="preserve">with two competitors </w:t>
      </w:r>
      <w:r w:rsidR="00BC2283">
        <w:t xml:space="preserve">the </w:t>
      </w:r>
      <w:r w:rsidR="00970E19">
        <w:t xml:space="preserve">d </w:t>
      </w:r>
      <w:r w:rsidR="00BC2283">
        <w:t xml:space="preserve">required to reach this threshold </w:t>
      </w:r>
      <w:r w:rsidR="00970E19">
        <w:t>reduces to 1.6</w:t>
      </w:r>
      <w:r w:rsidR="00BC2283">
        <w:t xml:space="preserve">, and with three competitors to 1.3. </w:t>
      </w:r>
      <w:r>
        <w:t xml:space="preserve">This relationship continues with each addition competitor. In the example presented, with 15 unimpaired competitors per place, a person becomes ‘unemployable’ when their d level is only </w:t>
      </w:r>
      <w:r w:rsidR="00A34466">
        <w:t>0.2</w:t>
      </w:r>
      <w:r>
        <w:t xml:space="preserve">. Note that d refers only to the degree of disadvantage relative to the average ,and does not imply the proportion of the population with that level of d. A further nonlinear relationship between k, d, and the proportion of the population affected may be assumed, </w:t>
      </w:r>
      <w:r>
        <w:lastRenderedPageBreak/>
        <w:t>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960E95" w:rsidRDefault="00960E95" w:rsidP="00960E95">
      <w:pPr>
        <w:pStyle w:val="Heading1"/>
      </w:pPr>
      <w:r>
        <w:t>Discussion</w:t>
      </w:r>
    </w:p>
    <w:p w:rsidR="00960E95" w:rsidRDefault="00F028D4" w:rsidP="00960E95">
      <w:pPr>
        <w:pStyle w:val="Heading2"/>
      </w:pPr>
      <w:r>
        <w:t>Findings</w:t>
      </w:r>
    </w:p>
    <w:p w:rsidR="00047B20" w:rsidRDefault="00382A90" w:rsidP="00F82329">
      <w:r>
        <w:t xml:space="preserve">This model indicated that it may be plausible to assume that a level of health impairment </w:t>
      </w:r>
      <w:r w:rsidR="00C10E31">
        <w:t>that would not have been severe enough to exclude people from the labour market in the 1970s could nevertheless exclude people from the labour market in the 1990s and beyond. This is because of the proposed relationship between health impairment and labour market competitiveness, represented in this model by the number of competitors for a position.</w:t>
      </w:r>
      <w:r w:rsidR="00047B20">
        <w:t xml:space="preserve"> </w:t>
      </w:r>
    </w:p>
    <w:p w:rsidR="00960E95" w:rsidRDefault="00960E95" w:rsidP="00960E95">
      <w:pPr>
        <w:pStyle w:val="Heading2"/>
      </w:pPr>
      <w:r>
        <w:t>Shortcomings</w:t>
      </w:r>
    </w:p>
    <w:p w:rsidR="00960E95" w:rsidRPr="00F82329" w:rsidRDefault="00C10E31" w:rsidP="00680C68">
      <w:pPr>
        <w:rPr>
          <w:color w:val="FF0000"/>
        </w:rPr>
      </w:pPr>
      <w:r>
        <w:t xml:space="preserve">The purpose of this model is primarily as a way of testing and demonstrating the logical implications at the ecological level of combining a number of relatively uncontroversial individual level assumptions. The potential shortcomings of the model are that these individual level assumptions are inadequate, either due to being incorrect or excessively simplistic. Another potential shortcoming of the model is that </w:t>
      </w:r>
      <w:r w:rsidR="0060605A">
        <w:t xml:space="preserve">the </w:t>
      </w:r>
      <w:r w:rsidR="00680C68">
        <w:t xml:space="preserve">Normal </w:t>
      </w:r>
      <w:r w:rsidR="0060605A">
        <w:t xml:space="preserve">distribution was </w:t>
      </w:r>
      <w:r w:rsidR="00680C68">
        <w:t xml:space="preserve">used to represent both impaired and </w:t>
      </w:r>
      <w:proofErr w:type="spellStart"/>
      <w:r w:rsidR="00680C68">
        <w:t>nonimpaired</w:t>
      </w:r>
      <w:proofErr w:type="spellEnd"/>
      <w:r w:rsidR="00680C68">
        <w:t xml:space="preserve"> jobseeker populations, and the dependency of the results presented on these assumptions have not been full assessed. The model here is </w:t>
      </w:r>
      <w:r w:rsidR="00F82329">
        <w:t xml:space="preserve">intended primarily as a pedagogic tool for encouraging clearer thinking about this important </w:t>
      </w:r>
      <w:r w:rsidR="0060605A">
        <w:t>public</w:t>
      </w:r>
      <w:r w:rsidR="00F82329">
        <w:t xml:space="preserve"> health issue. In using a model in this way it is important that the right balance is struck in terms of model sophistication and model accessibility</w:t>
      </w:r>
      <w:r w:rsidR="00680C68">
        <w:t>. If the appropriate balance has not been struck then this is a shortcoming of the model.</w:t>
      </w:r>
    </w:p>
    <w:p w:rsidR="00960E95" w:rsidRDefault="00F028D4" w:rsidP="00960E95">
      <w:pPr>
        <w:pStyle w:val="Heading2"/>
      </w:pPr>
      <w:r>
        <w:t>Relationships with other findings</w:t>
      </w:r>
    </w:p>
    <w:p w:rsidR="00680C68" w:rsidRDefault="00680C68">
      <w:r>
        <w:t xml:space="preserve">This stylised model owes a conceptual debt to work by Beatty, Fothergill and McMillan in relationship to ‘hidden unemployment’, and so its relationship to this research is not coincidental. </w:t>
      </w:r>
      <w:r w:rsidR="00BE5A70">
        <w:fldChar w:fldCharType="begin" w:fldLock="1"/>
      </w:r>
      <w:r w:rsidR="00842ADF">
        <w:instrText>ADDIN CSL_CITATION { "citationItems" : [ { "id" : "ITEM-1", "itemData" : { "DOI" : "10.1080/00343400500289804", "author" : [ { "family" : "Beatty", "given" : "Christina" }, { "family" : "Fothergill", "given" : "Stephen" } ], "container-title" : "Regional Studies", "id" : "ITEM-1", "issue" : "7", "issued" : { "date-parts" : [ [ "2005", "10" ] ] }, "page" : "837-854", "title" : "The diversion from \u2018unemployment\u2019 to \u2018sickness\u2019 across British regions and districts", "type" : "article-journal", "volume" : "39" }, "uris" : [ "http://www.mendeley.com/documents/?uuid=3bbad73b-318e-42d1-aba5-0a70be58a7f0" ] }, { "id" : "ITEM-2", "itemData" : { "DOI" : "10.1080/00343400050178429", "author" : [ { "family" : "Beatty", "given" : "Christina" }, { "family" : "Fothergill", "given" : "Stephen" }, { "family" : "Macmillan", "given" : "Rob" } ], "container-title" : "Regional Studies", "id" : "ITEM-2", "issue" : "7", "issued" : { "date-parts" : [ [ "2000", "10" ] ] }, "page" : "617-630", "title" : "A Theory of Employment, Unemployment and Sickness", "type" : "article-journal", "volume" : "34" }, "uris" : [ "http://www.mendeley.com/documents/?uuid=15342e1d-830b-485c-b091-e0e4cd5a6895" ] } ], "mendeley" : { "previouslyFormattedCitation" : "[12,13]" }, "properties" : { "noteIndex" : 0 }, "schema" : "https://github.com/citation-style-language/schema/raw/master/csl-citation.json" }</w:instrText>
      </w:r>
      <w:r w:rsidR="00BE5A70">
        <w:fldChar w:fldCharType="separate"/>
      </w:r>
      <w:r w:rsidR="00842ADF" w:rsidRPr="00842ADF">
        <w:rPr>
          <w:noProof/>
        </w:rPr>
        <w:t>[12,13]</w:t>
      </w:r>
      <w:r w:rsidR="00BE5A70">
        <w:fldChar w:fldCharType="end"/>
      </w:r>
      <w:r w:rsidR="00BE5A70">
        <w:t xml:space="preserve"> </w:t>
      </w:r>
      <w:r>
        <w:t>This research suggested that, during the early 1990s, there may have been a large number of people in employment whose degree of health impairment was severe enough that</w:t>
      </w:r>
      <w:r w:rsidR="00FA0C54">
        <w:t xml:space="preserve"> they would have met the eligibility criteria for incapacity benefit or invalidity benefit. However, this latent ill health among the working age population only became realised as increased invalidity </w:t>
      </w:r>
      <w:r w:rsidR="00BE5A70">
        <w:t xml:space="preserve">benefit (IVB) </w:t>
      </w:r>
      <w:r w:rsidR="00FA0C54">
        <w:t xml:space="preserve">or incapacity benefit </w:t>
      </w:r>
      <w:r w:rsidR="00BE5A70">
        <w:t xml:space="preserve">(IB) </w:t>
      </w:r>
      <w:r w:rsidR="00FA0C54">
        <w:t xml:space="preserve">claims when the recession of the early 1990s occurred, as less healthy members of the workforce may have been both most likely to be made redundant and least likely to find new employment. Faced with a choice between remaining on unemployment benefits with only limited expectation of finding a new job, or of making a legitimate claim for IVB/IB, which paid more and did not have the same </w:t>
      </w:r>
      <w:proofErr w:type="spellStart"/>
      <w:r w:rsidR="00FA0C54">
        <w:t>jobseeking</w:t>
      </w:r>
      <w:proofErr w:type="spellEnd"/>
      <w:r w:rsidR="00FA0C54">
        <w:t xml:space="preserve"> conditionality, many of the less healthy people laid off during this recession may have made the economically rational choice, and in doing so permanently exited the labour market. </w:t>
      </w:r>
    </w:p>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w:t>
      </w:r>
      <w:r w:rsidR="00BE5A70">
        <w:fldChar w:fldCharType="begin" w:fldLock="1"/>
      </w:r>
      <w:r w:rsidR="00842ADF">
        <w:instrText>ADDIN CSL_CITATION { "citationItems" : [ { "id" : "ITEM-1", "itemData" : { "abstract" : "Objective To see whether adverse relations between social class, health, and economic activity, observed between 1973 and 1993 and previously identified in a 1996 BMJ paper, were still apparent between 1994 and 2009 despite improvements in the general economic climate and overall population health. Design Replication of repeated cross sectional analysis from the original paper, using the same source (the General Household Survey) and occupation coding scheme, but extended from the period 1973-93 to 1973-2009, and including women as well as men. Subjects Men and women aged 20-59 years in each annual survey between 1973 and 2009. Main outcome measures Change over time in class specific rates of employment, unemployment, and economic inactivity within subgroups of respondents. Results Overall employment rates have decreased for men of working age while increasing for working age women. For men in particular, the gradient of these changes seems to depend on occupational group. Over 37 years, the differences in occupational group specific economic inactivity and employment rates between people reporting and those not reporting a limiting long term illness has increased substantially. Conclusion Between 1973 and 2009, the relation between good health and securing and sustaining employment has strengthened for both men and women. For men, this has been due to employment rates decreasing and economic inactivity rates increasing among men with poor health. For women, this has largely been due to a general trend of increased employment and reduced economic inactivity occurring among healthier women but not in women of poorer health. Some evidence suggests that, since 2005, the relation between health, employment, and economic inactivity for women in the top two occupational groups has become more like that for men, with poor health becoming associated with reducing employment rates.", "author" : [ { "family" : "Minton", "given" : "J. W." }, { "family" : "Pickett", "given" : "K. E." }, { "family" : "Dorling", "given" : "D." } ], "container-title" : "BMJ", "id" : "ITEM-1", "issue" : "may09 1", "issued" : { "date-parts" : [ [ "2012", "5", "9" ] ] }, "page" : "e2316-e2316", "title" : "Health, employment, and economic change, 1973-2009: repeated cross sectional study", "type" : "article-journal", "volume" : "344" }, "uris" : [ "http://www.mendeley.com/documents/?uuid=241da44a-6d8f-4d20-9300-370eeab9e2d7" ] } ], "mendeley" : { "previouslyFormattedCitation" : "[1]" }, "properties" : { "noteIndex" : 0 }, "schema" : "https://github.com/citation-style-language/schema/raw/master/csl-citation.json" }</w:instrText>
      </w:r>
      <w:r w:rsidR="00BE5A70">
        <w:fldChar w:fldCharType="separate"/>
      </w:r>
      <w:r w:rsidR="00BE5A70" w:rsidRPr="00BE5A70">
        <w:rPr>
          <w:noProof/>
        </w:rPr>
        <w:t>[1]</w:t>
      </w:r>
      <w:r w:rsidR="00BE5A70">
        <w:fldChar w:fldCharType="end"/>
      </w:r>
      <w:r w:rsidR="00BE5A70">
        <w:t xml:space="preserve"> </w:t>
      </w:r>
      <w:r>
        <w:t xml:space="preserve">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w:t>
      </w:r>
      <w:r>
        <w:lastRenderedPageBreak/>
        <w:t xml:space="preserve">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w:t>
      </w:r>
    </w:p>
    <w:p w:rsidR="00960E95" w:rsidRDefault="00960E95" w:rsidP="00960E95">
      <w:pPr>
        <w:pStyle w:val="Heading2"/>
      </w:pPr>
      <w:r>
        <w:t>Implications for research</w:t>
      </w:r>
    </w:p>
    <w:p w:rsidR="00FF0FA6" w:rsidRDefault="00D474C2">
      <w:r>
        <w:t xml:space="preserve">This paper has illustrated the potential benefits </w:t>
      </w:r>
      <w:r w:rsidR="00BC2283">
        <w:t xml:space="preserve">of a formal, simulation based approach to thinking about epidemiological processes and aetiology in complex social systems. </w:t>
      </w:r>
      <w:r w:rsidR="0060605A">
        <w:t>This model is very simple, and could be made more sophisticated by incorporating potentially relevant individual level effects such as in-group selection preferences</w:t>
      </w:r>
      <w:r w:rsidR="00570E92">
        <w:t xml:space="preserve">, social networks, microeconomic incentives, and gender differences. </w:t>
      </w:r>
      <w:r w:rsidR="00570E92">
        <w:fldChar w:fldCharType="begin" w:fldLock="1"/>
      </w:r>
      <w:r w:rsidR="00842ADF">
        <w:instrText>ADDIN CSL_CITATION { "citationItems" : [ { "id" : "ITEM-1", "itemData" : { "author" : [ { "family" : "Becker", "given" : "GS" } ], "container-title" : "Nobel Lectures, Economics 1991-1995", "editor" : [ { "family" : "Persson", "given" : "Torsten" } ], "id" : "ITEM-1", "issued" : { "date-parts" : [ [ "1997" ] ] }, "publisher" : "World Scientific Publishing", "publisher-place" : "Singapore", "title" : "The Economic Way of Looking at Life", "type" : "chapter" }, "uris" : [ "http://www.mendeley.com/documents/?uuid=4cf6fdad-79b2-4a14-a853-0f6f5da25d91" ] }, { "id" : "ITEM-2", "itemData" : { "DOI" : "10.1068/c0851", "author" : [ { "family" : "Beatty", "given" : "Christina" }, { "family" : "Fothergill", "given" : "Steve" }, { "family" : "Houston", "given" : "Donald" }, { "family" : "Powell", "given" : "Ryan" }, { "family" : "Sissons", "given" : "Paul" } ], "container-title" : "Environment and Planning C: Government and Policy", "id" : "ITEM-2", "issue" : "6", "issued" : { "date-parts" : [ [ "2009" ] ] }, "page" : "958-974", "title" : "A gendered theory of employment, unemployment, and sickness", "type" : "article-journal", "volume" : "27" }, "uris" : [ "http://www.mendeley.com/documents/?uuid=d020d859-bdf5-4b3c-9abd-0e0a08082c81" ] }, { "id" : "ITEM-3", "itemData" : { "abstract" : "Analysis of social networks is suggested as a tool for linking micro and macro levels of sociological theory. The procedure is illustrated by elaboration of the macro implications of one aspect of small-scale interaction: the strenght of dyadic ties. It is argued that the degree of overlap of two individuals' friendship networks varies directly with the strength of their tie to one another. The impact of this principle on diffusion of influence and information, mobility aopportunity, and community organisation is explored. Stress is laid on the cohesive power of weak ties. Most network models deal, implicitly, with strong ties, thus confining their applicability to small, well defined groups. Emphasis on weak ties lends itself to discussion of relations between groups and to analysis of segments of social structure not easily defined in terms of primary groups.", "author" : [ { "family" : "Granovetter", "given" : "Mark S." } ], "container-title" : "American Journal of Sociology", "id" : "ITEM-3", "issue" : "6", "issued" : { "date-parts" : [ [ "1973" ] ] }, "page" : "1360-1380", "title" : "The Strength of Weak Ties", "type" : "article-journal", "volume" : "78" }, "uris" : [ "http://www.mendeley.com/documents/?uuid=e56c4a76-5f5c-4991-a82a-2781e74524ff" ] }, { "id" : "ITEM-4", "itemData" : { "author" : [ { "family" : "Tajfel", "given" : "H" } ], "id" : "ITEM-4", "issued" : { "date-parts" : [ [ "1978" ] ] }, "publisher" : "Academic Press", "publisher-place" : "London", "title" : "Differentiation between social groups: Studies in the social psychology of intergroup relations", "type" : "book" }, "uris" : [ "http://www.mendeley.com/documents/?uuid=00157b5c-84ff-444f-b28f-fc9cd606dc9f" ] }, { "id" : "ITEM-5", "itemData" : { "DOI" : "10.1136/jech.2010.116418", "abstract" : "Ethnic inequalities in health status and healthcare remain substantial in Europe, and addressing them is becoming a priority. However, the best way to respond to such a challenge is, as yet, unclear. The research community is grappling with the contribution of socio-economic discrimination to ethnic inequalities.", "author" : [ { "family" : "Lorant", "given" : "Vincent" }, { "family" : "Bhopal", "given" : "Raj S" } ], "container-title" : "Journal of epidemiology and community health", "id" : "ITEM-5", "issue" : "8", "issued" : { "date-parts" : [ [ "2011", "8" ] ] }, "page" : "671-5", "title" : "Ethnicity, socio-economic status and health research: insights from and implications of Charles Tilly's theory of Durable Inequality.", "type" : "article-journal", "volume" : "65" }, "uris" : [ "http://www.mendeley.com/documents/?uuid=92470ede-ac8b-4b97-8696-0d0688eaf6c6" ] } ], "mendeley" : { "previouslyFormattedCitation" : "[14\u201318]" }, "properties" : { "noteIndex" : 0 }, "schema" : "https://github.com/citation-style-language/schema/raw/master/csl-citation.json" }</w:instrText>
      </w:r>
      <w:r w:rsidR="00570E92">
        <w:fldChar w:fldCharType="separate"/>
      </w:r>
      <w:r w:rsidR="00842ADF" w:rsidRPr="00842ADF">
        <w:rPr>
          <w:noProof/>
        </w:rPr>
        <w:t>[14–18]</w:t>
      </w:r>
      <w:r w:rsidR="00570E92">
        <w:fldChar w:fldCharType="end"/>
      </w:r>
      <w:r>
        <w:t xml:space="preserve"> </w:t>
      </w:r>
      <w:r w:rsidR="00570E92">
        <w:t>The model could then incorporate available empirical evidence</w:t>
      </w:r>
      <w:r w:rsidR="00570E92" w:rsidRPr="00570E92">
        <w:t xml:space="preserve"> </w:t>
      </w:r>
      <w:r w:rsidR="00570E92">
        <w:t xml:space="preserve">and calibrated by comparing the predictions of the model to reality over periods where the data are already known.  </w:t>
      </w:r>
      <w:r w:rsidR="00842ADF">
        <w:fldChar w:fldCharType="begin" w:fldLock="1"/>
      </w:r>
      <w:r w:rsidR="00842ADF">
        <w:instrText>ADDIN CSL_CITATION { "citationItems" : [ { "id" : "ITEM-1", "itemData" : { "DOI" : "10.1136/jech.2010.114520", "abstract" : "Quantifying the potential health benefits of improvements in the nutritional quality of the average diet of a population would provide evidence for resource allocation between population-level interventions aimed at reducing chronic disease.", "author" : [ { "family" : "Scarborough", "given" : "Peter" }, { "family" : "Nnoaham", "given" : "Kelechi E" }, { "family" : "Clarke", "given" : "Dushy" }, { "family" : "Capewell", "given" : "Simon" }, { "family" : "Rayner", "given" : "Mike" } ], "container-title" : "Journal of epidemiology and community health", "id" : "ITEM-1", "issue" : "5", "issued" : { "date-parts" : [ [ "2012", "5" ] ] }, "page" : "420-6", "title" : "Modelling the impact of a healthy diet on cardiovascular disease and cancer mortality.", "type" : "article-journal", "volume" : "66" }, "uris" : [ "http://www.mendeley.com/documents/?uuid=75c1fb32-24a4-4974-a3b9-5f38d4dfd3da" ] }, { "id" : "ITEM-2", "itemData" : { "DOI" : "10.1136/jech.2011.143586.25", "abstract" : "Objective Levels of mortality and morbidity due to Coronary Heart Disease (CHD) vary considerably over the regions of Wales. The Welsh Assembly has a stated aim to reduce CHD mortality over the whole of Wales while at the same time aiming for a more rapid improvement in the most deprived areas. The main thrust of the work presented here is the examination through microsimulation of inequities in coronary healthcare over the whole of Wales and the determination of how emphasis and facilities may be changed in order to reduce inequities.Data and design International Classification of Diseases (ICD) codes were used to obtain all CHD admissions and CHD related deaths in Wales from 2003 to 2007. In addition all CHD related hospital procedures were identified. This combined data set was used to estimate parameters and distributions for the care pathways that would follow an individual being admitted with a CHD event.Methods We used demographic details of the age-sex-deprivation structure of the Welsh population to simulate the 1.7 million people aged 35 and over in Wales. They were followed up for a 5-year period in which we simulated the incidence of CHD and treatment pathways in the non-fatal cases. We validated the model by comparing it with actual data on mortality and the use of procedures and then experimented with changing the level of resources to simulate ways of reducing mortality and more especially inequity in mortality.Results Analysis of the data showed that the CHD related death rate is over 1.6 times higher for the most deprived fifth of the population when compared to the least deprived fifth. Within the model, initial interventions chosen to combat this inequity were found to reduce the number of CHD deaths by up to 18% which represents roughly 1000 lives a year in Wales.Conclusion Various interventions were modelled to increase the resources available for revascularisation procedures. These showed that significant reductions in mortality could be achieved and, if targeted correctly, should reduce inequities. But given the number of deaths that occur before patients reach hospital, in which there is a strong socioeconomic gradient, there are also major potential savings to be achieved by targeting people at high risk. ", "author" : [ { "family" : "Watkins", "given" : "WJ*" }, { "family" : "Roberts", "given" : "Z E S" }, { "family" : "Dunstan", "given" : "F D" }, { "family" : "King", "given" : "W" }, { "family" : "Fone", "given" : "D L" } ], "container-title" : "Journal of Epidemiology and Community Health ", "id" : "ITEM-2", "issue" : "Suppl 2 ", "issued" : { "date-parts" : [ [ "2011", "9", "1" ] ] }, "note" : "10.1136/jech.2011.143586.25 ", "page" : "A11-A12", "title" : "An investigation through microsimulation of the inequities in Coronary Heart Disease (CHD) mortality and morbidity in Wales ", "type" : "article-journal", "volume" : "65 " }, "uris" : [ "http://www.mendeley.com/documents/?uuid=41dd8243-005e-455e-b319-7760f7ce5200" ] }, { "id" : "ITEM-3", "itemData" : { "ISBN" : "1544-8444", "abstract" : "In this paper we present an account of a 3-year research project that is aimed at dynamically simulating urban and regional populations in Britain. In the context of this project we are using data from the 1991 UK Census Small Area Statistics (SAS) and the British Household Panel Survey (BHPS), in order to dynamically simulate the entire population of Britain into 2021 at the small area level. This paper discusses the structure, aims and objectives of SimBritain and presents some preliminary results. Firstly, alternative spatial microsimulation strategies are discussed and their advantages and drawbacks are outlined. Next, the difficulties in calibrating and validating dynamic microsimulation models such as SimBritain are highlighted and ways to tackle these difficulties are explored. The paper then presents some model outputs that highlight the geographical variation of a wide range of socio-economic variables through the 1990s. Moreover, in light of these outputs, the paper discusses the potential of SimBritain for policy analysis. Copyright (c) 2005 John Wiley &amp; Sons, Ltd.", "author" : [ { "family" : "Ballas", "given" : "D" }, { "family" : "Clarke", "given" : "G" }, { "family" : "Dorling", "given" : "D" }, { "family" : "Eyre", "given" : "H" }, { "family" : "Thomas", "given" : "B" }, { "family" : "Rossiter", "given" : "D" } ], "container-title" : "Population Space and Place", "id" : "ITEM-3", "issue" : "1", "issued" : { "date-parts" : [ [ "2005" ] ] }, "note" : "ISI Document Delivery No.: 002OB\nTimes Cited: 1\nCited Reference Count: 38\nCited References: \n     BALLAS D, 1999, 4 INT C GEOC FRED VI\n     BALLAS D, 2000, COMPUTERS ENV URBAN, V24, P305\n     BALLAS D, 2001, 41 EUR REG SCI ASS E\n     BALLAS D, 2001, ENVIRON PLANN C, V19, P587\n     BALLAS D, 2001, GEOGR ANAL, V33, P291\n     BALLAS D, 2001, THESIS U LEEDS SCH G\n     BALLAS D, 2004, GEOGRAPHY MATTERS SI\n     BIRKIN M, 1988, ENVIRON PLANN A, V20, P1645\n     BIRKIN M, 1989, REG STUD, V23, P535\n     BIRKIN M, 1996, MICROSIMULATION URBA, P10\n     BRIMBLECOMBE N, 2000, SOC SCI MED, V50, P861\n     CALDWELL SB, 1996, MICROSIMULATION URBA, P88\n     CALDWELL SB, 1998, ENVIRON PLANN C, V16, P707\n     DALE A, 1993, 1991 CENSUS USERS GU\n     DORLING D, 1994, AREA, V26, P327\n     DORLING D, 1996, PROGR PLANNING, V45, P67\n     DULEY CJ, 1988, 515 U LEEDS SCH GEOG\n     EVANDROU M, 2001, SAGE SIMULATING SOC\n     HANCOCK R, 1992, MICROSIMULATION MODE\n     HANCOCK R, 1992, MICROSIMULATION MODE, P33\n     HOLM E, 1996, MICROSIMUALTION URBA, P164\n     HOLT CC, 1957, 52 CARN I, V52\n     HOOIMEIJER P, 1996, MICROSIMULATION URBA, P28\n     JOHNSTON R, 1998, PARLIAMENT AFF, V51, P131\n     KRUPP H, 1986, MICROANALYTIC SIMULA, P31\n     MARSH C, 1992, POPULATION TRENDS, V69, P17\n     MARSH C, 1993, 1991 CENSUS USERS GU, P295\n     MERTZ J, 1991, INT J FORECASTING, V7, P77\n     MIDDLETON E, 1995, CENSUS USERS HDB, P337\n     MITCHELL R, 2000, INEQUALITIES LIFE DA\n     SUTHERLAND H, 2001, ECON J, V111, P85\n     TAYLOR MF, 2001, BRIT HOUSEHOLD PANEL, A\n     VENCATASAWMY CP, 1999, 11 THEOR QUANT GEOG\n     VOAS D, 2000, INT J POPULATION GEO, V6, P349\n     WIEMERS E, 2003, ANN M POP ASS AM PAA\n     WILLIAMSON P, 1992, THESIS U LEEDS SCH G\n     WILLIAMSON P, 1996, MICROSIMULATION URBA, P64\n     WILLIAMSON P, 1998, ENVIRON PLANN A, V30, P785", "page" : "13-34", "title" : "SimBritain: A spatial microsimulation approach to population dynamics", "type" : "article-journal", "volume" : "11" }, "uris" : [ "http://www.mendeley.com/documents/?uuid=c35475fe-481a-4648-8264-cdc70846858f" ] } ], "mendeley" : { "previouslyFormattedCitation" : "[19\u201321]" }, "properties" : { "noteIndex" : 0 }, "schema" : "https://github.com/citation-style-language/schema/raw/master/csl-citation.json" }</w:instrText>
      </w:r>
      <w:r w:rsidR="00842ADF">
        <w:fldChar w:fldCharType="separate"/>
      </w:r>
      <w:r w:rsidR="00842ADF" w:rsidRPr="00842ADF">
        <w:rPr>
          <w:noProof/>
        </w:rPr>
        <w:t>[19–21]</w:t>
      </w:r>
      <w:r w:rsidR="00842ADF">
        <w:fldChar w:fldCharType="end"/>
      </w:r>
      <w:r w:rsidR="0060605A">
        <w:t xml:space="preserve"> </w:t>
      </w:r>
      <w:r w:rsidR="00842ADF">
        <w:t xml:space="preserve">In </w:t>
      </w:r>
      <w:r w:rsidR="00570E92">
        <w:t xml:space="preserve">other epidemiological areas, the </w:t>
      </w:r>
      <w:r>
        <w:t xml:space="preserve">spirit of the approach described here could be followed to encourage health researchers to adopt the stylized and pedagogic modelling approach for exploring other complex health science areas. </w:t>
      </w:r>
    </w:p>
    <w:p w:rsidR="00960E95" w:rsidRDefault="00960E95" w:rsidP="00960E95">
      <w:pPr>
        <w:pStyle w:val="Heading2"/>
      </w:pPr>
      <w:r>
        <w:t>Implications for practice</w:t>
      </w:r>
    </w:p>
    <w:p w:rsidR="00DF39EF" w:rsidRDefault="00BC2283">
      <w:r>
        <w:t>If the assumptions and simplifications involved in producing this model are accepted as</w:t>
      </w:r>
      <w:r w:rsidR="004C40E2">
        <w:t xml:space="preserve"> adequate representations of the relationship between health and labour market selection, then a practical implication of this research is that a side effect of making labour markets more competitive may have been to increase health-based social exclusion. As a result of this, </w:t>
      </w:r>
      <w:r w:rsidR="00DF39EF">
        <w:t xml:space="preserve">adequate management of limiting long-term illnesses may be central to helping to reduce the degree of labour market exclusion experienced by people of working age and in poorer health. In highly competitive labour markets, even slight health disadvantages may mean that, although </w:t>
      </w:r>
      <w:r w:rsidR="00F028D4">
        <w:t xml:space="preserve">people may still be </w:t>
      </w:r>
      <w:r w:rsidR="00DF39EF">
        <w:t xml:space="preserve">capable of performing a wide range of work to a good standard, they would be unlikely to be given the opportunity to demonstrate </w:t>
      </w:r>
      <w:r w:rsidR="00F028D4">
        <w:t xml:space="preserve">that aptitude. Because of this, </w:t>
      </w:r>
      <w:r w:rsidR="00385CD1">
        <w:t xml:space="preserve">‘supply side’ welfare reform interventions may be unlikely to succeed unless combined with significant ‘demand side’ interventions for incentivising employers to consider candidates they might otherwise reject. </w:t>
      </w: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39787B" w:rsidRDefault="0039787B" w:rsidP="0039787B">
      <w:pPr>
        <w:pStyle w:val="Heading1"/>
      </w:pPr>
      <w:r>
        <w:lastRenderedPageBreak/>
        <w:t>Bibliography</w:t>
      </w:r>
    </w:p>
    <w:p w:rsidR="00842ADF" w:rsidRPr="00842ADF" w:rsidRDefault="0039787B">
      <w:pPr>
        <w:pStyle w:val="NormalWeb"/>
        <w:ind w:left="640" w:hanging="640"/>
        <w:divId w:val="538008271"/>
        <w:rPr>
          <w:rFonts w:ascii="Calibri" w:hAnsi="Calibri" w:cs="Calibri"/>
          <w:sz w:val="22"/>
        </w:rPr>
      </w:pPr>
      <w:r>
        <w:fldChar w:fldCharType="begin" w:fldLock="1"/>
      </w:r>
      <w:r>
        <w:instrText xml:space="preserve">ADDIN Mendeley Bibliography CSL_BIBLIOGRAPHY </w:instrText>
      </w:r>
      <w:r>
        <w:fldChar w:fldCharType="separate"/>
      </w:r>
      <w:r w:rsidR="00842ADF" w:rsidRPr="00842ADF">
        <w:rPr>
          <w:rFonts w:ascii="Calibri" w:hAnsi="Calibri" w:cs="Calibri"/>
          <w:sz w:val="22"/>
        </w:rPr>
        <w:t xml:space="preserve">1 </w:t>
      </w:r>
      <w:r w:rsidR="00842ADF" w:rsidRPr="00842ADF">
        <w:rPr>
          <w:rFonts w:ascii="Calibri" w:hAnsi="Calibri" w:cs="Calibri"/>
          <w:sz w:val="22"/>
        </w:rPr>
        <w:tab/>
        <w:t xml:space="preserve">Minton JW, Pickett KE, Dorling D. Health, employment, and economic change, 1973-2009: repeated cross sectional study. </w:t>
      </w:r>
      <w:r w:rsidR="00842ADF" w:rsidRPr="00842ADF">
        <w:rPr>
          <w:rFonts w:ascii="Calibri" w:hAnsi="Calibri" w:cs="Calibri"/>
          <w:i/>
          <w:iCs/>
          <w:sz w:val="22"/>
        </w:rPr>
        <w:t>BMJ</w:t>
      </w:r>
      <w:r w:rsidR="00842ADF" w:rsidRPr="00842ADF">
        <w:rPr>
          <w:rFonts w:ascii="Calibri" w:hAnsi="Calibri" w:cs="Calibri"/>
          <w:sz w:val="22"/>
        </w:rPr>
        <w:t xml:space="preserve"> 2012;</w:t>
      </w:r>
      <w:r w:rsidR="00842ADF" w:rsidRPr="00842ADF">
        <w:rPr>
          <w:rFonts w:ascii="Calibri" w:hAnsi="Calibri" w:cs="Calibri"/>
          <w:b/>
          <w:bCs/>
          <w:sz w:val="22"/>
        </w:rPr>
        <w:t>344</w:t>
      </w:r>
      <w:r w:rsidR="00842ADF" w:rsidRPr="00842ADF">
        <w:rPr>
          <w:rFonts w:ascii="Calibri" w:hAnsi="Calibri" w:cs="Calibri"/>
          <w:sz w:val="22"/>
        </w:rPr>
        <w:t>:e2316–e2316.</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2 </w:t>
      </w:r>
      <w:r w:rsidRPr="00842ADF">
        <w:rPr>
          <w:rFonts w:ascii="Calibri" w:hAnsi="Calibri" w:cs="Calibri"/>
          <w:sz w:val="22"/>
        </w:rPr>
        <w:tab/>
        <w:t xml:space="preserve">Bartley M. Economic inactivity and health. </w:t>
      </w:r>
      <w:r w:rsidRPr="00842ADF">
        <w:rPr>
          <w:rFonts w:ascii="Calibri" w:hAnsi="Calibri" w:cs="Calibri"/>
          <w:i/>
          <w:iCs/>
          <w:sz w:val="22"/>
        </w:rPr>
        <w:t>BMJ</w:t>
      </w:r>
      <w:r w:rsidRPr="00842ADF">
        <w:rPr>
          <w:rFonts w:ascii="Calibri" w:hAnsi="Calibri" w:cs="Calibri"/>
          <w:sz w:val="22"/>
        </w:rPr>
        <w:t xml:space="preserve"> 2012;</w:t>
      </w:r>
      <w:r w:rsidRPr="00842ADF">
        <w:rPr>
          <w:rFonts w:ascii="Calibri" w:hAnsi="Calibri" w:cs="Calibri"/>
          <w:b/>
          <w:bCs/>
          <w:sz w:val="22"/>
        </w:rPr>
        <w:t>344</w:t>
      </w:r>
      <w:r w:rsidRPr="00842ADF">
        <w:rPr>
          <w:rFonts w:ascii="Calibri" w:hAnsi="Calibri" w:cs="Calibri"/>
          <w:sz w:val="22"/>
        </w:rPr>
        <w:t>:e2858–e2858.</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3 </w:t>
      </w:r>
      <w:r w:rsidRPr="00842ADF">
        <w:rPr>
          <w:rFonts w:ascii="Calibri" w:hAnsi="Calibri" w:cs="Calibri"/>
          <w:sz w:val="22"/>
        </w:rPr>
        <w:tab/>
        <w:t xml:space="preserve">Kunst AE, Bos V, Lahelma E, </w:t>
      </w:r>
      <w:r w:rsidRPr="00842ADF">
        <w:rPr>
          <w:rFonts w:ascii="Calibri" w:hAnsi="Calibri" w:cs="Calibri"/>
          <w:i/>
          <w:iCs/>
          <w:sz w:val="22"/>
        </w:rPr>
        <w:t>et al.</w:t>
      </w:r>
      <w:r w:rsidRPr="00842ADF">
        <w:rPr>
          <w:rFonts w:ascii="Calibri" w:hAnsi="Calibri" w:cs="Calibri"/>
          <w:sz w:val="22"/>
        </w:rPr>
        <w:t xml:space="preserve"> Trends in socioeconomic inequalities in self-assessed health in 10 European countries. </w:t>
      </w:r>
      <w:r w:rsidRPr="00842ADF">
        <w:rPr>
          <w:rFonts w:ascii="Calibri" w:hAnsi="Calibri" w:cs="Calibri"/>
          <w:i/>
          <w:iCs/>
          <w:sz w:val="22"/>
        </w:rPr>
        <w:t>International journal of epidemiology</w:t>
      </w:r>
      <w:r w:rsidRPr="00842ADF">
        <w:rPr>
          <w:rFonts w:ascii="Calibri" w:hAnsi="Calibri" w:cs="Calibri"/>
          <w:sz w:val="22"/>
        </w:rPr>
        <w:t xml:space="preserve"> 2005;</w:t>
      </w:r>
      <w:r w:rsidRPr="00842ADF">
        <w:rPr>
          <w:rFonts w:ascii="Calibri" w:hAnsi="Calibri" w:cs="Calibri"/>
          <w:b/>
          <w:bCs/>
          <w:sz w:val="22"/>
        </w:rPr>
        <w:t>34</w:t>
      </w:r>
      <w:r w:rsidRPr="00842ADF">
        <w:rPr>
          <w:rFonts w:ascii="Calibri" w:hAnsi="Calibri" w:cs="Calibri"/>
          <w:sz w:val="22"/>
        </w:rPr>
        <w:t>:295–305.</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4 </w:t>
      </w:r>
      <w:r w:rsidRPr="00842ADF">
        <w:rPr>
          <w:rFonts w:ascii="Calibri" w:hAnsi="Calibri" w:cs="Calibri"/>
          <w:sz w:val="22"/>
        </w:rPr>
        <w:tab/>
        <w:t>Team RDC. R: A language and environment for statistical computing. 2011.http://www.r-project.org/.</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5 </w:t>
      </w:r>
      <w:r w:rsidRPr="00842ADF">
        <w:rPr>
          <w:rFonts w:ascii="Calibri" w:hAnsi="Calibri" w:cs="Calibri"/>
          <w:sz w:val="22"/>
        </w:rPr>
        <w:tab/>
        <w:t xml:space="preserve">Sarkar D. </w:t>
      </w:r>
      <w:r w:rsidRPr="00842ADF">
        <w:rPr>
          <w:rFonts w:ascii="Calibri" w:hAnsi="Calibri" w:cs="Calibri"/>
          <w:i/>
          <w:iCs/>
          <w:sz w:val="22"/>
        </w:rPr>
        <w:t>Lattice: Multivariate Data Visualization with R.</w:t>
      </w:r>
      <w:r w:rsidRPr="00842ADF">
        <w:rPr>
          <w:rFonts w:ascii="Calibri" w:hAnsi="Calibri" w:cs="Calibri"/>
          <w:sz w:val="22"/>
        </w:rPr>
        <w:t xml:space="preserve"> New York: : Springer 2008.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6 </w:t>
      </w:r>
      <w:r w:rsidRPr="00842ADF">
        <w:rPr>
          <w:rFonts w:ascii="Calibri" w:hAnsi="Calibri" w:cs="Calibri"/>
          <w:sz w:val="22"/>
        </w:rPr>
        <w:tab/>
        <w:t xml:space="preserve">NICE. Guide to the methods of technoloy appraisal. 2008.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7 </w:t>
      </w:r>
      <w:r w:rsidRPr="00842ADF">
        <w:rPr>
          <w:rFonts w:ascii="Calibri" w:hAnsi="Calibri" w:cs="Calibri"/>
          <w:sz w:val="22"/>
        </w:rPr>
        <w:tab/>
        <w:t xml:space="preserve">Nettle D. Why are there social gradients in preventative health behavior? A perspective from behavioral ecology. </w:t>
      </w:r>
      <w:r w:rsidRPr="00842ADF">
        <w:rPr>
          <w:rFonts w:ascii="Calibri" w:hAnsi="Calibri" w:cs="Calibri"/>
          <w:i/>
          <w:iCs/>
          <w:sz w:val="22"/>
        </w:rPr>
        <w:t>PloS one</w:t>
      </w:r>
      <w:r w:rsidRPr="00842ADF">
        <w:rPr>
          <w:rFonts w:ascii="Calibri" w:hAnsi="Calibri" w:cs="Calibri"/>
          <w:sz w:val="22"/>
        </w:rPr>
        <w:t xml:space="preserve"> 2010;</w:t>
      </w:r>
      <w:r w:rsidRPr="00842ADF">
        <w:rPr>
          <w:rFonts w:ascii="Calibri" w:hAnsi="Calibri" w:cs="Calibri"/>
          <w:b/>
          <w:bCs/>
          <w:sz w:val="22"/>
        </w:rPr>
        <w:t>5</w:t>
      </w:r>
      <w:r w:rsidRPr="00842ADF">
        <w:rPr>
          <w:rFonts w:ascii="Calibri" w:hAnsi="Calibri" w:cs="Calibri"/>
          <w:sz w:val="22"/>
        </w:rPr>
        <w:t>:e13371.</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8 </w:t>
      </w:r>
      <w:r w:rsidRPr="00842ADF">
        <w:rPr>
          <w:rFonts w:ascii="Calibri" w:hAnsi="Calibri" w:cs="Calibri"/>
          <w:sz w:val="22"/>
        </w:rPr>
        <w:tab/>
        <w:t xml:space="preserve">Gilbert N, Troitzsch KG. </w:t>
      </w:r>
      <w:r w:rsidRPr="00842ADF">
        <w:rPr>
          <w:rFonts w:ascii="Calibri" w:hAnsi="Calibri" w:cs="Calibri"/>
          <w:i/>
          <w:iCs/>
          <w:sz w:val="22"/>
        </w:rPr>
        <w:t>Simulation for the Social Scientist</w:t>
      </w:r>
      <w:r w:rsidRPr="00842ADF">
        <w:rPr>
          <w:rFonts w:ascii="Calibri" w:hAnsi="Calibri" w:cs="Calibri"/>
          <w:sz w:val="22"/>
        </w:rPr>
        <w:t>. Second Edi. Maidenhead: : OUP 2005. http://cress.soc.surrey.ac.uk/s4ss/S4SS-sample-chapter.pdf</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9 </w:t>
      </w:r>
      <w:r w:rsidRPr="00842ADF">
        <w:rPr>
          <w:rFonts w:ascii="Calibri" w:hAnsi="Calibri" w:cs="Calibri"/>
          <w:sz w:val="22"/>
        </w:rPr>
        <w:tab/>
        <w:t xml:space="preserve">Schelling T. </w:t>
      </w:r>
      <w:r w:rsidRPr="00842ADF">
        <w:rPr>
          <w:rFonts w:ascii="Calibri" w:hAnsi="Calibri" w:cs="Calibri"/>
          <w:i/>
          <w:iCs/>
          <w:sz w:val="22"/>
        </w:rPr>
        <w:t>Micromotives and Macrobehaviour</w:t>
      </w:r>
      <w:r w:rsidRPr="00842ADF">
        <w:rPr>
          <w:rFonts w:ascii="Calibri" w:hAnsi="Calibri" w:cs="Calibri"/>
          <w:sz w:val="22"/>
        </w:rPr>
        <w:t xml:space="preserve">. London: : V W Norton &amp; Company Ltd. 1978.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10 </w:t>
      </w:r>
      <w:r w:rsidRPr="00842ADF">
        <w:rPr>
          <w:rFonts w:ascii="Calibri" w:hAnsi="Calibri" w:cs="Calibri"/>
          <w:sz w:val="22"/>
        </w:rPr>
        <w:tab/>
        <w:t xml:space="preserve">Ormerod P. </w:t>
      </w:r>
      <w:r w:rsidRPr="00842ADF">
        <w:rPr>
          <w:rFonts w:ascii="Calibri" w:hAnsi="Calibri" w:cs="Calibri"/>
          <w:i/>
          <w:iCs/>
          <w:sz w:val="22"/>
        </w:rPr>
        <w:t>Why Most Things Fail: Evolution, Extinction and Economics</w:t>
      </w:r>
      <w:r w:rsidRPr="00842ADF">
        <w:rPr>
          <w:rFonts w:ascii="Calibri" w:hAnsi="Calibri" w:cs="Calibri"/>
          <w:sz w:val="22"/>
        </w:rPr>
        <w:t xml:space="preserve">. London: : Faber &amp; Faber 2005.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11 </w:t>
      </w:r>
      <w:r w:rsidRPr="00842ADF">
        <w:rPr>
          <w:rFonts w:ascii="Calibri" w:hAnsi="Calibri" w:cs="Calibri"/>
          <w:sz w:val="22"/>
        </w:rPr>
        <w:tab/>
        <w:t xml:space="preserve">Nisbett R, Wilson TD. Telling More Than We Can Know: Verbal Reports on Mental processes. </w:t>
      </w:r>
      <w:r w:rsidRPr="00842ADF">
        <w:rPr>
          <w:rFonts w:ascii="Calibri" w:hAnsi="Calibri" w:cs="Calibri"/>
          <w:i/>
          <w:iCs/>
          <w:sz w:val="22"/>
        </w:rPr>
        <w:t>Psychological Review</w:t>
      </w:r>
      <w:r w:rsidRPr="00842ADF">
        <w:rPr>
          <w:rFonts w:ascii="Calibri" w:hAnsi="Calibri" w:cs="Calibri"/>
          <w:sz w:val="22"/>
        </w:rPr>
        <w:t xml:space="preserve"> 1977;</w:t>
      </w:r>
      <w:r w:rsidRPr="00842ADF">
        <w:rPr>
          <w:rFonts w:ascii="Calibri" w:hAnsi="Calibri" w:cs="Calibri"/>
          <w:b/>
          <w:bCs/>
          <w:sz w:val="22"/>
        </w:rPr>
        <w:t>84</w:t>
      </w:r>
      <w:r w:rsidRPr="00842ADF">
        <w:rPr>
          <w:rFonts w:ascii="Calibri" w:hAnsi="Calibri" w:cs="Calibri"/>
          <w:sz w:val="22"/>
        </w:rPr>
        <w:t>:231–59.</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12 </w:t>
      </w:r>
      <w:r w:rsidRPr="00842ADF">
        <w:rPr>
          <w:rFonts w:ascii="Calibri" w:hAnsi="Calibri" w:cs="Calibri"/>
          <w:sz w:val="22"/>
        </w:rPr>
        <w:tab/>
        <w:t xml:space="preserve">Beatty C, Fothergill S. The diversion from “unemployment” to “sickness” across British regions and districts. </w:t>
      </w:r>
      <w:r w:rsidRPr="00842ADF">
        <w:rPr>
          <w:rFonts w:ascii="Calibri" w:hAnsi="Calibri" w:cs="Calibri"/>
          <w:i/>
          <w:iCs/>
          <w:sz w:val="22"/>
        </w:rPr>
        <w:t>Regional Studies</w:t>
      </w:r>
      <w:r w:rsidRPr="00842ADF">
        <w:rPr>
          <w:rFonts w:ascii="Calibri" w:hAnsi="Calibri" w:cs="Calibri"/>
          <w:sz w:val="22"/>
        </w:rPr>
        <w:t xml:space="preserve"> 2005;</w:t>
      </w:r>
      <w:r w:rsidRPr="00842ADF">
        <w:rPr>
          <w:rFonts w:ascii="Calibri" w:hAnsi="Calibri" w:cs="Calibri"/>
          <w:b/>
          <w:bCs/>
          <w:sz w:val="22"/>
        </w:rPr>
        <w:t>39</w:t>
      </w:r>
      <w:r w:rsidRPr="00842ADF">
        <w:rPr>
          <w:rFonts w:ascii="Calibri" w:hAnsi="Calibri" w:cs="Calibri"/>
          <w:sz w:val="22"/>
        </w:rPr>
        <w:t>:837–54.</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13 </w:t>
      </w:r>
      <w:r w:rsidRPr="00842ADF">
        <w:rPr>
          <w:rFonts w:ascii="Calibri" w:hAnsi="Calibri" w:cs="Calibri"/>
          <w:sz w:val="22"/>
        </w:rPr>
        <w:tab/>
        <w:t xml:space="preserve">Beatty C, Fothergill S, Macmillan R. A Theory of Employment, Unemployment and Sickness. </w:t>
      </w:r>
      <w:r w:rsidRPr="00842ADF">
        <w:rPr>
          <w:rFonts w:ascii="Calibri" w:hAnsi="Calibri" w:cs="Calibri"/>
          <w:i/>
          <w:iCs/>
          <w:sz w:val="22"/>
        </w:rPr>
        <w:t>Regional Studies</w:t>
      </w:r>
      <w:r w:rsidRPr="00842ADF">
        <w:rPr>
          <w:rFonts w:ascii="Calibri" w:hAnsi="Calibri" w:cs="Calibri"/>
          <w:sz w:val="22"/>
        </w:rPr>
        <w:t xml:space="preserve"> 2000;</w:t>
      </w:r>
      <w:r w:rsidRPr="00842ADF">
        <w:rPr>
          <w:rFonts w:ascii="Calibri" w:hAnsi="Calibri" w:cs="Calibri"/>
          <w:b/>
          <w:bCs/>
          <w:sz w:val="22"/>
        </w:rPr>
        <w:t>34</w:t>
      </w:r>
      <w:r w:rsidRPr="00842ADF">
        <w:rPr>
          <w:rFonts w:ascii="Calibri" w:hAnsi="Calibri" w:cs="Calibri"/>
          <w:sz w:val="22"/>
        </w:rPr>
        <w:t>:617–30.</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14 </w:t>
      </w:r>
      <w:r w:rsidRPr="00842ADF">
        <w:rPr>
          <w:rFonts w:ascii="Calibri" w:hAnsi="Calibri" w:cs="Calibri"/>
          <w:sz w:val="22"/>
        </w:rPr>
        <w:tab/>
        <w:t xml:space="preserve">Becker G. The Economic Way of Looking at Life. In: Persson T, ed. </w:t>
      </w:r>
      <w:r w:rsidRPr="00842ADF">
        <w:rPr>
          <w:rFonts w:ascii="Calibri" w:hAnsi="Calibri" w:cs="Calibri"/>
          <w:i/>
          <w:iCs/>
          <w:sz w:val="22"/>
        </w:rPr>
        <w:t>Nobel Lectures, Economics 1991-1995</w:t>
      </w:r>
      <w:r w:rsidRPr="00842ADF">
        <w:rPr>
          <w:rFonts w:ascii="Calibri" w:hAnsi="Calibri" w:cs="Calibri"/>
          <w:sz w:val="22"/>
        </w:rPr>
        <w:t>. Singapore: : World Scientific Publishing 1997. http://www.nobelprize.org/nobel_prizes/economics/laureates/1992/becker-lecture.html</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15 </w:t>
      </w:r>
      <w:r w:rsidRPr="00842ADF">
        <w:rPr>
          <w:rFonts w:ascii="Calibri" w:hAnsi="Calibri" w:cs="Calibri"/>
          <w:sz w:val="22"/>
        </w:rPr>
        <w:tab/>
        <w:t xml:space="preserve">Beatty C, Fothergill S, Houston D, </w:t>
      </w:r>
      <w:r w:rsidRPr="00842ADF">
        <w:rPr>
          <w:rFonts w:ascii="Calibri" w:hAnsi="Calibri" w:cs="Calibri"/>
          <w:i/>
          <w:iCs/>
          <w:sz w:val="22"/>
        </w:rPr>
        <w:t>et al.</w:t>
      </w:r>
      <w:r w:rsidRPr="00842ADF">
        <w:rPr>
          <w:rFonts w:ascii="Calibri" w:hAnsi="Calibri" w:cs="Calibri"/>
          <w:sz w:val="22"/>
        </w:rPr>
        <w:t xml:space="preserve"> A gendered theory of employment, unemployment, and sickness. </w:t>
      </w:r>
      <w:r w:rsidRPr="00842ADF">
        <w:rPr>
          <w:rFonts w:ascii="Calibri" w:hAnsi="Calibri" w:cs="Calibri"/>
          <w:i/>
          <w:iCs/>
          <w:sz w:val="22"/>
        </w:rPr>
        <w:t>Environment and Planning C: Government and Policy</w:t>
      </w:r>
      <w:r w:rsidRPr="00842ADF">
        <w:rPr>
          <w:rFonts w:ascii="Calibri" w:hAnsi="Calibri" w:cs="Calibri"/>
          <w:sz w:val="22"/>
        </w:rPr>
        <w:t xml:space="preserve"> 2009;</w:t>
      </w:r>
      <w:r w:rsidRPr="00842ADF">
        <w:rPr>
          <w:rFonts w:ascii="Calibri" w:hAnsi="Calibri" w:cs="Calibri"/>
          <w:b/>
          <w:bCs/>
          <w:sz w:val="22"/>
        </w:rPr>
        <w:t>27</w:t>
      </w:r>
      <w:r w:rsidRPr="00842ADF">
        <w:rPr>
          <w:rFonts w:ascii="Calibri" w:hAnsi="Calibri" w:cs="Calibri"/>
          <w:sz w:val="22"/>
        </w:rPr>
        <w:t>:958–74.</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16 </w:t>
      </w:r>
      <w:r w:rsidRPr="00842ADF">
        <w:rPr>
          <w:rFonts w:ascii="Calibri" w:hAnsi="Calibri" w:cs="Calibri"/>
          <w:sz w:val="22"/>
        </w:rPr>
        <w:tab/>
        <w:t xml:space="preserve">Granovetter MS. The Strength of Weak Ties. </w:t>
      </w:r>
      <w:r w:rsidRPr="00842ADF">
        <w:rPr>
          <w:rFonts w:ascii="Calibri" w:hAnsi="Calibri" w:cs="Calibri"/>
          <w:i/>
          <w:iCs/>
          <w:sz w:val="22"/>
        </w:rPr>
        <w:t>American Journal of Sociology</w:t>
      </w:r>
      <w:r w:rsidRPr="00842ADF">
        <w:rPr>
          <w:rFonts w:ascii="Calibri" w:hAnsi="Calibri" w:cs="Calibri"/>
          <w:sz w:val="22"/>
        </w:rPr>
        <w:t xml:space="preserve"> 1973;</w:t>
      </w:r>
      <w:r w:rsidRPr="00842ADF">
        <w:rPr>
          <w:rFonts w:ascii="Calibri" w:hAnsi="Calibri" w:cs="Calibri"/>
          <w:b/>
          <w:bCs/>
          <w:sz w:val="22"/>
        </w:rPr>
        <w:t>78</w:t>
      </w:r>
      <w:r w:rsidRPr="00842ADF">
        <w:rPr>
          <w:rFonts w:ascii="Calibri" w:hAnsi="Calibri" w:cs="Calibri"/>
          <w:sz w:val="22"/>
        </w:rPr>
        <w:t>:1360–80.</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17 </w:t>
      </w:r>
      <w:r w:rsidRPr="00842ADF">
        <w:rPr>
          <w:rFonts w:ascii="Calibri" w:hAnsi="Calibri" w:cs="Calibri"/>
          <w:sz w:val="22"/>
        </w:rPr>
        <w:tab/>
        <w:t xml:space="preserve">Tajfel H. </w:t>
      </w:r>
      <w:r w:rsidRPr="00842ADF">
        <w:rPr>
          <w:rFonts w:ascii="Calibri" w:hAnsi="Calibri" w:cs="Calibri"/>
          <w:i/>
          <w:iCs/>
          <w:sz w:val="22"/>
        </w:rPr>
        <w:t>Differentiation between social groups: Studies in the social psychology of intergroup relations</w:t>
      </w:r>
      <w:r w:rsidRPr="00842ADF">
        <w:rPr>
          <w:rFonts w:ascii="Calibri" w:hAnsi="Calibri" w:cs="Calibri"/>
          <w:sz w:val="22"/>
        </w:rPr>
        <w:t xml:space="preserve">. London: : Academic Press 1978. </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lastRenderedPageBreak/>
        <w:t xml:space="preserve">18 </w:t>
      </w:r>
      <w:r w:rsidRPr="00842ADF">
        <w:rPr>
          <w:rFonts w:ascii="Calibri" w:hAnsi="Calibri" w:cs="Calibri"/>
          <w:sz w:val="22"/>
        </w:rPr>
        <w:tab/>
        <w:t xml:space="preserve">Lorant V, Bhopal RS. Ethnicity, socio-economic status and health research: insights from and implications of Charles Tilly’s theory of Durable Inequality. </w:t>
      </w:r>
      <w:r w:rsidRPr="00842ADF">
        <w:rPr>
          <w:rFonts w:ascii="Calibri" w:hAnsi="Calibri" w:cs="Calibri"/>
          <w:i/>
          <w:iCs/>
          <w:sz w:val="22"/>
        </w:rPr>
        <w:t>Journal of epidemiology and community health</w:t>
      </w:r>
      <w:r w:rsidRPr="00842ADF">
        <w:rPr>
          <w:rFonts w:ascii="Calibri" w:hAnsi="Calibri" w:cs="Calibri"/>
          <w:sz w:val="22"/>
        </w:rPr>
        <w:t xml:space="preserve"> 2011;</w:t>
      </w:r>
      <w:r w:rsidRPr="00842ADF">
        <w:rPr>
          <w:rFonts w:ascii="Calibri" w:hAnsi="Calibri" w:cs="Calibri"/>
          <w:b/>
          <w:bCs/>
          <w:sz w:val="22"/>
        </w:rPr>
        <w:t>65</w:t>
      </w:r>
      <w:r w:rsidRPr="00842ADF">
        <w:rPr>
          <w:rFonts w:ascii="Calibri" w:hAnsi="Calibri" w:cs="Calibri"/>
          <w:sz w:val="22"/>
        </w:rPr>
        <w:t>:671–5.</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19 </w:t>
      </w:r>
      <w:r w:rsidRPr="00842ADF">
        <w:rPr>
          <w:rFonts w:ascii="Calibri" w:hAnsi="Calibri" w:cs="Calibri"/>
          <w:sz w:val="22"/>
        </w:rPr>
        <w:tab/>
        <w:t xml:space="preserve">Scarborough P, Nnoaham KE, Clarke D, </w:t>
      </w:r>
      <w:r w:rsidRPr="00842ADF">
        <w:rPr>
          <w:rFonts w:ascii="Calibri" w:hAnsi="Calibri" w:cs="Calibri"/>
          <w:i/>
          <w:iCs/>
          <w:sz w:val="22"/>
        </w:rPr>
        <w:t>et al.</w:t>
      </w:r>
      <w:r w:rsidRPr="00842ADF">
        <w:rPr>
          <w:rFonts w:ascii="Calibri" w:hAnsi="Calibri" w:cs="Calibri"/>
          <w:sz w:val="22"/>
        </w:rPr>
        <w:t xml:space="preserve"> Modelling the impact of a healthy diet on cardiovascular disease and cancer mortality. </w:t>
      </w:r>
      <w:r w:rsidRPr="00842ADF">
        <w:rPr>
          <w:rFonts w:ascii="Calibri" w:hAnsi="Calibri" w:cs="Calibri"/>
          <w:i/>
          <w:iCs/>
          <w:sz w:val="22"/>
        </w:rPr>
        <w:t>Journal of epidemiology and community health</w:t>
      </w:r>
      <w:r w:rsidRPr="00842ADF">
        <w:rPr>
          <w:rFonts w:ascii="Calibri" w:hAnsi="Calibri" w:cs="Calibri"/>
          <w:sz w:val="22"/>
        </w:rPr>
        <w:t xml:space="preserve"> 2012;</w:t>
      </w:r>
      <w:r w:rsidRPr="00842ADF">
        <w:rPr>
          <w:rFonts w:ascii="Calibri" w:hAnsi="Calibri" w:cs="Calibri"/>
          <w:b/>
          <w:bCs/>
          <w:sz w:val="22"/>
        </w:rPr>
        <w:t>66</w:t>
      </w:r>
      <w:r w:rsidRPr="00842ADF">
        <w:rPr>
          <w:rFonts w:ascii="Calibri" w:hAnsi="Calibri" w:cs="Calibri"/>
          <w:sz w:val="22"/>
        </w:rPr>
        <w:t>:420–6.</w:t>
      </w:r>
    </w:p>
    <w:p w:rsidR="00842ADF" w:rsidRPr="00842ADF" w:rsidRDefault="00842ADF">
      <w:pPr>
        <w:pStyle w:val="NormalWeb"/>
        <w:ind w:left="640" w:hanging="640"/>
        <w:divId w:val="538008271"/>
        <w:rPr>
          <w:rFonts w:ascii="Calibri" w:hAnsi="Calibri" w:cs="Calibri"/>
          <w:sz w:val="22"/>
        </w:rPr>
      </w:pPr>
      <w:r w:rsidRPr="00842ADF">
        <w:rPr>
          <w:rFonts w:ascii="Calibri" w:hAnsi="Calibri" w:cs="Calibri"/>
          <w:sz w:val="22"/>
        </w:rPr>
        <w:t xml:space="preserve">20 </w:t>
      </w:r>
      <w:r w:rsidRPr="00842ADF">
        <w:rPr>
          <w:rFonts w:ascii="Calibri" w:hAnsi="Calibri" w:cs="Calibri"/>
          <w:sz w:val="22"/>
        </w:rPr>
        <w:tab/>
        <w:t xml:space="preserve">Watkins W, Roberts ZES, Dunstan FD, </w:t>
      </w:r>
      <w:r w:rsidRPr="00842ADF">
        <w:rPr>
          <w:rFonts w:ascii="Calibri" w:hAnsi="Calibri" w:cs="Calibri"/>
          <w:i/>
          <w:iCs/>
          <w:sz w:val="22"/>
        </w:rPr>
        <w:t>et al.</w:t>
      </w:r>
      <w:r w:rsidRPr="00842ADF">
        <w:rPr>
          <w:rFonts w:ascii="Calibri" w:hAnsi="Calibri" w:cs="Calibri"/>
          <w:sz w:val="22"/>
        </w:rPr>
        <w:t xml:space="preserve"> An investigation through microsimulation of the inequities in Coronary Heart Disease (CHD) mortality and morbidity in Wales . </w:t>
      </w:r>
      <w:r w:rsidRPr="00842ADF">
        <w:rPr>
          <w:rFonts w:ascii="Calibri" w:hAnsi="Calibri" w:cs="Calibri"/>
          <w:i/>
          <w:iCs/>
          <w:sz w:val="22"/>
        </w:rPr>
        <w:t xml:space="preserve">Journal of Epidemiology and Community Health </w:t>
      </w:r>
      <w:r w:rsidRPr="00842ADF">
        <w:rPr>
          <w:rFonts w:ascii="Calibri" w:hAnsi="Calibri" w:cs="Calibri"/>
          <w:sz w:val="22"/>
        </w:rPr>
        <w:t>2011;</w:t>
      </w:r>
      <w:r w:rsidRPr="00842ADF">
        <w:rPr>
          <w:rFonts w:ascii="Calibri" w:hAnsi="Calibri" w:cs="Calibri"/>
          <w:b/>
          <w:bCs/>
          <w:sz w:val="22"/>
        </w:rPr>
        <w:t xml:space="preserve">65 </w:t>
      </w:r>
      <w:r w:rsidRPr="00842ADF">
        <w:rPr>
          <w:rFonts w:ascii="Calibri" w:hAnsi="Calibri" w:cs="Calibri"/>
          <w:sz w:val="22"/>
        </w:rPr>
        <w:t>:A11–A12.</w:t>
      </w:r>
    </w:p>
    <w:p w:rsidR="0039787B" w:rsidRDefault="00842ADF" w:rsidP="00C965EA">
      <w:pPr>
        <w:pStyle w:val="NormalWeb"/>
        <w:ind w:left="640" w:hanging="640"/>
      </w:pPr>
      <w:r w:rsidRPr="00842ADF">
        <w:rPr>
          <w:rFonts w:ascii="Calibri" w:hAnsi="Calibri" w:cs="Calibri"/>
          <w:sz w:val="22"/>
        </w:rPr>
        <w:t xml:space="preserve">21 </w:t>
      </w:r>
      <w:r w:rsidRPr="00842ADF">
        <w:rPr>
          <w:rFonts w:ascii="Calibri" w:hAnsi="Calibri" w:cs="Calibri"/>
          <w:sz w:val="22"/>
        </w:rPr>
        <w:tab/>
        <w:t xml:space="preserve">Ballas D, Clarke G, Dorling D, </w:t>
      </w:r>
      <w:r w:rsidRPr="00842ADF">
        <w:rPr>
          <w:rFonts w:ascii="Calibri" w:hAnsi="Calibri" w:cs="Calibri"/>
          <w:i/>
          <w:iCs/>
          <w:sz w:val="22"/>
        </w:rPr>
        <w:t>et al.</w:t>
      </w:r>
      <w:r w:rsidRPr="00842ADF">
        <w:rPr>
          <w:rFonts w:ascii="Calibri" w:hAnsi="Calibri" w:cs="Calibri"/>
          <w:sz w:val="22"/>
        </w:rPr>
        <w:t xml:space="preserve"> SimBritain: A spatial microsimulation approach to population dynamics. </w:t>
      </w:r>
      <w:r w:rsidRPr="00842ADF">
        <w:rPr>
          <w:rFonts w:ascii="Calibri" w:hAnsi="Calibri" w:cs="Calibri"/>
          <w:i/>
          <w:iCs/>
          <w:sz w:val="22"/>
        </w:rPr>
        <w:t>Population Space and Place</w:t>
      </w:r>
      <w:r w:rsidRPr="00842ADF">
        <w:rPr>
          <w:rFonts w:ascii="Calibri" w:hAnsi="Calibri" w:cs="Calibri"/>
          <w:sz w:val="22"/>
        </w:rPr>
        <w:t xml:space="preserve"> 2005</w:t>
      </w:r>
      <w:proofErr w:type="gramStart"/>
      <w:r w:rsidRPr="00842ADF">
        <w:rPr>
          <w:rFonts w:ascii="Calibri" w:hAnsi="Calibri" w:cs="Calibri"/>
          <w:sz w:val="22"/>
        </w:rPr>
        <w:t>;</w:t>
      </w:r>
      <w:r w:rsidRPr="00842ADF">
        <w:rPr>
          <w:rFonts w:ascii="Calibri" w:hAnsi="Calibri" w:cs="Calibri"/>
          <w:b/>
          <w:bCs/>
          <w:sz w:val="22"/>
        </w:rPr>
        <w:t>11</w:t>
      </w:r>
      <w:r w:rsidRPr="00842ADF">
        <w:rPr>
          <w:rFonts w:ascii="Calibri" w:hAnsi="Calibri" w:cs="Calibri"/>
          <w:sz w:val="22"/>
        </w:rPr>
        <w:t>:13</w:t>
      </w:r>
      <w:proofErr w:type="gramEnd"/>
      <w:r w:rsidRPr="00842ADF">
        <w:rPr>
          <w:rFonts w:ascii="Calibri" w:hAnsi="Calibri" w:cs="Calibri"/>
          <w:sz w:val="22"/>
        </w:rPr>
        <w:t xml:space="preserve">–34. </w:t>
      </w:r>
      <w:r w:rsidR="0039787B">
        <w:fldChar w:fldCharType="end"/>
      </w:r>
    </w:p>
    <w:p w:rsidR="0039787B" w:rsidRDefault="0039787B">
      <w:pPr>
        <w:rPr>
          <w:rFonts w:asciiTheme="majorHAnsi" w:eastAsiaTheme="majorEastAsia" w:hAnsiTheme="majorHAnsi" w:cstheme="majorBidi"/>
          <w:b/>
          <w:bCs/>
          <w:color w:val="365F91" w:themeColor="accent1" w:themeShade="BF"/>
          <w:sz w:val="28"/>
          <w:szCs w:val="28"/>
        </w:rPr>
      </w:pPr>
      <w:r>
        <w:br w:type="page"/>
      </w:r>
    </w:p>
    <w:p w:rsidR="00531A88" w:rsidRDefault="00531A88" w:rsidP="00863282">
      <w:pPr>
        <w:spacing w:after="0" w:line="240" w:lineRule="auto"/>
      </w:pPr>
    </w:p>
    <w:sectPr w:rsidR="00531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047B20"/>
    <w:rsid w:val="0007030F"/>
    <w:rsid w:val="00111CE2"/>
    <w:rsid w:val="0016028B"/>
    <w:rsid w:val="001F66CC"/>
    <w:rsid w:val="00231EC4"/>
    <w:rsid w:val="002D4700"/>
    <w:rsid w:val="002E25CC"/>
    <w:rsid w:val="00382A90"/>
    <w:rsid w:val="00385CD1"/>
    <w:rsid w:val="0039787B"/>
    <w:rsid w:val="00400952"/>
    <w:rsid w:val="004C40E2"/>
    <w:rsid w:val="00502E58"/>
    <w:rsid w:val="00531A88"/>
    <w:rsid w:val="00534252"/>
    <w:rsid w:val="00570E92"/>
    <w:rsid w:val="0059571D"/>
    <w:rsid w:val="005A17B4"/>
    <w:rsid w:val="005B2050"/>
    <w:rsid w:val="005B344B"/>
    <w:rsid w:val="005E2349"/>
    <w:rsid w:val="005E5179"/>
    <w:rsid w:val="005E580D"/>
    <w:rsid w:val="0060605A"/>
    <w:rsid w:val="00625887"/>
    <w:rsid w:val="00631686"/>
    <w:rsid w:val="00640B63"/>
    <w:rsid w:val="00680C68"/>
    <w:rsid w:val="00774E8B"/>
    <w:rsid w:val="007A2769"/>
    <w:rsid w:val="007F0135"/>
    <w:rsid w:val="00842ADF"/>
    <w:rsid w:val="00863282"/>
    <w:rsid w:val="008C369E"/>
    <w:rsid w:val="008D5D12"/>
    <w:rsid w:val="00933C20"/>
    <w:rsid w:val="00960E95"/>
    <w:rsid w:val="00970E19"/>
    <w:rsid w:val="009A6871"/>
    <w:rsid w:val="009B1FE0"/>
    <w:rsid w:val="00A34466"/>
    <w:rsid w:val="00A452FB"/>
    <w:rsid w:val="00A52293"/>
    <w:rsid w:val="00A975DC"/>
    <w:rsid w:val="00AE6943"/>
    <w:rsid w:val="00BC2283"/>
    <w:rsid w:val="00BC2531"/>
    <w:rsid w:val="00BE5A70"/>
    <w:rsid w:val="00C10E31"/>
    <w:rsid w:val="00C965EA"/>
    <w:rsid w:val="00D01DB6"/>
    <w:rsid w:val="00D36896"/>
    <w:rsid w:val="00D3712C"/>
    <w:rsid w:val="00D405D3"/>
    <w:rsid w:val="00D474C2"/>
    <w:rsid w:val="00DE7642"/>
    <w:rsid w:val="00DF39EF"/>
    <w:rsid w:val="00E73915"/>
    <w:rsid w:val="00EA2FAF"/>
    <w:rsid w:val="00F028D4"/>
    <w:rsid w:val="00F06BDC"/>
    <w:rsid w:val="00F82329"/>
    <w:rsid w:val="00FA0C54"/>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E25CC"/>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autoRedefine/>
    <w:uiPriority w:val="9"/>
    <w:unhideWhenUsed/>
    <w:qFormat/>
    <w:rsid w:val="002E25C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E580D"/>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5E580D"/>
    <w:rPr>
      <w:rFonts w:asciiTheme="majorHAnsi" w:eastAsiaTheme="majorEastAsia" w:hAnsiTheme="majorHAnsi" w:cstheme="majorBidi"/>
      <w:b/>
      <w:spacing w:val="5"/>
      <w:kern w:val="28"/>
      <w:sz w:val="36"/>
      <w:szCs w:val="52"/>
    </w:rPr>
  </w:style>
  <w:style w:type="character" w:customStyle="1" w:styleId="Heading1Char">
    <w:name w:val="Heading 1 Char"/>
    <w:basedOn w:val="DefaultParagraphFont"/>
    <w:link w:val="Heading1"/>
    <w:uiPriority w:val="9"/>
    <w:rsid w:val="002E25CC"/>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E25CC"/>
    <w:rPr>
      <w:rFonts w:asciiTheme="majorHAnsi" w:eastAsiaTheme="majorEastAsia" w:hAnsiTheme="majorHAnsi" w:cstheme="majorBidi"/>
      <w:b/>
      <w:bCs/>
      <w:color w:val="4F81BD" w:themeColor="accent1"/>
      <w:sz w:val="24"/>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 w:type="paragraph" w:styleId="NormalWeb">
    <w:name w:val="Normal (Web)"/>
    <w:basedOn w:val="Normal"/>
    <w:uiPriority w:val="99"/>
    <w:unhideWhenUsed/>
    <w:rsid w:val="0039787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E25CC"/>
  </w:style>
  <w:style w:type="character" w:styleId="Hyperlink">
    <w:name w:val="Hyperlink"/>
    <w:basedOn w:val="DefaultParagraphFont"/>
    <w:uiPriority w:val="99"/>
    <w:semiHidden/>
    <w:unhideWhenUsed/>
    <w:rsid w:val="002E2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4760">
      <w:bodyDiv w:val="1"/>
      <w:marLeft w:val="0"/>
      <w:marRight w:val="0"/>
      <w:marTop w:val="0"/>
      <w:marBottom w:val="0"/>
      <w:divBdr>
        <w:top w:val="none" w:sz="0" w:space="0" w:color="auto"/>
        <w:left w:val="none" w:sz="0" w:space="0" w:color="auto"/>
        <w:bottom w:val="none" w:sz="0" w:space="0" w:color="auto"/>
        <w:right w:val="none" w:sz="0" w:space="0" w:color="auto"/>
      </w:divBdr>
      <w:divsChild>
        <w:div w:id="1681854244">
          <w:marLeft w:val="0"/>
          <w:marRight w:val="0"/>
          <w:marTop w:val="0"/>
          <w:marBottom w:val="0"/>
          <w:divBdr>
            <w:top w:val="none" w:sz="0" w:space="0" w:color="auto"/>
            <w:left w:val="none" w:sz="0" w:space="0" w:color="auto"/>
            <w:bottom w:val="none" w:sz="0" w:space="0" w:color="auto"/>
            <w:right w:val="none" w:sz="0" w:space="0" w:color="auto"/>
          </w:divBdr>
          <w:divsChild>
            <w:div w:id="254483206">
              <w:marLeft w:val="0"/>
              <w:marRight w:val="0"/>
              <w:marTop w:val="0"/>
              <w:marBottom w:val="0"/>
              <w:divBdr>
                <w:top w:val="none" w:sz="0" w:space="0" w:color="auto"/>
                <w:left w:val="none" w:sz="0" w:space="0" w:color="auto"/>
                <w:bottom w:val="none" w:sz="0" w:space="0" w:color="auto"/>
                <w:right w:val="none" w:sz="0" w:space="0" w:color="auto"/>
              </w:divBdr>
              <w:divsChild>
                <w:div w:id="944919677">
                  <w:marLeft w:val="0"/>
                  <w:marRight w:val="0"/>
                  <w:marTop w:val="0"/>
                  <w:marBottom w:val="0"/>
                  <w:divBdr>
                    <w:top w:val="none" w:sz="0" w:space="0" w:color="auto"/>
                    <w:left w:val="none" w:sz="0" w:space="0" w:color="auto"/>
                    <w:bottom w:val="none" w:sz="0" w:space="0" w:color="auto"/>
                    <w:right w:val="none" w:sz="0" w:space="0" w:color="auto"/>
                  </w:divBdr>
                  <w:divsChild>
                    <w:div w:id="1184054183">
                      <w:marLeft w:val="0"/>
                      <w:marRight w:val="0"/>
                      <w:marTop w:val="0"/>
                      <w:marBottom w:val="0"/>
                      <w:divBdr>
                        <w:top w:val="none" w:sz="0" w:space="0" w:color="auto"/>
                        <w:left w:val="none" w:sz="0" w:space="0" w:color="auto"/>
                        <w:bottom w:val="none" w:sz="0" w:space="0" w:color="auto"/>
                        <w:right w:val="none" w:sz="0" w:space="0" w:color="auto"/>
                      </w:divBdr>
                      <w:divsChild>
                        <w:div w:id="684399630">
                          <w:marLeft w:val="0"/>
                          <w:marRight w:val="0"/>
                          <w:marTop w:val="0"/>
                          <w:marBottom w:val="0"/>
                          <w:divBdr>
                            <w:top w:val="none" w:sz="0" w:space="0" w:color="auto"/>
                            <w:left w:val="none" w:sz="0" w:space="0" w:color="auto"/>
                            <w:bottom w:val="none" w:sz="0" w:space="0" w:color="auto"/>
                            <w:right w:val="none" w:sz="0" w:space="0" w:color="auto"/>
                          </w:divBdr>
                          <w:divsChild>
                            <w:div w:id="1770006592">
                              <w:marLeft w:val="0"/>
                              <w:marRight w:val="0"/>
                              <w:marTop w:val="0"/>
                              <w:marBottom w:val="0"/>
                              <w:divBdr>
                                <w:top w:val="none" w:sz="0" w:space="0" w:color="auto"/>
                                <w:left w:val="none" w:sz="0" w:space="0" w:color="auto"/>
                                <w:bottom w:val="none" w:sz="0" w:space="0" w:color="auto"/>
                                <w:right w:val="none" w:sz="0" w:space="0" w:color="auto"/>
                              </w:divBdr>
                              <w:divsChild>
                                <w:div w:id="985741807">
                                  <w:marLeft w:val="0"/>
                                  <w:marRight w:val="0"/>
                                  <w:marTop w:val="0"/>
                                  <w:marBottom w:val="0"/>
                                  <w:divBdr>
                                    <w:top w:val="none" w:sz="0" w:space="0" w:color="auto"/>
                                    <w:left w:val="none" w:sz="0" w:space="0" w:color="auto"/>
                                    <w:bottom w:val="none" w:sz="0" w:space="0" w:color="auto"/>
                                    <w:right w:val="none" w:sz="0" w:space="0" w:color="auto"/>
                                  </w:divBdr>
                                  <w:divsChild>
                                    <w:div w:id="1685014886">
                                      <w:marLeft w:val="0"/>
                                      <w:marRight w:val="0"/>
                                      <w:marTop w:val="0"/>
                                      <w:marBottom w:val="0"/>
                                      <w:divBdr>
                                        <w:top w:val="none" w:sz="0" w:space="0" w:color="auto"/>
                                        <w:left w:val="none" w:sz="0" w:space="0" w:color="auto"/>
                                        <w:bottom w:val="none" w:sz="0" w:space="0" w:color="auto"/>
                                        <w:right w:val="none" w:sz="0" w:space="0" w:color="auto"/>
                                      </w:divBdr>
                                      <w:divsChild>
                                        <w:div w:id="193813834">
                                          <w:marLeft w:val="0"/>
                                          <w:marRight w:val="0"/>
                                          <w:marTop w:val="0"/>
                                          <w:marBottom w:val="0"/>
                                          <w:divBdr>
                                            <w:top w:val="none" w:sz="0" w:space="0" w:color="auto"/>
                                            <w:left w:val="none" w:sz="0" w:space="0" w:color="auto"/>
                                            <w:bottom w:val="none" w:sz="0" w:space="0" w:color="auto"/>
                                            <w:right w:val="none" w:sz="0" w:space="0" w:color="auto"/>
                                          </w:divBdr>
                                          <w:divsChild>
                                            <w:div w:id="1607732642">
                                              <w:marLeft w:val="0"/>
                                              <w:marRight w:val="0"/>
                                              <w:marTop w:val="0"/>
                                              <w:marBottom w:val="0"/>
                                              <w:divBdr>
                                                <w:top w:val="none" w:sz="0" w:space="0" w:color="auto"/>
                                                <w:left w:val="none" w:sz="0" w:space="0" w:color="auto"/>
                                                <w:bottom w:val="none" w:sz="0" w:space="0" w:color="auto"/>
                                                <w:right w:val="none" w:sz="0" w:space="0" w:color="auto"/>
                                              </w:divBdr>
                                              <w:divsChild>
                                                <w:div w:id="264928368">
                                                  <w:marLeft w:val="0"/>
                                                  <w:marRight w:val="0"/>
                                                  <w:marTop w:val="0"/>
                                                  <w:marBottom w:val="0"/>
                                                  <w:divBdr>
                                                    <w:top w:val="none" w:sz="0" w:space="0" w:color="auto"/>
                                                    <w:left w:val="none" w:sz="0" w:space="0" w:color="auto"/>
                                                    <w:bottom w:val="none" w:sz="0" w:space="0" w:color="auto"/>
                                                    <w:right w:val="none" w:sz="0" w:space="0" w:color="auto"/>
                                                  </w:divBdr>
                                                  <w:divsChild>
                                                    <w:div w:id="538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17C7-FFC5-4675-A74A-40F4A2BD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7268</Words>
  <Characters>41434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2012-08-27T19:35:00Z</dcterms:created>
  <dcterms:modified xsi:type="dcterms:W3CDTF">2012-10-08T14:39:00Z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http://www.zotero.org/styles/journal-of-epidemiology-community-health</vt:lpwstr>
  </property>
  <property fmtid="{D5CDD505-2E9C-101B-9397-08002B2CF9AE}" pid="5" name="Mendeley Recent Style Id 0_1">
    <vt:lpwstr>http://www.zotero.org/styles/asa</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http://www.zotero.org/styles/journal-of-epidemiology-community-health</vt:lpwstr>
  </property>
  <property fmtid="{D5CDD505-2E9C-101B-9397-08002B2CF9AE}" pid="24" name="Mendeley Recent Style Name 9_1">
    <vt:lpwstr>Journal of Epidemiology &amp; Community Health</vt:lpwstr>
  </property>
</Properties>
</file>