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B50A3B" w:rsidRDefault="000464D6" w:rsidP="000464D6">
      <w:pPr>
        <w:pStyle w:val="Heading1"/>
        <w:numPr>
          <w:ilvl w:val="0"/>
          <w:numId w:val="0"/>
        </w:numPr>
        <w:ind w:left="432" w:hanging="432"/>
      </w:pPr>
      <w:bookmarkStart w:id="0" w:name="_Ref234163477"/>
      <w:bookmarkStart w:id="1" w:name="_Toc265328628"/>
      <w:r w:rsidRPr="00B50A3B">
        <w:rPr>
          <w:b w:val="0"/>
        </w:rPr>
        <w:t>Modelling the relationship between health and employability: can nonlinearities explain the rise in male UK working age economic inactivity?</w:t>
      </w:r>
    </w:p>
    <w:p w:rsidR="000464D6" w:rsidRPr="00B50A3B" w:rsidRDefault="00AE350E" w:rsidP="00AE350E">
      <w:pPr>
        <w:pStyle w:val="Heading1"/>
        <w:numPr>
          <w:ilvl w:val="0"/>
          <w:numId w:val="0"/>
        </w:numPr>
        <w:ind w:left="432" w:hanging="432"/>
      </w:pPr>
      <w:r w:rsidRPr="00B50A3B">
        <w:t>Abstract</w:t>
      </w:r>
    </w:p>
    <w:p w:rsidR="00AE350E" w:rsidRPr="00B50A3B" w:rsidRDefault="00897A0B">
      <w:pPr>
        <w:spacing w:line="276" w:lineRule="auto"/>
        <w:jc w:val="left"/>
        <w:rPr>
          <w:rFonts w:asciiTheme="majorHAnsi" w:eastAsiaTheme="majorEastAsia" w:hAnsiTheme="majorHAnsi" w:cstheme="majorBidi"/>
          <w:b/>
          <w:bCs/>
          <w:sz w:val="28"/>
          <w:szCs w:val="28"/>
        </w:rPr>
      </w:pPr>
      <w:r>
        <w:t xml:space="preserve">Rates of economic inactivity and health-related benefit uptake increased substantially for men of working age in the UK during the 1980s and 1990s. Rates tended to rise during recessions, but then not decrease once the recessions were over. I present a simple microsimulation model that indicates that the relationship between health and employability may be nonlinear, with slight deficits in health leading to very large disadvantages in employability. The extent of disadvantage is severely compounded by increased competition for jobs. I conclude that, if this nonlinear relationship exists then it largely explains the trends observed, and indicates that substantial demand-side interventions would be necessary to substantially affect them.  </w:t>
      </w:r>
      <w:r w:rsidR="00AE350E" w:rsidRPr="00B50A3B">
        <w:br w:type="page"/>
      </w:r>
    </w:p>
    <w:p w:rsidR="00AE350E" w:rsidRPr="00B50A3B" w:rsidRDefault="00AE350E" w:rsidP="00AE350E">
      <w:pPr>
        <w:pStyle w:val="Heading1"/>
        <w:numPr>
          <w:ilvl w:val="0"/>
          <w:numId w:val="0"/>
        </w:numPr>
      </w:pPr>
      <w:r w:rsidRPr="00B50A3B">
        <w:lastRenderedPageBreak/>
        <w:t>Main text</w:t>
      </w:r>
    </w:p>
    <w:p w:rsidR="00AE350E" w:rsidRPr="00B50A3B" w:rsidRDefault="00AE350E" w:rsidP="00AE350E">
      <w:pPr>
        <w:pStyle w:val="Heading2"/>
        <w:numPr>
          <w:ilvl w:val="0"/>
          <w:numId w:val="0"/>
        </w:numPr>
      </w:pPr>
      <w:r w:rsidRPr="00B50A3B">
        <w:t>Introduction</w:t>
      </w:r>
    </w:p>
    <w:p w:rsidR="00AE350E" w:rsidRPr="00B50A3B" w:rsidRDefault="006D51BF" w:rsidP="00AE350E">
      <w:r w:rsidRPr="00B50A3B">
        <w:t>Within the UK</w:t>
      </w:r>
      <w:r w:rsidR="00AE350E" w:rsidRPr="00B50A3B">
        <w:t xml:space="preserve"> the economic </w:t>
      </w:r>
      <w:r w:rsidR="00901A34" w:rsidRPr="00B50A3B">
        <w:t>in</w:t>
      </w:r>
      <w:r w:rsidR="00AE350E" w:rsidRPr="00B50A3B">
        <w:t xml:space="preserve">activity rate </w:t>
      </w:r>
      <w:r w:rsidR="007F1BFF" w:rsidRPr="00B50A3B">
        <w:t xml:space="preserve">of </w:t>
      </w:r>
      <w:r w:rsidR="00AE350E" w:rsidRPr="00B50A3B">
        <w:t xml:space="preserve">working age </w:t>
      </w:r>
      <w:r w:rsidRPr="00B50A3B">
        <w:t xml:space="preserve">males </w:t>
      </w:r>
      <w:r w:rsidR="00AE350E" w:rsidRPr="00B50A3B">
        <w:t xml:space="preserve">has increased substantially </w:t>
      </w:r>
      <w:r w:rsidRPr="00B50A3B">
        <w:t>over the last three decades</w:t>
      </w:r>
      <w:r w:rsidR="002B4289" w:rsidRPr="00B50A3B">
        <w:fldChar w:fldCharType="begin"/>
      </w:r>
      <w:r w:rsidR="00665CD2">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002B4289" w:rsidRPr="00B50A3B">
        <w:fldChar w:fldCharType="separate"/>
      </w:r>
      <w:r w:rsidR="00166D95" w:rsidRPr="00166D95">
        <w:t>(Faggio and Nickell, 2005)</w:t>
      </w:r>
      <w:r w:rsidR="002B4289" w:rsidRPr="00B50A3B">
        <w:fldChar w:fldCharType="end"/>
      </w:r>
      <w:r w:rsidR="007F1BFF" w:rsidRPr="00B50A3B">
        <w:t xml:space="preserve"> and is high in many other developed world nations.</w:t>
      </w:r>
      <w:r w:rsidR="002B4289" w:rsidRPr="00B50A3B">
        <w:fldChar w:fldCharType="begin"/>
      </w:r>
      <w:r w:rsidR="00665CD2">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002B4289" w:rsidRPr="00B50A3B">
        <w:fldChar w:fldCharType="separate"/>
      </w:r>
      <w:r w:rsidR="00166D95" w:rsidRPr="00166D95">
        <w:t>(Weir, 2003)</w:t>
      </w:r>
      <w:r w:rsidR="002B4289" w:rsidRPr="00B50A3B">
        <w:fldChar w:fldCharType="end"/>
      </w:r>
      <w:r w:rsidR="00AE350E" w:rsidRPr="00B50A3B">
        <w:t xml:space="preserve"> </w:t>
      </w:r>
      <w:r w:rsidR="007F1BFF" w:rsidRPr="00B50A3B">
        <w:t>T</w:t>
      </w:r>
      <w:r w:rsidR="00AE350E" w:rsidRPr="00B50A3B">
        <w:t>he proportion of the male population claiming long-term sickness benefits (invalidity benefits, incapacity benefits, and employment and support allowance) has more than doubled.</w:t>
      </w:r>
      <w:r w:rsidR="002B4289"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665CD2">
        <w:instrText xml:space="preserve"> ADDIN EN.CITE </w:instrText>
      </w:r>
      <w:r w:rsidR="00665CD2">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665CD2">
        <w:instrText xml:space="preserve"> ADDIN EN.CITE.DATA </w:instrText>
      </w:r>
      <w:r w:rsidR="00665CD2">
        <w:fldChar w:fldCharType="end"/>
      </w:r>
      <w:r w:rsidR="002B4289" w:rsidRPr="00B50A3B">
        <w:fldChar w:fldCharType="separate"/>
      </w:r>
      <w:r w:rsidR="00166D95" w:rsidRPr="00166D95">
        <w:t>(Freud, 2007; McVicar, 2006; Moncrieff and Pomerleau, 2000)</w:t>
      </w:r>
      <w:r w:rsidR="002B4289" w:rsidRPr="00B50A3B">
        <w:fldChar w:fldCharType="end"/>
      </w:r>
      <w:r w:rsidR="00AE350E" w:rsidRPr="00B50A3B">
        <w:t xml:space="preserve"> Despite this, </w:t>
      </w:r>
      <w:r w:rsidR="00901A34" w:rsidRPr="00B50A3B">
        <w:t>self-reported measures suggest health has not declined during this period</w:t>
      </w:r>
      <w:r w:rsidR="00AE350E" w:rsidRPr="00B50A3B">
        <w:t>.</w:t>
      </w:r>
      <w:r w:rsidR="002B4289" w:rsidRPr="00B50A3B">
        <w:fldChar w:fldCharType="begin"/>
      </w:r>
      <w:r w:rsidR="00665CD2">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2B4289" w:rsidRPr="00B50A3B">
        <w:fldChar w:fldCharType="separate"/>
      </w:r>
      <w:r w:rsidR="00166D95" w:rsidRPr="00166D95">
        <w:t>(Kunst et al., 2005)</w:t>
      </w:r>
      <w:r w:rsidR="002B4289" w:rsidRPr="00B50A3B">
        <w:fldChar w:fldCharType="end"/>
      </w:r>
      <w:r w:rsidR="00901A34" w:rsidRPr="00B50A3B">
        <w:t xml:space="preserve"> </w:t>
      </w:r>
      <w:r w:rsidR="00573EC8" w:rsidRPr="00B50A3B">
        <w:t>L</w:t>
      </w:r>
      <w:r w:rsidR="00901A34" w:rsidRPr="00B50A3B">
        <w:t>ike unemployment rates, male invalidity benefit (IVB) and incapacity benefit (IB) rates during the 1980s and 1990s tended to increase during periods of recession, but unlike unemployment rates did not</w:t>
      </w:r>
      <w:r w:rsidR="00573EC8" w:rsidRPr="00B50A3B">
        <w:t xml:space="preserve"> then</w:t>
      </w:r>
      <w:r w:rsidR="00901A34" w:rsidRPr="00B50A3B">
        <w:t xml:space="preserve"> subsequently decrease once the recessions had ended.</w:t>
      </w:r>
      <w:r w:rsidR="002B4289" w:rsidRPr="00B50A3B">
        <w:fldChar w:fldCharType="begin"/>
      </w:r>
      <w:r w:rsidR="00665CD2">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002B4289" w:rsidRPr="00B50A3B">
        <w:fldChar w:fldCharType="separate"/>
      </w:r>
      <w:r w:rsidR="00166D95" w:rsidRPr="00166D95">
        <w:t>(McVicar, 2006)</w:t>
      </w:r>
      <w:r w:rsidR="002B4289" w:rsidRPr="00B50A3B">
        <w:fldChar w:fldCharType="end"/>
      </w:r>
      <w:r w:rsidR="00901A34" w:rsidRPr="00B50A3B">
        <w:t xml:space="preserve">  </w:t>
      </w:r>
    </w:p>
    <w:p w:rsidR="00AE350E" w:rsidRPr="00B50A3B" w:rsidRDefault="00AE350E" w:rsidP="00AE350E">
      <w:r w:rsidRPr="00B50A3B">
        <w:t xml:space="preserve">Both the New Labour and </w:t>
      </w:r>
      <w:r w:rsidR="00F810F4" w:rsidRPr="00B50A3B">
        <w:t xml:space="preserve">Coalition </w:t>
      </w:r>
      <w:r w:rsidRPr="00B50A3B">
        <w:t>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reenter the labour market and get a job</w:t>
      </w:r>
      <w:r w:rsidR="0089320C" w:rsidRPr="00B50A3B">
        <w:t>.</w:t>
      </w:r>
      <w:r w:rsidR="002B4289"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665CD2">
        <w:instrText xml:space="preserve"> ADDIN EN.CITE </w:instrText>
      </w:r>
      <w:r w:rsidR="00665CD2">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665CD2">
        <w:instrText xml:space="preserve"> ADDIN EN.CITE.DATA </w:instrText>
      </w:r>
      <w:r w:rsidR="00665CD2">
        <w:fldChar w:fldCharType="end"/>
      </w:r>
      <w:r w:rsidR="002B4289" w:rsidRPr="00B50A3B">
        <w:fldChar w:fldCharType="separate"/>
      </w:r>
      <w:r w:rsidR="00166D95" w:rsidRPr="00166D95">
        <w:t>(Black, 2008; Coalition, 2010; Freud, 2007)</w:t>
      </w:r>
      <w:r w:rsidR="002B4289" w:rsidRPr="00B50A3B">
        <w:fldChar w:fldCharType="end"/>
      </w:r>
      <w:r w:rsidR="00F810F4" w:rsidRPr="00B50A3B">
        <w:t xml:space="preserve"> </w:t>
      </w:r>
      <w:r w:rsidRPr="00B50A3B">
        <w:t>Despite early evidence for the most employment-focused of these schemes, Pathways to Work, appearing encouraging</w:t>
      </w:r>
      <w:r w:rsidR="002B4289" w:rsidRPr="00B50A3B">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665CD2">
        <w:instrText xml:space="preserve"> ADDIN EN.CITE </w:instrText>
      </w:r>
      <w:r w:rsidR="00665CD2">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665CD2">
        <w:instrText xml:space="preserve"> ADDIN EN.CITE.DATA </w:instrText>
      </w:r>
      <w:r w:rsidR="00665CD2">
        <w:fldChar w:fldCharType="end"/>
      </w:r>
      <w:r w:rsidR="002B4289" w:rsidRPr="00B50A3B">
        <w:fldChar w:fldCharType="separate"/>
      </w:r>
      <w:r w:rsidR="00166D95" w:rsidRPr="00166D95">
        <w:t>(Adam et al., 2006; Blyth, 2006; OECD, 2005)</w:t>
      </w:r>
      <w:r w:rsidR="002B4289" w:rsidRPr="00B50A3B">
        <w:fldChar w:fldCharType="end"/>
      </w:r>
      <w:r w:rsidR="00573EC8" w:rsidRPr="00B50A3B">
        <w:t>,</w:t>
      </w:r>
      <w:r w:rsidRPr="00B50A3B">
        <w:t xml:space="preserve"> later evidence suggested the scheme had only very limited longer-term effectiveness</w:t>
      </w:r>
      <w:r w:rsidR="002B4289" w:rsidRPr="00B50A3B">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665CD2">
        <w:instrText xml:space="preserve"> ADDIN EN.CITE </w:instrText>
      </w:r>
      <w:r w:rsidR="00665CD2">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665CD2">
        <w:instrText xml:space="preserve"> ADDIN EN.CITE.DATA </w:instrText>
      </w:r>
      <w:r w:rsidR="00665CD2">
        <w:fldChar w:fldCharType="end"/>
      </w:r>
      <w:r w:rsidR="002B4289" w:rsidRPr="00B50A3B">
        <w:fldChar w:fldCharType="separate"/>
      </w:r>
      <w:r w:rsidR="00166D95" w:rsidRPr="00166D95">
        <w:t>(Bewley et al., 2007; Bewley et al., 2008; DWP, 2009)</w:t>
      </w:r>
      <w:r w:rsidR="002B4289" w:rsidRPr="00B50A3B">
        <w:fldChar w:fldCharType="end"/>
      </w:r>
      <w:r w:rsidRPr="00B50A3B">
        <w:t xml:space="preserve"> and was not cost effective</w:t>
      </w:r>
      <w:r w:rsidR="00F810F4" w:rsidRPr="00B50A3B">
        <w:t>.</w:t>
      </w:r>
      <w:r w:rsidR="002B4289" w:rsidRPr="00B50A3B">
        <w:fldChar w:fldCharType="begin"/>
      </w:r>
      <w:r w:rsidR="00B50A3B">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002B4289" w:rsidRPr="00B50A3B">
        <w:fldChar w:fldCharType="separate"/>
      </w:r>
      <w:r w:rsidR="00166D95" w:rsidRPr="00166D95">
        <w:t>(Adam et al., 2008; Morse, 2010)</w:t>
      </w:r>
      <w:r w:rsidR="002B4289" w:rsidRPr="00B50A3B">
        <w:fldChar w:fldCharType="end"/>
      </w:r>
      <w:r w:rsidR="00F810F4" w:rsidRPr="00B50A3B">
        <w:t xml:space="preserve"> The Coalition government currently plans to replace Pathways to Work with a new initiative, The Work Programme, by Summer 2011.</w:t>
      </w:r>
      <w:r w:rsidR="002B4289" w:rsidRPr="00B50A3B">
        <w:fldChar w:fldCharType="begin"/>
      </w:r>
      <w:r w:rsidR="00665CD2">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002B4289" w:rsidRPr="00B50A3B">
        <w:fldChar w:fldCharType="separate"/>
      </w:r>
      <w:r w:rsidR="00166D95" w:rsidRPr="00166D95">
        <w:t>(Easton, 2011; Simmonds, 2011)</w:t>
      </w:r>
      <w:r w:rsidR="002B4289" w:rsidRPr="00B50A3B">
        <w:fldChar w:fldCharType="end"/>
      </w:r>
      <w:r w:rsidR="00F810F4" w:rsidRPr="00B50A3B">
        <w:t xml:space="preserve">   </w:t>
      </w:r>
    </w:p>
    <w:p w:rsidR="00AE350E" w:rsidRPr="00B50A3B" w:rsidRDefault="00573EC8" w:rsidP="00AE350E">
      <w:r w:rsidRPr="00B50A3B">
        <w:t>The</w:t>
      </w:r>
      <w:r w:rsidR="00AE350E" w:rsidRPr="00B50A3B">
        <w:t xml:space="preserve"> replacement of </w:t>
      </w:r>
      <w:r w:rsidR="00DC58CF" w:rsidRPr="00B50A3B">
        <w:t>IB</w:t>
      </w:r>
      <w:r w:rsidR="00AE350E" w:rsidRPr="00B50A3B">
        <w:t xml:space="preserve"> with Employment and Support Allowance</w:t>
      </w:r>
      <w:r w:rsidR="00DC58CF" w:rsidRPr="00B50A3B">
        <w:t xml:space="preserve"> (ESA)</w:t>
      </w:r>
      <w:r w:rsidR="00AE350E" w:rsidRPr="00B50A3B">
        <w:t>, and with it the replacement of ‘sick notes’ with ‘fit notes’,</w:t>
      </w:r>
      <w:r w:rsidR="002B4289" w:rsidRPr="00B50A3B">
        <w:fldChar w:fldCharType="begin"/>
      </w:r>
      <w:r w:rsidR="00665CD2">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002B4289" w:rsidRPr="00B50A3B">
        <w:fldChar w:fldCharType="separate"/>
      </w:r>
      <w:r w:rsidR="00166D95" w:rsidRPr="00166D95">
        <w:t>(BBC, 2010)</w:t>
      </w:r>
      <w:r w:rsidR="002B4289" w:rsidRPr="00B50A3B">
        <w:fldChar w:fldCharType="end"/>
      </w:r>
      <w:r w:rsidR="00AE350E" w:rsidRPr="00B50A3B">
        <w:t xml:space="preserve"> and the Personal Capability Assessment (PCA) with </w:t>
      </w:r>
      <w:r w:rsidR="00E5563F" w:rsidRPr="00B50A3B">
        <w:t>the Work Capability Assessment (WCA)</w:t>
      </w:r>
      <w:r w:rsidR="00AE350E" w:rsidRPr="00B50A3B">
        <w:t xml:space="preserve"> as the means to assess eligibility has been controversial, with questions raised about the new test’s ability to sufficiently recognise the adverse effects of mental health conditions</w:t>
      </w:r>
      <w:r w:rsidR="00C07F1D" w:rsidRPr="00B50A3B">
        <w:t xml:space="preserve"> </w:t>
      </w:r>
      <w:r w:rsidR="00AE350E" w:rsidRPr="00B50A3B">
        <w:t xml:space="preserve">and </w:t>
      </w:r>
      <w:r w:rsidR="00C07F1D" w:rsidRPr="00B50A3B">
        <w:t>fluctuating conditions</w:t>
      </w:r>
      <w:r w:rsidR="00AE350E" w:rsidRPr="00B50A3B">
        <w:t>.</w:t>
      </w:r>
      <w:r w:rsidR="002B4289" w:rsidRPr="00B50A3B">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665CD2">
        <w:instrText xml:space="preserve"> ADDIN EN.CITE </w:instrText>
      </w:r>
      <w:r w:rsidR="00665CD2">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665CD2">
        <w:instrText xml:space="preserve"> ADDIN EN.CITE.DATA </w:instrText>
      </w:r>
      <w:r w:rsidR="00665CD2">
        <w:fldChar w:fldCharType="end"/>
      </w:r>
      <w:r w:rsidR="002B4289" w:rsidRPr="00B50A3B">
        <w:fldChar w:fldCharType="separate"/>
      </w:r>
      <w:r w:rsidR="00166D95" w:rsidRPr="00166D95">
        <w:t xml:space="preserve">(Anonymous, 2010; </w:t>
      </w:r>
      <w:r w:rsidR="00166D95" w:rsidRPr="00166D95">
        <w:lastRenderedPageBreak/>
        <w:t>Dryburgh and Lancashire, 2010; Gentleman, 2011)</w:t>
      </w:r>
      <w:r w:rsidR="002B4289" w:rsidRPr="00B50A3B">
        <w:fldChar w:fldCharType="end"/>
      </w:r>
      <w:r w:rsidR="00AE350E" w:rsidRPr="00B50A3B">
        <w:t xml:space="preserve"> </w:t>
      </w:r>
      <w:r w:rsidR="00B04D93" w:rsidRPr="00B50A3B">
        <w:t>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002B4289" w:rsidRPr="00B50A3B">
        <w:fldChar w:fldCharType="begin"/>
      </w:r>
      <w:r w:rsidR="00665CD2">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002B4289" w:rsidRPr="00B50A3B">
        <w:fldChar w:fldCharType="separate"/>
      </w:r>
      <w:r w:rsidR="00166D95" w:rsidRPr="00166D95">
        <w:t>(Groves, 2011)</w:t>
      </w:r>
      <w:r w:rsidR="002B4289" w:rsidRPr="00B50A3B">
        <w:fldChar w:fldCharType="end"/>
      </w:r>
      <w:r w:rsidR="001D5052" w:rsidRPr="00B50A3B">
        <w:t xml:space="preserve"> The accuracy of the test is also in doubt, with</w:t>
      </w:r>
      <w:r w:rsidR="00AE350E" w:rsidRPr="00B50A3B">
        <w:t xml:space="preserve"> around 40% of </w:t>
      </w:r>
      <w:r w:rsidR="001D5052" w:rsidRPr="00B50A3B">
        <w:t>appealed decisions overturned.</w:t>
      </w:r>
      <w:r w:rsidR="002B4289" w:rsidRPr="00B50A3B">
        <w:fldChar w:fldCharType="begin"/>
      </w:r>
      <w:r w:rsidR="00665CD2">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002B4289" w:rsidRPr="00B50A3B">
        <w:fldChar w:fldCharType="separate"/>
      </w:r>
      <w:r w:rsidR="00166D95" w:rsidRPr="00166D95">
        <w:t>(Margrath, 2010)</w:t>
      </w:r>
      <w:r w:rsidR="002B4289" w:rsidRPr="00B50A3B">
        <w:fldChar w:fldCharType="end"/>
      </w:r>
    </w:p>
    <w:p w:rsidR="00AE350E" w:rsidRPr="00B50A3B" w:rsidRDefault="00AE350E" w:rsidP="007D2125">
      <w:r w:rsidRPr="00B50A3B">
        <w:t xml:space="preserve">The aim of this research is to try to understand the causes for the rises in IVB/IB numbers during the 1980s and 1990s, why the path from IB claimant to employee seems challenging to cross, and why in competitive labour markets </w:t>
      </w:r>
      <w:r w:rsidR="007D2125" w:rsidRPr="00B50A3B">
        <w:t>even slight deficits in fitness may lead to very large disadvantages in terms of employability. The</w:t>
      </w:r>
      <w:r w:rsidRPr="00B50A3B">
        <w:t xml:space="preserve"> research does so by creating a very simpl</w:t>
      </w:r>
      <w:r w:rsidR="007D2125" w:rsidRPr="00B50A3B">
        <w:t>e</w:t>
      </w:r>
      <w:r w:rsidRPr="00B50A3B">
        <w:t xml:space="preserve"> </w:t>
      </w:r>
      <w:r w:rsidR="001D5052" w:rsidRPr="00B50A3B">
        <w:t xml:space="preserve">computer-based </w:t>
      </w:r>
      <w:r w:rsidRPr="00B50A3B">
        <w:t>model which formalises the three following assumptions:</w:t>
      </w:r>
    </w:p>
    <w:p w:rsidR="00AE350E" w:rsidRPr="00B50A3B" w:rsidRDefault="00852084" w:rsidP="00AE350E">
      <w:pPr>
        <w:pStyle w:val="ListParagraph"/>
        <w:numPr>
          <w:ilvl w:val="0"/>
          <w:numId w:val="4"/>
        </w:numPr>
      </w:pPr>
      <w:r w:rsidRPr="00B50A3B">
        <w:t>Securing a job is essentially a winner-takes-all process. The candidate the employer considers the best person for the job received the job offer. All other candidates receive nothing.</w:t>
      </w:r>
    </w:p>
    <w:p w:rsidR="00852084" w:rsidRPr="00B50A3B" w:rsidRDefault="00852084" w:rsidP="00AE350E">
      <w:pPr>
        <w:pStyle w:val="ListParagraph"/>
        <w:numPr>
          <w:ilvl w:val="0"/>
          <w:numId w:val="4"/>
        </w:numPr>
      </w:pPr>
      <w:r w:rsidRPr="00B50A3B">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B50A3B" w:rsidRDefault="00852084" w:rsidP="00AE350E">
      <w:pPr>
        <w:pStyle w:val="ListParagraph"/>
        <w:numPr>
          <w:ilvl w:val="0"/>
          <w:numId w:val="4"/>
        </w:numPr>
      </w:pPr>
      <w:r w:rsidRPr="00B50A3B">
        <w:t>People with limiting health problems, such as those claiming IB, have on the average a lower level of fitness than the general population.</w:t>
      </w:r>
    </w:p>
    <w:p w:rsidR="00C4604D" w:rsidRPr="00B50A3B" w:rsidRDefault="001D5052" w:rsidP="00C4604D">
      <w:r w:rsidRPr="00B50A3B">
        <w:t xml:space="preserve">By using </w:t>
      </w:r>
      <w:r w:rsidR="00EB07F8" w:rsidRPr="00B50A3B">
        <w:t>a</w:t>
      </w:r>
      <w:r w:rsidRPr="00B50A3B">
        <w:t xml:space="preserve"> </w:t>
      </w:r>
      <w:r w:rsidR="00EB07F8" w:rsidRPr="00B50A3B">
        <w:t>computer-based microsimulation approach</w:t>
      </w:r>
      <w:r w:rsidRPr="00B50A3B">
        <w:t>,</w:t>
      </w:r>
      <w:r w:rsidR="002B4289" w:rsidRPr="00B50A3B">
        <w:fldChar w:fldCharType="begin"/>
      </w:r>
      <w:r w:rsidR="00665CD2">
        <w:instrText xml:space="preserve"> ADDIN EN.CITE &lt;EndNote&gt;&lt;Cite&gt;&lt;Author&gt;Troitzsch&lt;/Author&gt;&lt;Year&gt;1996&lt;/Year&gt;&lt;RecNum&gt;71&lt;/RecNum&gt;&lt;record&gt;&lt;rec-number&gt;71&lt;/rec-number&gt;&lt;foreign-keys&gt;&lt;key app="EN" db-id="0x5ddxevivxdteezpt7xf5znxzsefvvs5eep"&gt;71&lt;/key&gt;&lt;/foreign-keys&gt;&lt;ref-type name="Edited Book"&gt;28&lt;/ref-type&gt;&lt;contributors&gt;&lt;authors&gt;&lt;author&gt;Klaus G. Troitzsch&lt;/author&gt;&lt;author&gt;Ulrich Mueller&lt;/author&gt;&lt;author&gt;G. Nigel Gilbert&lt;/author&gt;&lt;author&gt;Jim E Doran&lt;/author&gt;&lt;/authors&gt;&lt;/contributors&gt;&lt;titles&gt;&lt;title&gt;Social Science Microsimulation&lt;/title&gt;&lt;/titles&gt;&lt;dates&gt;&lt;year&gt;1996&lt;/year&gt;&lt;/dates&gt;&lt;pub-location&gt;Berlin&lt;/pub-location&gt;&lt;publisher&gt;Springer&lt;/publisher&gt;&lt;urls&gt;&lt;related-urls&gt;&lt;url&gt;http://www.amazon.co.uk/Social-Science-Microsimulation-Klaus-Troitzsch/dp/3540615725&lt;/url&gt;&lt;/related-urls&gt;&lt;/urls&gt;&lt;/record&gt;&lt;/Cite&gt;&lt;Cite&gt;&lt;Author&gt;Gilbert&lt;/Author&gt;&lt;Year&gt;1999&lt;/Year&gt;&lt;RecNum&gt;72&lt;/RecNum&gt;&lt;record&gt;&lt;rec-number&gt;72&lt;/rec-number&gt;&lt;foreign-keys&gt;&lt;key app="EN" db-id="0x5ddxevivxdteezpt7xf5znxzsefvvs5eep"&gt;72&lt;/key&gt;&lt;/foreign-keys&gt;&lt;ref-type name="Book"&gt;6&lt;/ref-type&gt;&lt;contributors&gt;&lt;authors&gt;&lt;author&gt;Nigel Gilbert&lt;/author&gt;&lt;author&gt;Klaus G. Troitzsch&lt;/author&gt;&lt;/authors&gt;&lt;/contributors&gt;&lt;titles&gt;&lt;title&gt;Simulation for the Social Scientist&lt;/title&gt;&lt;/titles&gt;&lt;dates&gt;&lt;year&gt;1999&lt;/year&gt;&lt;/dates&gt;&lt;pub-location&gt;Buckingham&lt;/pub-location&gt;&lt;publisher&gt;OUP&lt;/publisher&gt;&lt;urls&gt;&lt;/urls&gt;&lt;/record&gt;&lt;/Cite&gt;&lt;/EndNote&gt;</w:instrText>
      </w:r>
      <w:r w:rsidR="002B4289" w:rsidRPr="00B50A3B">
        <w:fldChar w:fldCharType="separate"/>
      </w:r>
      <w:r w:rsidR="00166D95" w:rsidRPr="00166D95">
        <w:t>(Gilbert and Troitzsch, 1999; Troitzsch et al., 1996)</w:t>
      </w:r>
      <w:r w:rsidR="002B4289" w:rsidRPr="00B50A3B">
        <w:fldChar w:fldCharType="end"/>
      </w:r>
      <w:r w:rsidRPr="00B50A3B">
        <w:t xml:space="preserve"> the logical implications </w:t>
      </w:r>
      <w:r w:rsidR="006D3DA3" w:rsidRPr="00B50A3B">
        <w:t>of t</w:t>
      </w:r>
      <w:r w:rsidRPr="00B50A3B">
        <w:t xml:space="preserve">he above assumptions can be </w:t>
      </w:r>
      <w:r w:rsidR="006D3DA3" w:rsidRPr="00B50A3B">
        <w:t>assessed</w:t>
      </w:r>
      <w:r w:rsidR="00EB07F8" w:rsidRPr="00B50A3B">
        <w:t xml:space="preserve"> and objectively scrutinised</w:t>
      </w:r>
      <w:r w:rsidR="006D3DA3" w:rsidRPr="00B50A3B">
        <w:t xml:space="preserve">. The approach is particularly useful in cases where these implications run counter to intuition. Of particular relevance are cases where plausible assumptions, when operationalised, suggest that nonlinear </w:t>
      </w:r>
      <w:r w:rsidR="00BB6204" w:rsidRPr="00B50A3B">
        <w:t xml:space="preserve">and complex </w:t>
      </w:r>
      <w:r w:rsidR="006D3DA3" w:rsidRPr="00B50A3B">
        <w:t>systems exis</w:t>
      </w:r>
      <w:r w:rsidR="00BB6204" w:rsidRPr="00B50A3B">
        <w:t xml:space="preserve">t which either exacerbate or attenuate the effects of inputs, </w:t>
      </w:r>
      <w:r w:rsidR="00C4604D" w:rsidRPr="00B50A3B">
        <w:t>so that the magnitude of outputs are disproportionate to the magnitude of the inputs that generated them.</w:t>
      </w:r>
      <w:r w:rsidR="002B4289" w:rsidRPr="00B50A3B">
        <w:fldChar w:fldCharType="begin"/>
      </w:r>
      <w:r w:rsidR="00665CD2">
        <w:instrText xml:space="preserve"> ADDIN EN.CITE &lt;EndNote&gt;&lt;Cite&gt;&lt;Author&gt;Nisbett&lt;/Author&gt;&lt;Year&gt;1977&lt;/Year&gt;&lt;RecNum&gt;1&lt;/RecNum&gt;&lt;record&gt;&lt;rec-number&gt;1&lt;/rec-number&gt;&lt;foreign-keys&gt;&lt;key app="EN" db-id="0x5ddxevivxdteezpt7xf5znxzsefvvs5eep"&gt;1&lt;/key&gt;&lt;/foreign-keys&gt;&lt;ref-type name="Journal Article"&gt;17&lt;/ref-type&gt;&lt;contributors&gt;&lt;authors&gt;&lt;author&gt;Nisbett, Richard&lt;/author&gt;&lt;author&gt;Wilson, T. D.&lt;/author&gt;&lt;/authors&gt;&lt;/contributors&gt;&lt;titles&gt;&lt;title&gt;Telling More Than We Can Know: Verbal Reports on Mental processes&lt;/title&gt;&lt;secondary-title&gt;Psychological Review&lt;/secondary-title&gt;&lt;/titles&gt;&lt;periodical&gt;&lt;full-title&gt;Psychological Review&lt;/full-title&gt;&lt;/periodical&gt;&lt;pages&gt;231-259&lt;/pages&gt;&lt;volume&gt;84&lt;/volume&gt;&lt;number&gt;3&lt;/number&gt;&lt;dates&gt;&lt;year&gt;1977&lt;/year&gt;&lt;/dates&gt;&lt;urls&gt;&lt;pdf-urls&gt;&lt;url&gt;file:///C:/God/God.Data/Nisbett%20%26%20Wilson%201977.pdf&lt;/url&gt;&lt;/pdf-urls&gt;&lt;/urls&gt;&lt;/record&gt;&lt;/Cite&gt;&lt;/EndNote&gt;</w:instrText>
      </w:r>
      <w:r w:rsidR="002B4289" w:rsidRPr="00B50A3B">
        <w:fldChar w:fldCharType="separate"/>
      </w:r>
      <w:r w:rsidR="00166D95" w:rsidRPr="00166D95">
        <w:t>(Nisbett and Wilson, 1977)</w:t>
      </w:r>
      <w:r w:rsidR="002B4289" w:rsidRPr="00B50A3B">
        <w:fldChar w:fldCharType="end"/>
      </w:r>
      <w:r w:rsidR="00BB6204" w:rsidRPr="00B50A3B">
        <w:t xml:space="preserve"> Perhaps the most famous example of this is Thomas Schelling’s racial segregation model, </w:t>
      </w:r>
      <w:r w:rsidR="002B4289" w:rsidRPr="00B50A3B">
        <w:fldChar w:fldCharType="begin"/>
      </w:r>
      <w:r w:rsidR="00665CD2">
        <w:instrText xml:space="preserve"> ADDIN EN.CITE &lt;EndNote&gt;&lt;Cite&gt;&lt;Author&gt;Schelling&lt;/Author&gt;&lt;Year&gt;1971&lt;/Year&gt;&lt;RecNum&gt;56&lt;/RecNum&gt;&lt;record&gt;&lt;rec-number&gt;56&lt;/rec-number&gt;&lt;foreign-keys&gt;&lt;key app="EN" db-id="0x5ddxevivxdteezpt7xf5znxzsefvvs5eep"&gt;56&lt;/key&gt;&lt;/foreign-keys&gt;&lt;ref-type name="Journal Article"&gt;17&lt;/ref-type&gt;&lt;contributors&gt;&lt;authors&gt;&lt;author&gt;Schelling, Thomas&lt;/author&gt;&lt;/authors&gt;&lt;/contributors&gt;&lt;titles&gt;&lt;title&gt;Dynamic Models of Segregation&lt;/title&gt;&lt;secondary-title&gt;Journal of Mathematical Sociology&lt;/secondary-title&gt;&lt;/titles&gt;&lt;periodical&gt;&lt;full-title&gt;Journal of Mathematical Sociology&lt;/full-title&gt;&lt;/periodical&gt;&lt;pages&gt;143-186&lt;/pages&gt;&lt;volume&gt;1&lt;/volume&gt;&lt;dates&gt;&lt;year&gt;1971&lt;/year&gt;&lt;/dates&gt;&lt;urls&gt;&lt;/urls&gt;&lt;/record&gt;&lt;/Cite&gt;&lt;/EndNote&gt;</w:instrText>
      </w:r>
      <w:r w:rsidR="002B4289" w:rsidRPr="00B50A3B">
        <w:fldChar w:fldCharType="separate"/>
      </w:r>
      <w:r w:rsidR="00166D95" w:rsidRPr="00166D95">
        <w:t>(Schelling, 1971)</w:t>
      </w:r>
      <w:r w:rsidR="002B4289" w:rsidRPr="00B50A3B">
        <w:fldChar w:fldCharType="end"/>
      </w:r>
      <w:r w:rsidR="00BB6204" w:rsidRPr="00B50A3B">
        <w:t xml:space="preserve"> </w:t>
      </w:r>
      <w:r w:rsidR="00C4604D" w:rsidRPr="00B50A3B">
        <w:t>which indicated that</w:t>
      </w:r>
      <w:r w:rsidR="00BB6204" w:rsidRPr="00B50A3B">
        <w:t xml:space="preserve"> a </w:t>
      </w:r>
      <w:r w:rsidR="00BB6204" w:rsidRPr="00B50A3B">
        <w:lastRenderedPageBreak/>
        <w:t xml:space="preserve">slight preference towards living with one’s own group (a ‘micromotive’) could lead to massive levels of segregation at an aggregate level (a‘macrobehaviour’). </w:t>
      </w:r>
      <w:r w:rsidR="002B4289" w:rsidRPr="00B50A3B">
        <w:fldChar w:fldCharType="begin"/>
      </w:r>
      <w:r w:rsidR="00665CD2">
        <w:instrText xml:space="preserve"> ADDIN EN.CITE &lt;EndNote&gt;&lt;Cite&gt;&lt;Author&gt;Schelling&lt;/Author&gt;&lt;Year&gt;1978&lt;/Year&gt;&lt;RecNum&gt;45&lt;/RecNum&gt;&lt;record&gt;&lt;rec-number&gt;45&lt;/rec-number&gt;&lt;foreign-keys&gt;&lt;key app="EN" db-id="0x5ddxevivxdteezpt7xf5znxzsefvvs5eep"&gt;45&lt;/key&gt;&lt;/foreign-keys&gt;&lt;ref-type name="Book"&gt;6&lt;/ref-type&gt;&lt;contributors&gt;&lt;authors&gt;&lt;author&gt;Schelling, Thomas&lt;/author&gt;&lt;/authors&gt;&lt;/contributors&gt;&lt;titles&gt;&lt;title&gt;Micromotives and Macrobehavior&lt;/title&gt;&lt;/titles&gt;&lt;dates&gt;&lt;year&gt;1978&lt;/year&gt;&lt;/dates&gt;&lt;pub-location&gt;London&lt;/pub-location&gt;&lt;publisher&gt;V W Norton &amp;amp; Company Ltd.&lt;/publisher&gt;&lt;urls&gt;&lt;/urls&gt;&lt;/record&gt;&lt;/Cite&gt;&lt;/EndNote&gt;</w:instrText>
      </w:r>
      <w:r w:rsidR="002B4289" w:rsidRPr="00B50A3B">
        <w:fldChar w:fldCharType="separate"/>
      </w:r>
      <w:r w:rsidR="00166D95" w:rsidRPr="00166D95">
        <w:t>(Schelling, 1978)</w:t>
      </w:r>
      <w:r w:rsidR="002B4289" w:rsidRPr="00B50A3B">
        <w:fldChar w:fldCharType="end"/>
      </w:r>
      <w:r w:rsidR="00BB6204" w:rsidRPr="00B50A3B">
        <w:t xml:space="preserve"> </w:t>
      </w:r>
    </w:p>
    <w:p w:rsidR="00AE350E" w:rsidRPr="00B50A3B" w:rsidRDefault="00AE350E" w:rsidP="00AE350E">
      <w:pPr>
        <w:pStyle w:val="Heading2"/>
        <w:numPr>
          <w:ilvl w:val="0"/>
          <w:numId w:val="0"/>
        </w:numPr>
      </w:pPr>
      <w:r w:rsidRPr="00B50A3B">
        <w:t>Methods</w:t>
      </w:r>
    </w:p>
    <w:p w:rsidR="00852084" w:rsidRPr="00B50A3B" w:rsidRDefault="00852084" w:rsidP="00852084">
      <w:pPr>
        <w:rPr>
          <w:i/>
        </w:rPr>
      </w:pPr>
      <w:r w:rsidRPr="00B50A3B">
        <w:t xml:space="preserve">In the model, </w:t>
      </w:r>
      <w:r w:rsidR="00E5563F" w:rsidRPr="00B50A3B">
        <w:t xml:space="preserve">assumption 1 is formalised by </w:t>
      </w:r>
      <w:r w:rsidRPr="00B50A3B">
        <w:t xml:space="preserve">positing ‘job fitness’ </w:t>
      </w:r>
      <w:r w:rsidR="00C655BB" w:rsidRPr="00B50A3B">
        <w:t>as a single dimensional quality</w:t>
      </w:r>
      <w:r w:rsidR="00E5563F" w:rsidRPr="00B50A3B">
        <w:t xml:space="preserve">. An employer looks at the scores of a number of candidates and chooses the candidate with the highest fitness score. Assumption 2 is formalised by modelling a candidate’s performance in a job selection process as a single draw from a </w:t>
      </w:r>
      <w:r w:rsidR="0043435A" w:rsidRPr="00B50A3B">
        <w:t xml:space="preserve">random </w:t>
      </w:r>
      <w:r w:rsidR="00E5563F" w:rsidRPr="00B50A3B">
        <w:t xml:space="preserve">distribution. For convenience and simplicity I have used the Normal distribution, and the variance of all candidates’ distributions </w:t>
      </w:r>
      <w:r w:rsidR="0043435A" w:rsidRPr="00B50A3B">
        <w:t>are assumed to be identical</w:t>
      </w:r>
      <w:r w:rsidR="00E5563F" w:rsidRPr="00B50A3B">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3435A" w:rsidRPr="00B50A3B">
        <w:rPr>
          <w:rFonts w:eastAsiaTheme="minorEastAsia"/>
        </w:rPr>
        <w:t xml:space="preserve">). </w:t>
      </w:r>
      <w:r w:rsidRPr="00B50A3B">
        <w:t>Figure</w:t>
      </w:r>
      <w:r w:rsidR="006E5934" w:rsidRPr="00B50A3B">
        <w:t xml:space="preserve"> 1</w:t>
      </w:r>
      <w:r w:rsidR="0043435A" w:rsidRPr="00B50A3B">
        <w:t xml:space="preserve"> provides an example of the model when there are two applicants</w:t>
      </w:r>
      <w:r w:rsidRPr="00B50A3B">
        <w:t xml:space="preserve">, A and B, shown using the blue and red Normal distribution curves respectively. </w:t>
      </w:r>
      <w:r w:rsidR="0043435A" w:rsidRPr="00B50A3B">
        <w:t xml:space="preserve">The mean of </w:t>
      </w:r>
      <w:r w:rsidRPr="00B50A3B">
        <w:t>B’s performance is lower than A’s</w:t>
      </w:r>
      <w:r w:rsidR="0043435A" w:rsidRPr="00B50A3B">
        <w:t>, formalising assumption 3</w:t>
      </w:r>
      <w:r w:rsidRPr="00B50A3B">
        <w:t xml:space="preserve">. This difference in means is B’s </w:t>
      </w:r>
      <w:r w:rsidRPr="00B50A3B">
        <w:rPr>
          <w:i/>
        </w:rPr>
        <w:t xml:space="preserve">fitness disadvantage </w:t>
      </w:r>
      <w:r w:rsidRPr="00B50A3B">
        <w:t xml:space="preserve">relative to A, and is represented by the letter </w:t>
      </w:r>
      <w:r w:rsidRPr="00B50A3B">
        <w:rPr>
          <w:i/>
        </w:rPr>
        <w:t>d.</w:t>
      </w:r>
    </w:p>
    <w:p w:rsidR="006E5934" w:rsidRPr="00B50A3B" w:rsidRDefault="006E5934" w:rsidP="006E5934">
      <w:pPr>
        <w:jc w:val="center"/>
      </w:pPr>
      <w:r w:rsidRPr="00B50A3B">
        <w:t>[Figure 1 about here]</w:t>
      </w:r>
    </w:p>
    <w:p w:rsidR="005531FD" w:rsidRPr="00B50A3B" w:rsidRDefault="0043435A" w:rsidP="00852084">
      <w:r w:rsidRPr="00B50A3B">
        <w:t xml:space="preserve">In this example the outcomes of A and B competing directly against each other </w:t>
      </w:r>
      <w:r w:rsidR="005531FD" w:rsidRPr="00B50A3B">
        <w:t>on four separate occasions is shown</w:t>
      </w:r>
      <w:r w:rsidR="00852084" w:rsidRPr="00B50A3B">
        <w:t xml:space="preserve">. On each occasion, a random draw is taken from the applicant’s distribution, and the candidate with the highest score is selected for the job (represented using the dashed box). </w:t>
      </w:r>
      <w:r w:rsidR="005531FD" w:rsidRPr="00B50A3B">
        <w:t>C</w:t>
      </w:r>
      <w:r w:rsidR="00852084" w:rsidRPr="00B50A3B">
        <w:t>andidate A, the non-disadvantaged candidate, gets the job on three occasions</w:t>
      </w:r>
      <w:r w:rsidR="005531FD" w:rsidRPr="00B50A3B">
        <w:t>. On one occasion B performs significantly above expectation, and A performs below expectation, and so B gets the job</w:t>
      </w:r>
      <w:r w:rsidR="00852084" w:rsidRPr="00B50A3B">
        <w:t xml:space="preserve">. </w:t>
      </w:r>
    </w:p>
    <w:p w:rsidR="00852084" w:rsidRPr="00B50A3B" w:rsidRDefault="00852084" w:rsidP="005531FD">
      <w:r w:rsidRPr="00B50A3B">
        <w:t xml:space="preserve">To simulate the effect of job completion, I simply take </w:t>
      </w:r>
      <w:r w:rsidRPr="00B50A3B">
        <w:rPr>
          <w:i/>
        </w:rPr>
        <w:t>k</w:t>
      </w:r>
      <w:r w:rsidRPr="00B50A3B">
        <w:t xml:space="preserve"> draws (rather than just one draw) from distribution A, to represent the apparent fitness of </w:t>
      </w:r>
      <w:r w:rsidRPr="00B50A3B">
        <w:rPr>
          <w:i/>
        </w:rPr>
        <w:t xml:space="preserve">k </w:t>
      </w:r>
      <w:r w:rsidRPr="00B50A3B">
        <w:t xml:space="preserve">equally non-disadvantaged candidates in getting a particular job, in addition to one draw from distribution B. To simulate the effects of fitness disadvantage, I vary the distance </w:t>
      </w:r>
      <w:r w:rsidRPr="00B50A3B">
        <w:rPr>
          <w:i/>
        </w:rPr>
        <w:t>d</w:t>
      </w:r>
      <w:r w:rsidRPr="00B50A3B">
        <w:t xml:space="preserve">, to increase or decrease the amount of overlap between the distributions. </w:t>
      </w:r>
    </w:p>
    <w:p w:rsidR="00852084" w:rsidRPr="00B50A3B" w:rsidRDefault="00852084" w:rsidP="00852084">
      <w:r w:rsidRPr="00B50A3B">
        <w:t xml:space="preserve">Repeating this process </w:t>
      </w:r>
      <w:r w:rsidR="005531FD" w:rsidRPr="00B50A3B">
        <w:t>100,000 times to average out the effect of simulation uncertainty</w:t>
      </w:r>
      <w:r w:rsidR="006E5934" w:rsidRPr="00B50A3B">
        <w:t>,</w:t>
      </w:r>
      <w:r w:rsidRPr="00B50A3B">
        <w:t xml:space="preserve"> for</w:t>
      </w:r>
      <w:r w:rsidR="005531FD" w:rsidRPr="00B50A3B">
        <w:t xml:space="preserve"> between one and fifteen healthy rivals (</w:t>
      </w:r>
      <m:oMath>
        <m:r>
          <w:rPr>
            <w:rFonts w:ascii="Cambria Math" w:hAnsi="Cambria Math"/>
          </w:rPr>
          <m:t xml:space="preserve">k∈ </m:t>
        </m:r>
        <m:d>
          <m:dPr>
            <m:begChr m:val="{"/>
            <m:endChr m:val="}"/>
            <m:ctrlPr>
              <w:rPr>
                <w:rFonts w:ascii="Cambria Math" w:hAnsi="Cambria Math"/>
                <w:i/>
              </w:rPr>
            </m:ctrlPr>
          </m:dPr>
          <m:e>
            <m:r>
              <w:rPr>
                <w:rFonts w:ascii="Cambria Math" w:hAnsi="Cambria Math"/>
              </w:rPr>
              <m:t>1, 2, …, 15</m:t>
            </m:r>
          </m:e>
        </m:d>
        <m:r>
          <w:rPr>
            <w:rFonts w:ascii="Cambria Math" w:hAnsi="Cambria Math"/>
          </w:rPr>
          <m:t>)</m:t>
        </m:r>
      </m:oMath>
      <w:r w:rsidR="005531FD" w:rsidRPr="00B50A3B">
        <w:t xml:space="preserve"> and for anything between no fitness disadvantage and massive disadvantage (</w:t>
      </w:r>
      <m:oMath>
        <m:r>
          <w:rPr>
            <w:rFonts w:ascii="Cambria Math" w:hAnsi="Cambria Math"/>
          </w:rPr>
          <m:t xml:space="preserve">d ∈ </m:t>
        </m:r>
        <m:d>
          <m:dPr>
            <m:begChr m:val="{"/>
            <m:endChr m:val="}"/>
            <m:ctrlPr>
              <w:rPr>
                <w:rFonts w:ascii="Cambria Math" w:hAnsi="Cambria Math"/>
                <w:i/>
              </w:rPr>
            </m:ctrlPr>
          </m:dPr>
          <m:e>
            <m:r>
              <w:rPr>
                <w:rFonts w:ascii="Cambria Math" w:hAnsi="Cambria Math"/>
              </w:rPr>
              <m:t>0.0, 0.1, 0.2, …, 4.9</m:t>
            </m:r>
          </m:e>
        </m:d>
        <m:r>
          <w:rPr>
            <w:rFonts w:ascii="Cambria Math" w:hAnsi="Cambria Math"/>
          </w:rPr>
          <m:t>σ</m:t>
        </m:r>
      </m:oMath>
      <w:r w:rsidR="005531FD" w:rsidRPr="00B50A3B">
        <w:rPr>
          <w:rFonts w:eastAsiaTheme="minorEastAsia"/>
        </w:rPr>
        <w:t xml:space="preserve">) I </w:t>
      </w:r>
      <w:r w:rsidRPr="00B50A3B">
        <w:rPr>
          <w:rFonts w:eastAsiaTheme="minorEastAsia"/>
        </w:rPr>
        <w:t xml:space="preserve">produce a set of </w:t>
      </w:r>
      <w:r w:rsidRPr="00B50A3B">
        <w:rPr>
          <w:rFonts w:eastAsiaTheme="minorEastAsia"/>
        </w:rPr>
        <w:lastRenderedPageBreak/>
        <w:t>estimated probabilities of</w:t>
      </w:r>
      <w:r w:rsidR="005531FD" w:rsidRPr="00B50A3B">
        <w:rPr>
          <w:rFonts w:eastAsiaTheme="minorEastAsia"/>
        </w:rPr>
        <w:t xml:space="preserve"> the disadvantaged candidate </w:t>
      </w:r>
      <w:r w:rsidRPr="00B50A3B">
        <w:rPr>
          <w:rFonts w:eastAsiaTheme="minorEastAsia"/>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Pr="00B50A3B" w:rsidRDefault="00AE350E" w:rsidP="00AE350E">
      <w:pPr>
        <w:pStyle w:val="Heading2"/>
        <w:numPr>
          <w:ilvl w:val="0"/>
          <w:numId w:val="0"/>
        </w:numPr>
      </w:pPr>
      <w:r w:rsidRPr="00B50A3B">
        <w:t>Results</w:t>
      </w:r>
    </w:p>
    <w:p w:rsidR="00852084" w:rsidRPr="00B50A3B" w:rsidRDefault="006E5934" w:rsidP="00852084">
      <w:pPr>
        <w:rPr>
          <w:rFonts w:eastAsiaTheme="minorEastAsia"/>
        </w:rPr>
      </w:pPr>
      <w:r w:rsidRPr="00B50A3B">
        <w:rPr>
          <w:rFonts w:eastAsiaTheme="minorEastAsia"/>
        </w:rPr>
        <w:t>In Figure 2</w:t>
      </w:r>
      <w:r w:rsidR="00852084" w:rsidRPr="00B50A3B">
        <w:rPr>
          <w:rFonts w:eastAsiaTheme="minorEastAsia"/>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B50A3B" w:rsidRDefault="006E5934" w:rsidP="006E5934">
      <w:pPr>
        <w:jc w:val="center"/>
        <w:rPr>
          <w:rFonts w:eastAsiaTheme="minorEastAsia"/>
        </w:rPr>
      </w:pPr>
      <w:r w:rsidRPr="00B50A3B">
        <w:rPr>
          <w:rFonts w:eastAsiaTheme="minorEastAsia"/>
        </w:rPr>
        <w:t>[Figure 2 about here]</w:t>
      </w:r>
    </w:p>
    <w:p w:rsidR="006E5934" w:rsidRPr="00B50A3B" w:rsidRDefault="00852084" w:rsidP="00852084">
      <w:r w:rsidRPr="00B50A3B">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B50A3B">
        <w:t xml:space="preserve"> Of course, a different threshold could have been selected, but the same overall argument applies.</w:t>
      </w:r>
    </w:p>
    <w:p w:rsidR="00852084" w:rsidRPr="00B50A3B" w:rsidRDefault="00852084" w:rsidP="00852084">
      <w:r w:rsidRPr="00B50A3B">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Pr="00B50A3B" w:rsidRDefault="00AE350E" w:rsidP="00AE350E">
      <w:pPr>
        <w:pStyle w:val="Heading2"/>
        <w:numPr>
          <w:ilvl w:val="0"/>
          <w:numId w:val="0"/>
        </w:numPr>
      </w:pPr>
      <w:r w:rsidRPr="00B50A3B">
        <w:t>Discussion</w:t>
      </w:r>
    </w:p>
    <w:p w:rsidR="00A923BA" w:rsidRPr="00B50A3B" w:rsidRDefault="00A923BA" w:rsidP="00A923BA">
      <w:r w:rsidRPr="00B50A3B">
        <w:t xml:space="preserve">The main finding of this model is that even slight health deficits relative to most of one’s peers, when combined with moderate increases in competition for jobs, can easily results in such a massive disadvantage in the labour market as to render people unemployable. Because the way health may interact with labour market selection processes, even though a health deficit may </w:t>
      </w:r>
      <w:r w:rsidRPr="00B50A3B">
        <w:lastRenderedPageBreak/>
        <w:t xml:space="preserve">not render someone mentally or physically incapable of performing a particular job, it may still render them unable to ever have the opportunity to perform that job. </w:t>
      </w:r>
    </w:p>
    <w:p w:rsidR="00A923BA" w:rsidRPr="00B50A3B" w:rsidRDefault="00A923BA" w:rsidP="00120EB8">
      <w:r w:rsidRPr="00B50A3B">
        <w:t xml:space="preserve">UK labour market and welfare statistics suggest the decisions made by men in this situation are not incompatible with the utility-maximising behaviour assumed </w:t>
      </w:r>
      <w:r w:rsidR="00120EB8" w:rsidRPr="00B50A3B">
        <w:t xml:space="preserve">by neo-classical economics </w:t>
      </w:r>
      <w:r w:rsidR="002B4289" w:rsidRPr="00B50A3B">
        <w:fldChar w:fldCharType="begin"/>
      </w:r>
      <w:r w:rsidR="00665CD2">
        <w:instrText xml:space="preserve"> ADDIN EN.CITE &lt;EndNote&gt;&lt;Cite&gt;&lt;Author&gt;Becker&lt;/Author&gt;&lt;Year&gt;1992&lt;/Year&gt;&lt;RecNum&gt;73&lt;/RecNum&gt;&lt;record&gt;&lt;rec-number&gt;73&lt;/rec-number&gt;&lt;foreign-keys&gt;&lt;key app="EN" db-id="0x5ddxevivxdteezpt7xf5znxzsefvvs5eep"&gt;73&lt;/key&gt;&lt;/foreign-keys&gt;&lt;ref-type name="Book Section"&gt;5&lt;/ref-type&gt;&lt;contributors&gt;&lt;authors&gt;&lt;author&gt;Becker, Gary S&lt;/author&gt;&lt;/authors&gt;&lt;secondary-authors&gt;&lt;author&gt;Torsten Persson&lt;/author&gt;&lt;/secondary-authors&gt;&lt;/contributors&gt;&lt;titles&gt;&lt;title&gt;The Economic Way of Looking at Life&lt;/title&gt;&lt;secondary-title&gt;Nobel Lectures, Economics 1991-1995&lt;/secondary-title&gt;&lt;/titles&gt;&lt;dates&gt;&lt;year&gt;1992&lt;/year&gt;&lt;/dates&gt;&lt;pub-location&gt;Singapore&lt;/pub-location&gt;&lt;publisher&gt;World Scientific Publishing&lt;/publisher&gt;&lt;urls&gt;&lt;related-urls&gt;&lt;url&gt;http://nobelprize.org/nobel_prizes/economics/laureates/1992/becker-lecture.html&lt;/url&gt;&lt;/related-urls&gt;&lt;/urls&gt;&lt;/record&gt;&lt;/Cite&gt;&lt;/EndNote&gt;</w:instrText>
      </w:r>
      <w:r w:rsidR="002B4289" w:rsidRPr="00B50A3B">
        <w:fldChar w:fldCharType="separate"/>
      </w:r>
      <w:r w:rsidR="00166D95" w:rsidRPr="00166D95">
        <w:t>(Becker, 1992)</w:t>
      </w:r>
      <w:r w:rsidR="002B4289" w:rsidRPr="00B50A3B">
        <w:fldChar w:fldCharType="end"/>
      </w:r>
      <w:r w:rsidRPr="00B50A3B">
        <w:t xml:space="preserve">, and result from millions of rational choices being made in unfavourable circumstances. As has been clearly described elsewhere </w:t>
      </w:r>
      <w:r w:rsidR="002B4289" w:rsidRPr="00B50A3B">
        <w:fldChar w:fldCharType="begin"/>
      </w:r>
      <w:r w:rsidR="00665CD2">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2B4289" w:rsidRPr="00B50A3B">
        <w:fldChar w:fldCharType="separate"/>
      </w:r>
      <w:r w:rsidR="00166D95" w:rsidRPr="00166D95">
        <w:t>(Beatty et al., 2000)</w:t>
      </w:r>
      <w:r w:rsidR="002B4289" w:rsidRPr="00B50A3B">
        <w:fldChar w:fldCharType="end"/>
      </w:r>
      <w:r w:rsidRPr="00B50A3B">
        <w:t>, before a recession many men in employment may also have health deficits severe enough that they would, if they chose to claim it, have been eligible for invalidity benefits or incapacity benefits. As the job pays more than IV</w:t>
      </w:r>
      <w:r w:rsidR="00120EB8" w:rsidRPr="00B50A3B">
        <w:t>B/IB they chose not to claim it</w:t>
      </w:r>
      <w:r w:rsidRPr="00B50A3B">
        <w:t xml:space="preserve"> and so this latent ill health within the general working age population is not manifested within benefit receipts and labour market statistics. When a recession takes place, however, these workers in poorer health may be among the first to be made redundant when companies downsize and/or collapse. Whereas someone who is made redundant and health essentially faces a choice between remaining on benefits at</w:t>
      </w:r>
      <w:r w:rsidR="00120EB8" w:rsidRPr="00B50A3B">
        <w:t xml:space="preserve"> a low rate</w:t>
      </w:r>
      <w:r w:rsidRPr="00B50A3B">
        <w:t xml:space="preserve"> and getting another job that pays considera</w:t>
      </w:r>
      <w:r w:rsidR="00120EB8" w:rsidRPr="00B50A3B">
        <w:t>bly more, someone in poorer heal</w:t>
      </w:r>
      <w:r w:rsidRPr="00B50A3B">
        <w:t>th may, as a result of their low employability and the fact IB pays more than JSA, face a choice between seeking but not achieving a job while claiming JSA, or receiving IB, which pays at a higher rate and does not require the claimant to engage in activity for which they are unlikely to be rewarded. Whereas th</w:t>
      </w:r>
      <w:r w:rsidR="00120EB8" w:rsidRPr="00B50A3B">
        <w:t>e</w:t>
      </w:r>
      <w:r w:rsidRPr="00B50A3B">
        <w:t xml:space="preserve"> fitter person essentially faces a choice between a good option (working) and a bad option (continuing to receive JSA for little effort), the person with poorer health essentially faces a choice between a bad option (receiving JSA) and a mediocre option (receiving IB). If an individual is close to retirement age, and with receive a pension paying an even higher </w:t>
      </w:r>
      <w:r w:rsidR="00120EB8" w:rsidRPr="00B50A3B">
        <w:t>amount</w:t>
      </w:r>
      <w:r w:rsidRPr="00B50A3B">
        <w:t xml:space="preserve"> in a few years, then the rationale for claiming IB becomes even stronger</w:t>
      </w:r>
      <w:r w:rsidR="00120EB8" w:rsidRPr="00B50A3B">
        <w:t>.</w:t>
      </w:r>
    </w:p>
    <w:p w:rsidR="00A923BA" w:rsidRPr="00B50A3B" w:rsidRDefault="00A923BA" w:rsidP="00FC02E5">
      <w:r w:rsidRPr="00B50A3B">
        <w:t xml:space="preserve">As IB claimants are classed as economically inactive, someone who claims IB rather than </w:t>
      </w:r>
      <w:r w:rsidR="00120EB8" w:rsidRPr="00B50A3B">
        <w:t>JSA</w:t>
      </w:r>
      <w:r w:rsidRPr="00B50A3B">
        <w:t xml:space="preserve"> does not count as unemployed. Where there are political incentives to reduce unemployment numbers then shifting people from JSA to IB may h</w:t>
      </w:r>
      <w:r w:rsidR="00B50A3B" w:rsidRPr="00B50A3B">
        <w:t>ave been encouraged</w:t>
      </w:r>
      <w:r w:rsidRPr="00B50A3B">
        <w:t xml:space="preserve"> in order to ‘game’ labour market metrics</w:t>
      </w:r>
      <w:r w:rsidR="002B4289" w:rsidRPr="00B50A3B">
        <w:fldChar w:fldCharType="begin"/>
      </w:r>
      <w:r w:rsidR="00665CD2">
        <w:instrText xml:space="preserve"> ADDIN EN.CITE &lt;EndNote&gt;&lt;Cite&gt;&lt;Author&gt;Campbell&lt;/Author&gt;&lt;Year&gt;1976&lt;/Year&gt;&lt;RecNum&gt;74&lt;/RecNum&gt;&lt;record&gt;&lt;rec-number&gt;74&lt;/rec-number&gt;&lt;foreign-keys&gt;&lt;key app="EN" db-id="0x5ddxevivxdteezpt7xf5znxzsefvvs5eep"&gt;74&lt;/key&gt;&lt;/foreign-keys&gt;&lt;ref-type name="Generic"&gt;13&lt;/ref-type&gt;&lt;contributors&gt;&lt;authors&gt;&lt;author&gt;Campbell, D. T.&lt;/author&gt;&lt;/authors&gt;&lt;/contributors&gt;&lt;titles&gt;&lt;title&gt;Assessing the Impact of Planned Social Change&lt;/title&gt;&lt;/titles&gt;&lt;dates&gt;&lt;year&gt;1976&lt;/year&gt;&lt;/dates&gt;&lt;pub-location&gt;Dartmouth College&lt;/pub-location&gt;&lt;publisher&gt;Harvard University Press&lt;/publisher&gt;&lt;urls&gt;&lt;pdf-urls&gt;&lt;url&gt;file:///C:/God/God.Data/Campbell%201976.pdf&lt;/url&gt;&lt;/pdf-urls&gt;&lt;/urls&gt;&lt;/record&gt;&lt;/Cite&gt;&lt;/EndNote&gt;</w:instrText>
      </w:r>
      <w:r w:rsidR="002B4289" w:rsidRPr="00B50A3B">
        <w:fldChar w:fldCharType="separate"/>
      </w:r>
      <w:r w:rsidR="00166D95" w:rsidRPr="00166D95">
        <w:t>(Campbell, 1976)</w:t>
      </w:r>
      <w:r w:rsidR="002B4289" w:rsidRPr="00B50A3B">
        <w:fldChar w:fldCharType="end"/>
      </w:r>
      <w:r w:rsidRPr="00B50A3B">
        <w:t>. The rise in IB claimants observed during the 1990s may have resulted from both claimants and job centre employees responding rationally to a combination of difficult situations and perverse incentives.</w:t>
      </w:r>
    </w:p>
    <w:p w:rsidR="00120EB8" w:rsidRPr="00B50A3B" w:rsidRDefault="00120EB8" w:rsidP="00120EB8">
      <w:pPr>
        <w:pStyle w:val="Heading3"/>
        <w:numPr>
          <w:ilvl w:val="0"/>
          <w:numId w:val="0"/>
        </w:numPr>
      </w:pPr>
      <w:r w:rsidRPr="00B50A3B">
        <w:lastRenderedPageBreak/>
        <w:t>Are the assumptions reasonable? Limitations of the modelling approach</w:t>
      </w:r>
    </w:p>
    <w:p w:rsidR="00E25772" w:rsidRPr="00B50A3B" w:rsidRDefault="00120EB8" w:rsidP="00120EB8">
      <w:r w:rsidRPr="00B50A3B">
        <w:t xml:space="preserve">As with any model, the veracity of the implications </w:t>
      </w:r>
      <w:r w:rsidR="00B50A3B" w:rsidRPr="00B50A3B">
        <w:t>depends</w:t>
      </w:r>
      <w:r w:rsidRPr="00B50A3B">
        <w:t xml:space="preserve"> entirely on the reasonableness of the assumptions that went into making it. The assumptions do not have to be a perfectly accurate representation of the phenomena being modelled, so long as the differences between model and reality are not relevant to the issues at hand, and the model results of interest are not simply artefacts of modelling assumptions. The model presented here represents a gross simplification of the reality it is based on, and simply exists to show that, so long as one accepts the assumptions made are reasonable for investigating the issues at hand, small deficits in fitness can lead to large disadvantages in employability. </w:t>
      </w:r>
    </w:p>
    <w:p w:rsidR="00120EB8" w:rsidRPr="00B50A3B" w:rsidRDefault="00120EB8" w:rsidP="00120EB8">
      <w:r w:rsidRPr="00B50A3B">
        <w:t>One of the advantages of a modelling approach like this is its openness to external scrutiny, and to this end interested readers are welcome to test the model assumptions by rerunning the code with slightly different assumptions, or trying to replication the analysis from scratch. Further research opportunities exist in expending the complexity of the model to include many of the specific ways in which reality differs from the model. For example, further research could expand on this model by representing job fitness as a multidimensional rather than unidimensional quality, with prior qualifications and experiences, as well as types of health condition affecting an individual’s fitness for a specific job. Also modellable are spatial factors, such as the effect of industrial declines that affect some parts of the country more than others</w:t>
      </w:r>
      <w:r w:rsidR="00E25772" w:rsidRPr="00B50A3B">
        <w:t xml:space="preserve"> </w:t>
      </w:r>
      <w:r w:rsidR="002B4289" w:rsidRPr="00B50A3B">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665CD2">
        <w:rPr>
          <w:b/>
        </w:rPr>
        <w:instrText xml:space="preserve"> ADDIN EN.CITE </w:instrText>
      </w:r>
      <w:r w:rsidR="00665CD2">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665CD2">
        <w:rPr>
          <w:b/>
        </w:rPr>
        <w:instrText xml:space="preserve"> ADDIN EN.CITE.DATA </w:instrText>
      </w:r>
      <w:r w:rsidR="00665CD2">
        <w:rPr>
          <w:b/>
        </w:rPr>
      </w:r>
      <w:r w:rsidR="00665CD2">
        <w:rPr>
          <w:b/>
        </w:rPr>
        <w:fldChar w:fldCharType="end"/>
      </w:r>
      <w:r w:rsidR="002B4289" w:rsidRPr="00B50A3B">
        <w:rPr>
          <w:b/>
        </w:rPr>
        <w:fldChar w:fldCharType="separate"/>
      </w:r>
      <w:r w:rsidR="00166D95" w:rsidRPr="00166D95">
        <w:rPr>
          <w:b/>
        </w:rPr>
        <w:t>(Beatty and Fothergill, 1996, 2004, 2005; Beatty et al., 1997; McVicar, 2006; Webster, 2006)</w:t>
      </w:r>
      <w:r w:rsidR="002B4289" w:rsidRPr="00B50A3B">
        <w:rPr>
          <w:b/>
        </w:rPr>
        <w:fldChar w:fldCharType="end"/>
      </w:r>
      <w:r w:rsidR="00C60FDC">
        <w:rPr>
          <w:b/>
        </w:rPr>
        <w:t xml:space="preserve"> </w:t>
      </w:r>
      <w:r w:rsidR="002B4289" w:rsidRPr="00B50A3B">
        <w:fldChar w:fldCharType="begin"/>
      </w:r>
      <w:r w:rsidR="00665CD2">
        <w:instrText xml:space="preserve"> ADDIN EN.CITE &lt;EndNote&gt;&lt;Cite&gt;&lt;Author&gt;Brimblecombe&lt;/Author&gt;&lt;Year&gt;1999&lt;/Year&gt;&lt;RecNum&gt;44&lt;/RecNum&gt;&lt;record&gt;&lt;rec-number&gt;44&lt;/rec-number&gt;&lt;foreign-keys&gt;&lt;key app="EN" db-id="0x5ddxevivxdteezpt7xf5znxzsefvvs5eep"&gt;44&lt;/key&gt;&lt;/foreign-keys&gt;&lt;ref-type name="Journal Article"&gt;17&lt;/ref-type&gt;&lt;contributors&gt;&lt;authors&gt;&lt;author&gt;Brimblecombe, Nic&lt;/author&gt;&lt;author&gt;Dorling, Danny&lt;/author&gt;&lt;author&gt;Shaw, Mary&lt;/author&gt;&lt;/authors&gt;&lt;/contributors&gt;&lt;titles&gt;&lt;title&gt;Mortality and migration in Britain, first results from the British Household Panel Survey&lt;/title&gt;&lt;secondary-title&gt;Social Science &amp;amp; Medicine&lt;/secondary-title&gt;&lt;/titles&gt;&lt;periodical&gt;&lt;full-title&gt;Social Science &amp;amp; Medicine&lt;/full-title&gt;&lt;/periodical&gt;&lt;pages&gt;981-988&lt;/pages&gt;&lt;volume&gt;49&lt;/volume&gt;&lt;number&gt;7&lt;/number&gt;&lt;keywords&gt;&lt;keyword&gt;Mortality&lt;/keyword&gt;&lt;keyword&gt;Migration&lt;/keyword&gt;&lt;keyword&gt;Longitudinal Study&lt;/keyword&gt;&lt;keyword&gt;British Household Panel Survey&lt;/keyword&gt;&lt;keyword&gt;Area effects&lt;/keyword&gt;&lt;/keywords&gt;&lt;dates&gt;&lt;year&gt;1999&lt;/year&gt;&lt;/dates&gt;&lt;isbn&gt;0277-9536&lt;/isbn&gt;&lt;urls&gt;&lt;related-urls&gt;&lt;url&gt;http://www.sciencedirect.com/science/article/pii/S0277953699001951&lt;/url&gt;&lt;/related-urls&gt;&lt;/urls&gt;&lt;/record&gt;&lt;/Cite&gt;&lt;/EndNote&gt;</w:instrText>
      </w:r>
      <w:r w:rsidR="002B4289" w:rsidRPr="00B50A3B">
        <w:fldChar w:fldCharType="separate"/>
      </w:r>
      <w:r w:rsidR="00166D95" w:rsidRPr="00166D95">
        <w:t>(Brimblecombe et al., 1999)</w:t>
      </w:r>
      <w:r w:rsidR="002B4289" w:rsidRPr="00B50A3B">
        <w:fldChar w:fldCharType="end"/>
      </w:r>
      <w:r w:rsidR="00B50A3B">
        <w:t>.</w:t>
      </w:r>
      <w:r w:rsidR="0099023E" w:rsidRPr="00B50A3B">
        <w:t xml:space="preserve"> </w:t>
      </w:r>
      <w:r w:rsidRPr="00B50A3B">
        <w:t xml:space="preserve"> More complex feedback mechanisms, such as modelling the effects of making people in poorer health redundant in preference to those in better health on labour supply and fitness, could also be modelled, as could the effects of demographic factors such as age and gender. The effects of different processes of formal and informal selection </w:t>
      </w:r>
      <w:r w:rsidR="002B4289" w:rsidRPr="00B50A3B">
        <w:rPr>
          <w:b/>
        </w:rPr>
        <w:fldChar w:fldCharType="begin"/>
      </w:r>
      <w:r w:rsidR="00665CD2">
        <w:rPr>
          <w:b/>
        </w:rPr>
        <w:instrText xml:space="preserve"> ADDIN EN.CITE &lt;EndNote&gt;&lt;Cite&gt;&lt;Author&gt;Granovetter&lt;/Author&gt;&lt;Year&gt;1973&lt;/Year&gt;&lt;RecNum&gt;46&lt;/RecNum&gt;&lt;record&gt;&lt;rec-number&gt;46&lt;/rec-number&gt;&lt;foreign-keys&gt;&lt;key app="EN" db-id="0x5ddxevivxdteezpt7xf5znxzsefvvs5eep"&gt;46&lt;/key&gt;&lt;/foreign-keys&gt;&lt;ref-type name="Journal Article"&gt;17&lt;/ref-type&gt;&lt;contributors&gt;&lt;authors&gt;&lt;author&gt;Granovetter, M. S.&lt;/author&gt;&lt;/authors&gt;&lt;/contributors&gt;&lt;titles&gt;&lt;title&gt;The Strength of Weak Ties&lt;/title&gt;&lt;secondary-title&gt;The American Journal of Sociology&lt;/secondary-title&gt;&lt;/titles&gt;&lt;periodical&gt;&lt;full-title&gt;The American Journal of Sociology&lt;/full-title&gt;&lt;/periodical&gt;&lt;pages&gt;1360-1380&lt;/pages&gt;&lt;volume&gt;78&lt;/volume&gt;&lt;number&gt;6&lt;/number&gt;&lt;dates&gt;&lt;year&gt;1973&lt;/year&gt;&lt;pub-dates&gt;&lt;date&gt;May 1973&lt;/date&gt;&lt;/pub-dates&gt;&lt;/dates&gt;&lt;urls&gt;&lt;pdf-urls&gt;&lt;url&gt;file:///C:/God/God.Data/Granovetter%201973.pdf&lt;/url&gt;&lt;/pdf-urls&gt;&lt;/urls&gt;&lt;/record&gt;&lt;/Cite&gt;&lt;/EndNote&gt;</w:instrText>
      </w:r>
      <w:r w:rsidR="002B4289" w:rsidRPr="00B50A3B">
        <w:rPr>
          <w:b/>
        </w:rPr>
        <w:fldChar w:fldCharType="separate"/>
      </w:r>
      <w:r w:rsidR="00166D95" w:rsidRPr="00166D95">
        <w:rPr>
          <w:b/>
        </w:rPr>
        <w:t>(Granovetter, 1973)</w:t>
      </w:r>
      <w:r w:rsidR="002B4289" w:rsidRPr="00B50A3B">
        <w:rPr>
          <w:b/>
        </w:rPr>
        <w:fldChar w:fldCharType="end"/>
      </w:r>
      <w:r w:rsidRPr="00B50A3B">
        <w:t>, such as employer-based in-group (homophilic) preferences and biases based on social categories</w:t>
      </w:r>
      <w:r w:rsidR="002B4289" w:rsidRPr="00B50A3B">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665CD2">
        <w:rPr>
          <w:b/>
        </w:rPr>
        <w:instrText xml:space="preserve"> ADDIN EN.CITE </w:instrText>
      </w:r>
      <w:r w:rsidR="00665CD2">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665CD2">
        <w:rPr>
          <w:b/>
        </w:rPr>
        <w:instrText xml:space="preserve"> ADDIN EN.CITE.DATA </w:instrText>
      </w:r>
      <w:r w:rsidR="00665CD2">
        <w:rPr>
          <w:b/>
        </w:rPr>
      </w:r>
      <w:r w:rsidR="00665CD2">
        <w:rPr>
          <w:b/>
        </w:rPr>
        <w:fldChar w:fldCharType="end"/>
      </w:r>
      <w:r w:rsidR="002B4289" w:rsidRPr="00B50A3B">
        <w:rPr>
          <w:b/>
        </w:rPr>
        <w:fldChar w:fldCharType="separate"/>
      </w:r>
      <w:r w:rsidR="00166D95" w:rsidRPr="00166D95">
        <w:rPr>
          <w:b/>
        </w:rPr>
        <w:t>(Tajfel, 1978; Tajfel, 1981; Tilly, 2004a, b, 2006)</w:t>
      </w:r>
      <w:r w:rsidR="002B4289" w:rsidRPr="00B50A3B">
        <w:rPr>
          <w:b/>
        </w:rPr>
        <w:fldChar w:fldCharType="end"/>
      </w:r>
      <w:r w:rsidRPr="00B50A3B">
        <w:t xml:space="preserve">, pre-selection by temp agencies (i.e. deciding which people on a temp agency’s books should be matched to which jobs at which employers), two stage selection processes first involving CVs and application forms. With a sufficiently complex system, parameterisations using real life data </w:t>
      </w:r>
      <w:r w:rsidRPr="00B50A3B">
        <w:lastRenderedPageBreak/>
        <w:t xml:space="preserve">may be appropriate, and the model may be useful in making empirical predictions. Even this basic model, however, suggests a number of significant policy implications. </w:t>
      </w:r>
    </w:p>
    <w:p w:rsidR="00120EB8" w:rsidRPr="00B50A3B" w:rsidRDefault="00120EB8" w:rsidP="00120EB8">
      <w:pPr>
        <w:pStyle w:val="Heading3"/>
        <w:numPr>
          <w:ilvl w:val="0"/>
          <w:numId w:val="0"/>
        </w:numPr>
      </w:pPr>
      <w:r w:rsidRPr="00B50A3B">
        <w:t>What are the implications?</w:t>
      </w:r>
    </w:p>
    <w:p w:rsidR="00AF3F51" w:rsidRPr="00B50A3B" w:rsidRDefault="00AF3F51" w:rsidP="00AF3F51">
      <w:r w:rsidRPr="00B50A3B">
        <w:t>As a very general model, this could also be applied to other selection processes which sufficiently similar features. Health is not the only cause of relative disadvantage in the labour market. Individuals may be disadvantaged, for example, by age, qualifications, experience, language and cultural background, physical attractiveness, presence of a criminal record</w:t>
      </w:r>
      <w:r w:rsidR="00C60FDC">
        <w:t xml:space="preserve"> </w:t>
      </w:r>
      <w:r w:rsidRPr="00B50A3B">
        <w:t xml:space="preserve">and a combination of these factors. The fact of there being a disadvantage to an extent matters more from the perspective of this model than the specific type of disadvantage. In all cases, similar policy implications may follow. </w:t>
      </w:r>
    </w:p>
    <w:p w:rsidR="00120EB8" w:rsidRPr="00B50A3B" w:rsidRDefault="00AF3F51" w:rsidP="00FC02E5">
      <w:r w:rsidRPr="00B50A3B">
        <w:t xml:space="preserve">The main implication of this finding seems to be that efforts since the mid 1990s to </w:t>
      </w:r>
      <w:r w:rsidR="006A3837" w:rsidRPr="00B50A3B">
        <w:t>address the large numbers of men on IVB/IB/ESA through supply-side interventions</w:t>
      </w:r>
      <w:r w:rsidR="00A70FDF" w:rsidRPr="00B50A3B">
        <w:t xml:space="preserve"> </w:t>
      </w:r>
      <w:r w:rsidR="002B4289" w:rsidRPr="00B50A3B">
        <w:fldChar w:fldCharType="begin"/>
      </w:r>
      <w:r w:rsidR="00665CD2">
        <w:instrText xml:space="preserve"> ADDIN EN.CITE &lt;EndNote&gt;&lt;Cite&gt;&lt;Author&gt;Waddell&lt;/Author&gt;&lt;Year&gt;2006&lt;/Year&gt;&lt;RecNum&gt;35&lt;/RecNum&gt;&lt;record&gt;&lt;rec-number&gt;35&lt;/rec-number&gt;&lt;foreign-keys&gt;&lt;key app="EN" db-id="0x5ddxevivxdteezpt7xf5znxzsefvvs5eep"&gt;35&lt;/key&gt;&lt;/foreign-keys&gt;&lt;ref-type name="Government Document"&gt;46&lt;/ref-type&gt;&lt;contributors&gt;&lt;authors&gt;&lt;author&gt;Waddell, G.&amp;#xD;Burton, A Kim&lt;/author&gt;&lt;/authors&gt;&lt;secondary-authors&gt;&lt;author&gt;DWP&lt;/author&gt;&lt;/secondary-authors&gt;&lt;/contributors&gt;&lt;titles&gt;&lt;title&gt;Is Work Good for Your Health and Well-Being&lt;/title&gt;&lt;/titles&gt;&lt;dates&gt;&lt;year&gt;2006&lt;/year&gt;&lt;/dates&gt;&lt;urls&gt;&lt;/urls&gt;&lt;/record&gt;&lt;/Cite&gt;&lt;Cite&gt;&lt;Author&gt;Aylward&lt;/Author&gt;&lt;Year&gt;2005&lt;/Year&gt;&lt;RecNum&gt;57&lt;/RecNum&gt;&lt;record&gt;&lt;rec-number&gt;57&lt;/rec-number&gt;&lt;foreign-keys&gt;&lt;key app="EN" db-id="0x5ddxevivxdteezpt7xf5znxzsefvvs5eep"&gt;57&lt;/key&gt;&lt;/foreign-keys&gt;&lt;ref-type name="Book"&gt;6&lt;/ref-type&gt;&lt;contributors&gt;&lt;authors&gt;&lt;author&gt;Aylward, M.&lt;/author&gt;&lt;author&gt;Waddell, G.&lt;/author&gt;&lt;/authors&gt;&lt;/contributors&gt;&lt;titles&gt;&lt;title&gt;The Scientific and Conceptual Basis of Incapacity Benefit&lt;/title&gt;&lt;alt-title&gt;Scientific &amp;amp; Conceptual Basis of IB&lt;/alt-title&gt;&lt;short-title&gt;Scientific &amp;amp; Conceptual Basis of IB&lt;/short-title&gt;&lt;/titles&gt;&lt;dates&gt;&lt;year&gt;2005&lt;/year&gt;&lt;/dates&gt;&lt;pub-location&gt;London&lt;/pub-location&gt;&lt;publisher&gt;The Stationary Office&lt;/publisher&gt;&lt;urls&gt;&lt;pdf-urls&gt;&lt;url&gt;file:///C:/God/God.Data/SciCon%20Notes.xls&lt;/url&gt;&lt;/pdf-urls&gt;&lt;/urls&gt;&lt;/record&gt;&lt;/Cite&gt;&lt;/EndNote&gt;</w:instrText>
      </w:r>
      <w:r w:rsidR="002B4289" w:rsidRPr="00B50A3B">
        <w:fldChar w:fldCharType="separate"/>
      </w:r>
      <w:r w:rsidR="00166D95" w:rsidRPr="00166D95">
        <w:t>(Aylward and Waddell, 2005; Waddell, 2006)</w:t>
      </w:r>
      <w:r w:rsidR="002B4289" w:rsidRPr="00B50A3B">
        <w:fldChar w:fldCharType="end"/>
      </w:r>
      <w:r w:rsidR="006A3837" w:rsidRPr="00B50A3B">
        <w:t xml:space="preserve">, for example by encouraging IB claimants to engage in jobseeking activity, may be ineffective if they are not complemented by equally substantial demand-side interventions. Streamed (or ‘sheltered’) employment schemes, such as that exemplified by the UK organisation Remploy for disabled people, represent one form of demand-side intervention of this kind, though the political appetite for establishing organisations </w:t>
      </w:r>
      <w:r w:rsidR="00A70FDF" w:rsidRPr="00B50A3B">
        <w:t xml:space="preserve">of this type have been limited for decades, </w:t>
      </w:r>
      <w:r w:rsidR="002B4289" w:rsidRPr="00B50A3B">
        <w:rPr>
          <w:lang w:val="en-US"/>
        </w:rPr>
        <w:fldChar w:fldCharType="begin"/>
      </w:r>
      <w:r w:rsidR="00665CD2">
        <w:rPr>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2B4289" w:rsidRPr="00B50A3B">
        <w:rPr>
          <w:lang w:val="en-US"/>
        </w:rPr>
        <w:fldChar w:fldCharType="separate"/>
      </w:r>
      <w:r w:rsidR="00166D95" w:rsidRPr="00166D95">
        <w:rPr>
          <w:lang w:val="en-US"/>
        </w:rPr>
        <w:t>(Webster, 2006)</w:t>
      </w:r>
      <w:r w:rsidR="002B4289" w:rsidRPr="00B50A3B">
        <w:rPr>
          <w:lang w:val="en-US"/>
        </w:rPr>
        <w:fldChar w:fldCharType="end"/>
      </w:r>
      <w:r w:rsidR="0099023E" w:rsidRPr="00B50A3B">
        <w:rPr>
          <w:lang w:val="en-US"/>
        </w:rPr>
        <w:t xml:space="preserve"> </w:t>
      </w:r>
      <w:r w:rsidR="00A70FDF" w:rsidRPr="00B50A3B">
        <w:t xml:space="preserve">and Remploy itself has downsized in recent years. Even without creating new organisations, however, the government could still be more active on the demand side of the equation by, for example, establishing quotas that require employers to employ a certain proportion of their workforce from the IB/ESA claimant population. Without such kinds of intervention, the </w:t>
      </w:r>
      <w:r w:rsidR="0099023E" w:rsidRPr="00B50A3B">
        <w:t>only other realistic way in which the IB/ESA claimant population may reduce in size is through reaching pensionable age and so no longer counting as part of the working age population.</w:t>
      </w:r>
    </w:p>
    <w:p w:rsidR="00FC02E5" w:rsidRPr="00FC02E5" w:rsidRDefault="00FC02E5" w:rsidP="00FC02E5"/>
    <w:p w:rsidR="003277DA" w:rsidRDefault="003277DA" w:rsidP="006E5934">
      <w:pPr>
        <w:rPr>
          <w:color w:val="FF0000"/>
        </w:rPr>
      </w:pPr>
      <w:r>
        <w:rPr>
          <w:color w:val="FF0000"/>
        </w:rPr>
        <w:t xml:space="preserve"> </w:t>
      </w:r>
    </w:p>
    <w:p w:rsidR="006E5934" w:rsidRPr="00EB07F8" w:rsidRDefault="006E5934">
      <w:pPr>
        <w:spacing w:line="276" w:lineRule="auto"/>
        <w:jc w:val="left"/>
        <w:rPr>
          <w:color w:val="FF0000"/>
        </w:rPr>
      </w:pPr>
      <w:r w:rsidRPr="00EB07F8">
        <w:rPr>
          <w:color w:val="FF0000"/>
        </w:rPr>
        <w:br w:type="page"/>
      </w:r>
    </w:p>
    <w:bookmarkEnd w:id="0"/>
    <w:bookmarkEnd w:id="1"/>
    <w:p w:rsidR="000464D6" w:rsidRDefault="00293FAB" w:rsidP="00B50A3B">
      <w:pPr>
        <w:pStyle w:val="Heading1"/>
        <w:numPr>
          <w:ilvl w:val="0"/>
          <w:numId w:val="0"/>
        </w:numPr>
        <w:ind w:left="432" w:hanging="432"/>
      </w:pPr>
      <w:r>
        <w:lastRenderedPageBreak/>
        <w:t>References</w:t>
      </w:r>
    </w:p>
    <w:p w:rsidR="00665CD2" w:rsidRPr="00665CD2" w:rsidRDefault="002B4289" w:rsidP="00665CD2">
      <w:pPr>
        <w:spacing w:after="0" w:line="240" w:lineRule="auto"/>
        <w:rPr>
          <w:rFonts w:ascii="Calibri" w:hAnsi="Calibri"/>
        </w:rPr>
      </w:pPr>
      <w:r w:rsidRPr="00EB07F8">
        <w:fldChar w:fldCharType="begin"/>
      </w:r>
      <w:r w:rsidR="000464D6" w:rsidRPr="00EB07F8">
        <w:instrText xml:space="preserve"> ADDIN EN.REFLIST </w:instrText>
      </w:r>
      <w:r w:rsidRPr="00EB07F8">
        <w:fldChar w:fldCharType="separate"/>
      </w:r>
      <w:r w:rsidR="00665CD2" w:rsidRPr="00665CD2">
        <w:rPr>
          <w:rFonts w:ascii="Calibri" w:hAnsi="Calibri"/>
        </w:rPr>
        <w:t>Adam S, Bozio A, Emmerson C, Greenberg D, Knight G. 2008. A cost-benefit analysis of Pathways to Work for new and repeat incapacity benefits claimants. In: DWP (Ed)^(Eds). HMSO: Norwich; 2008.</w:t>
      </w:r>
    </w:p>
    <w:p w:rsidR="00665CD2" w:rsidRPr="00665CD2" w:rsidRDefault="00665CD2" w:rsidP="00665CD2">
      <w:pPr>
        <w:spacing w:after="0" w:line="240" w:lineRule="auto"/>
        <w:rPr>
          <w:rFonts w:ascii="Calibri" w:hAnsi="Calibri"/>
        </w:rPr>
      </w:pPr>
      <w:r w:rsidRPr="00665CD2">
        <w:rPr>
          <w:rFonts w:ascii="Calibri" w:hAnsi="Calibri"/>
        </w:rPr>
        <w:t>Adam S, Emmerson C, Frayne C, Goodman A. 2006. Early quantitative evidence on the impact of the Pathways to Work pilots. In: DWP (Ed)^(Eds). Corporate Document Services; 2006.</w:t>
      </w:r>
    </w:p>
    <w:p w:rsidR="00665CD2" w:rsidRPr="00665CD2" w:rsidRDefault="00665CD2" w:rsidP="00665CD2">
      <w:pPr>
        <w:spacing w:after="0" w:line="240" w:lineRule="auto"/>
        <w:rPr>
          <w:rFonts w:ascii="Calibri" w:hAnsi="Calibri"/>
        </w:rPr>
      </w:pPr>
      <w:r w:rsidRPr="00665CD2">
        <w:rPr>
          <w:rFonts w:ascii="Calibri" w:hAnsi="Calibri"/>
        </w:rPr>
        <w:t>Anonymous. 2010. The Work Capability Assessment: A Call for Evidence. (Ed)^(Eds). DWP: London; 2010.</w:t>
      </w:r>
    </w:p>
    <w:p w:rsidR="00665CD2" w:rsidRPr="00665CD2" w:rsidRDefault="00665CD2" w:rsidP="00665CD2">
      <w:pPr>
        <w:spacing w:after="0" w:line="240" w:lineRule="auto"/>
        <w:rPr>
          <w:rFonts w:ascii="Calibri" w:hAnsi="Calibri"/>
        </w:rPr>
      </w:pPr>
      <w:r w:rsidRPr="00665CD2">
        <w:rPr>
          <w:rFonts w:ascii="Calibri" w:hAnsi="Calibri"/>
        </w:rPr>
        <w:t>Aylward M, Waddell G. The Scientific and Conceptual Basis of Incapacity Benefits. The Stationary Office: London; 2005.</w:t>
      </w:r>
    </w:p>
    <w:p w:rsidR="00665CD2" w:rsidRPr="00665CD2" w:rsidRDefault="00665CD2" w:rsidP="00665CD2">
      <w:pPr>
        <w:spacing w:after="0" w:line="240" w:lineRule="auto"/>
        <w:rPr>
          <w:rFonts w:ascii="Calibri" w:hAnsi="Calibri"/>
        </w:rPr>
      </w:pPr>
      <w:r w:rsidRPr="00665CD2">
        <w:rPr>
          <w:rFonts w:ascii="Calibri" w:hAnsi="Calibri"/>
        </w:rPr>
        <w:t>BBC. 2010. Doctors to give 'fit notes' instead of sick notes. (Ed)^(Eds), vol. 2011. BBC: London; 2010.</w:t>
      </w:r>
    </w:p>
    <w:p w:rsidR="00665CD2" w:rsidRPr="00665CD2" w:rsidRDefault="00665CD2" w:rsidP="00665CD2">
      <w:pPr>
        <w:spacing w:after="0" w:line="240" w:lineRule="auto"/>
        <w:rPr>
          <w:rFonts w:ascii="Calibri" w:hAnsi="Calibri"/>
        </w:rPr>
      </w:pPr>
      <w:r w:rsidRPr="00665CD2">
        <w:rPr>
          <w:rFonts w:ascii="Calibri" w:hAnsi="Calibri"/>
        </w:rPr>
        <w:t>Beatty C, Fothergill S. Labour market adjustment in areas of chronic industrial decline: The case of the UK coalfields. Regional Studies 1996;30; 627-640.</w:t>
      </w:r>
    </w:p>
    <w:p w:rsidR="00665CD2" w:rsidRPr="00665CD2" w:rsidRDefault="00665CD2" w:rsidP="00665CD2">
      <w:pPr>
        <w:spacing w:after="0" w:line="240" w:lineRule="auto"/>
        <w:rPr>
          <w:rFonts w:ascii="Calibri" w:hAnsi="Calibri"/>
        </w:rPr>
      </w:pPr>
      <w:r w:rsidRPr="00665CD2">
        <w:rPr>
          <w:rFonts w:ascii="Calibri" w:hAnsi="Calibri"/>
        </w:rPr>
        <w:t>Beatty C, Fothergill S. Economic change and the labour market in Britain's seaside towns. Regional Studies 2004;38; 461-480.</w:t>
      </w:r>
    </w:p>
    <w:p w:rsidR="00665CD2" w:rsidRPr="00665CD2" w:rsidRDefault="00665CD2" w:rsidP="00665CD2">
      <w:pPr>
        <w:spacing w:after="0" w:line="240" w:lineRule="auto"/>
        <w:rPr>
          <w:rFonts w:ascii="Calibri" w:hAnsi="Calibri"/>
        </w:rPr>
      </w:pPr>
      <w:r w:rsidRPr="00665CD2">
        <w:rPr>
          <w:rFonts w:ascii="Calibri" w:hAnsi="Calibri"/>
        </w:rPr>
        <w:t>Beatty C, Fothergill S. The diversion from 'unemployment' to 'sickness' across British regions and districts. Regional Studies 2005;39; 837-854.</w:t>
      </w:r>
    </w:p>
    <w:p w:rsidR="00665CD2" w:rsidRPr="00665CD2" w:rsidRDefault="00665CD2" w:rsidP="00665CD2">
      <w:pPr>
        <w:spacing w:after="0" w:line="240" w:lineRule="auto"/>
        <w:rPr>
          <w:rFonts w:ascii="Calibri" w:hAnsi="Calibri"/>
        </w:rPr>
      </w:pPr>
      <w:r w:rsidRPr="00665CD2">
        <w:rPr>
          <w:rFonts w:ascii="Calibri" w:hAnsi="Calibri"/>
        </w:rPr>
        <w:t>Beatty C, Fothergill S, Lawless P. Geographical variation in the labour-market adjustment process: the UK coalfields 1981-91. Environ. Plan. A 1997;29; 2041-2060.</w:t>
      </w:r>
    </w:p>
    <w:p w:rsidR="00665CD2" w:rsidRPr="00665CD2" w:rsidRDefault="00665CD2" w:rsidP="00665CD2">
      <w:pPr>
        <w:spacing w:after="0" w:line="240" w:lineRule="auto"/>
        <w:rPr>
          <w:rFonts w:ascii="Calibri" w:hAnsi="Calibri"/>
        </w:rPr>
      </w:pPr>
      <w:r w:rsidRPr="00665CD2">
        <w:rPr>
          <w:rFonts w:ascii="Calibri" w:hAnsi="Calibri"/>
        </w:rPr>
        <w:t>Beatty C, Fothergill S, Macmillan R. A Theory of Employment, Unemployment and Sickness. Regional Studies 2000;34; 617-630.</w:t>
      </w:r>
    </w:p>
    <w:p w:rsidR="00665CD2" w:rsidRPr="00665CD2" w:rsidRDefault="00665CD2" w:rsidP="00665CD2">
      <w:pPr>
        <w:spacing w:after="0" w:line="240" w:lineRule="auto"/>
        <w:rPr>
          <w:rFonts w:ascii="Calibri" w:hAnsi="Calibri"/>
        </w:rPr>
      </w:pPr>
      <w:r w:rsidRPr="00665CD2">
        <w:rPr>
          <w:rFonts w:ascii="Calibri" w:hAnsi="Calibri"/>
        </w:rPr>
        <w:t>Becker GS. 1992. The Economic Way of Looking at Life. In: Persson T (Ed)^(Eds), Nobel Lectures, Economics 1991-1995. World Scientific Publishing: Singapore; 1992.</w:t>
      </w:r>
    </w:p>
    <w:p w:rsidR="00665CD2" w:rsidRPr="00665CD2" w:rsidRDefault="00665CD2" w:rsidP="00665CD2">
      <w:pPr>
        <w:spacing w:after="0" w:line="240" w:lineRule="auto"/>
        <w:rPr>
          <w:rFonts w:ascii="Calibri" w:hAnsi="Calibri"/>
        </w:rPr>
      </w:pPr>
      <w:r w:rsidRPr="00665CD2">
        <w:rPr>
          <w:rFonts w:ascii="Calibri" w:hAnsi="Calibri"/>
        </w:rPr>
        <w:t>Bewley H, Dorsett R, Haile G. 2007. The Impact of Pathways to Work. In: DWP (Ed)^(Eds). Corporate Document Services: London; 2007.</w:t>
      </w:r>
    </w:p>
    <w:p w:rsidR="00665CD2" w:rsidRPr="00665CD2" w:rsidRDefault="00665CD2" w:rsidP="00665CD2">
      <w:pPr>
        <w:spacing w:after="0" w:line="240" w:lineRule="auto"/>
        <w:rPr>
          <w:rFonts w:ascii="Calibri" w:hAnsi="Calibri"/>
        </w:rPr>
      </w:pPr>
      <w:r w:rsidRPr="00665CD2">
        <w:rPr>
          <w:rFonts w:ascii="Calibri" w:hAnsi="Calibri"/>
        </w:rPr>
        <w:t>Bewley H, Dorsett R, Ratto M. 2008. Evidence on the effect of Pathways to Work on existing claimants. In: DWP (Ed)^(Eds). HMSO: Norwich; 2008.</w:t>
      </w:r>
    </w:p>
    <w:p w:rsidR="00665CD2" w:rsidRPr="00665CD2" w:rsidRDefault="00665CD2" w:rsidP="00665CD2">
      <w:pPr>
        <w:spacing w:after="0" w:line="240" w:lineRule="auto"/>
        <w:rPr>
          <w:rFonts w:ascii="Calibri" w:hAnsi="Calibri"/>
        </w:rPr>
      </w:pPr>
      <w:r w:rsidRPr="00665CD2">
        <w:rPr>
          <w:rFonts w:ascii="Calibri" w:hAnsi="Calibri"/>
        </w:rPr>
        <w:t>Black C. Working for a healthier tomorrows. TSO: London; 2008.</w:t>
      </w:r>
    </w:p>
    <w:p w:rsidR="00665CD2" w:rsidRPr="00665CD2" w:rsidRDefault="00665CD2" w:rsidP="00665CD2">
      <w:pPr>
        <w:spacing w:after="0" w:line="240" w:lineRule="auto"/>
        <w:rPr>
          <w:rFonts w:ascii="Calibri" w:hAnsi="Calibri"/>
        </w:rPr>
      </w:pPr>
      <w:r w:rsidRPr="00665CD2">
        <w:rPr>
          <w:rFonts w:ascii="Calibri" w:hAnsi="Calibri"/>
        </w:rPr>
        <w:t>Blyth B. 2006. Incapacity Benefit reforms - Pathways to Work Pilots performance and analysis. In: DWP (Ed)^(Eds). Corporate Document Services: Leeds; 2006.</w:t>
      </w:r>
    </w:p>
    <w:p w:rsidR="00665CD2" w:rsidRPr="00665CD2" w:rsidRDefault="00665CD2" w:rsidP="00665CD2">
      <w:pPr>
        <w:spacing w:after="0" w:line="240" w:lineRule="auto"/>
        <w:rPr>
          <w:rFonts w:ascii="Calibri" w:hAnsi="Calibri"/>
        </w:rPr>
      </w:pPr>
      <w:r w:rsidRPr="00665CD2">
        <w:rPr>
          <w:rFonts w:ascii="Calibri" w:hAnsi="Calibri"/>
        </w:rPr>
        <w:t>Brimblecombe N, Dorling D, Shaw M. Mortality and migration in Britain, first results from the British Household Panel Survey. Social Science &amp; Medicine 1999;49; 981-988.</w:t>
      </w:r>
    </w:p>
    <w:p w:rsidR="00665CD2" w:rsidRPr="00665CD2" w:rsidRDefault="00665CD2" w:rsidP="00665CD2">
      <w:pPr>
        <w:spacing w:after="0" w:line="240" w:lineRule="auto"/>
        <w:rPr>
          <w:rFonts w:ascii="Calibri" w:hAnsi="Calibri"/>
        </w:rPr>
      </w:pPr>
      <w:r w:rsidRPr="00665CD2">
        <w:rPr>
          <w:rFonts w:ascii="Calibri" w:hAnsi="Calibri"/>
        </w:rPr>
        <w:t>Campbell DT. 1976. Assessing the Impact of Planned Social Change. (Ed)^(Eds). Harvard University Press: Dartmouth College; 1976.</w:t>
      </w:r>
    </w:p>
    <w:p w:rsidR="00665CD2" w:rsidRPr="00665CD2" w:rsidRDefault="00665CD2" w:rsidP="00665CD2">
      <w:pPr>
        <w:spacing w:after="0" w:line="240" w:lineRule="auto"/>
        <w:rPr>
          <w:rFonts w:ascii="Calibri" w:hAnsi="Calibri"/>
        </w:rPr>
      </w:pPr>
      <w:r w:rsidRPr="00665CD2">
        <w:rPr>
          <w:rFonts w:ascii="Calibri" w:hAnsi="Calibri"/>
        </w:rPr>
        <w:t>Coalition. our programme for governments. HM Government: London; 2010.</w:t>
      </w:r>
    </w:p>
    <w:p w:rsidR="00665CD2" w:rsidRPr="00665CD2" w:rsidRDefault="00665CD2" w:rsidP="00665CD2">
      <w:pPr>
        <w:spacing w:after="0" w:line="240" w:lineRule="auto"/>
        <w:rPr>
          <w:rFonts w:ascii="Calibri" w:hAnsi="Calibri"/>
        </w:rPr>
      </w:pPr>
      <w:r w:rsidRPr="00665CD2">
        <w:rPr>
          <w:rFonts w:ascii="Calibri" w:hAnsi="Calibri"/>
        </w:rPr>
        <w:t>Dryburgh K, Lancashire M. 2010. The Work Capability Assessment: A response from Citizens Advice Scotland. (Ed)^(Eds). Edinburgh; 2010.</w:t>
      </w:r>
    </w:p>
    <w:p w:rsidR="00665CD2" w:rsidRPr="00665CD2" w:rsidRDefault="00665CD2" w:rsidP="00665CD2">
      <w:pPr>
        <w:spacing w:after="0" w:line="240" w:lineRule="auto"/>
        <w:rPr>
          <w:rFonts w:ascii="Calibri" w:hAnsi="Calibri"/>
        </w:rPr>
      </w:pPr>
      <w:r w:rsidRPr="00665CD2">
        <w:rPr>
          <w:rFonts w:ascii="Calibri" w:hAnsi="Calibri"/>
        </w:rPr>
        <w:t>DWP. 2009. Building Britain's Recovery: Achieving Full Employment. (Ed)^(Eds), vol. 2010. TSO: London; 2009.</w:t>
      </w:r>
    </w:p>
    <w:p w:rsidR="00665CD2" w:rsidRPr="00665CD2" w:rsidRDefault="00665CD2" w:rsidP="00665CD2">
      <w:pPr>
        <w:spacing w:after="0" w:line="240" w:lineRule="auto"/>
        <w:rPr>
          <w:rFonts w:ascii="Calibri" w:hAnsi="Calibri"/>
        </w:rPr>
      </w:pPr>
      <w:r w:rsidRPr="00665CD2">
        <w:rPr>
          <w:rFonts w:ascii="Calibri" w:hAnsi="Calibri"/>
        </w:rPr>
        <w:t>Easton. 2011. Work programme: Grand claims and fine print. (Ed)^(Eds), BBC News. 2011.</w:t>
      </w:r>
    </w:p>
    <w:p w:rsidR="00665CD2" w:rsidRPr="00665CD2" w:rsidRDefault="00665CD2" w:rsidP="00665CD2">
      <w:pPr>
        <w:spacing w:after="0" w:line="240" w:lineRule="auto"/>
        <w:rPr>
          <w:rFonts w:ascii="Calibri" w:hAnsi="Calibri"/>
        </w:rPr>
      </w:pPr>
      <w:r w:rsidRPr="00665CD2">
        <w:rPr>
          <w:rFonts w:ascii="Calibri" w:hAnsi="Calibri"/>
        </w:rPr>
        <w:lastRenderedPageBreak/>
        <w:t>Faggio G, Nickell S. 2005. Inactivity Among Prime Age Men in the UK. (Ed)^(Eds), Centre for Economic Performance Discussion Papers. London; 2005.</w:t>
      </w:r>
    </w:p>
    <w:p w:rsidR="00665CD2" w:rsidRPr="00665CD2" w:rsidRDefault="00665CD2" w:rsidP="00665CD2">
      <w:pPr>
        <w:spacing w:after="0" w:line="240" w:lineRule="auto"/>
        <w:rPr>
          <w:rFonts w:ascii="Calibri" w:hAnsi="Calibri"/>
        </w:rPr>
      </w:pPr>
      <w:r w:rsidRPr="00665CD2">
        <w:rPr>
          <w:rFonts w:ascii="Calibri" w:hAnsi="Calibri"/>
        </w:rPr>
        <w:t>Freud D. 2007. Reducing dependency, increasing opportunity: options for the future of welfare to work. In: DWP (Ed)^(Eds), vol. 2009. Corporate Document Services: Leeds; 2007.</w:t>
      </w:r>
    </w:p>
    <w:p w:rsidR="00665CD2" w:rsidRPr="00665CD2" w:rsidRDefault="00665CD2" w:rsidP="00665CD2">
      <w:pPr>
        <w:spacing w:after="0" w:line="240" w:lineRule="auto"/>
        <w:rPr>
          <w:rFonts w:ascii="Calibri" w:hAnsi="Calibri"/>
        </w:rPr>
      </w:pPr>
      <w:r w:rsidRPr="00665CD2">
        <w:rPr>
          <w:rFonts w:ascii="Calibri" w:hAnsi="Calibri"/>
        </w:rPr>
        <w:t>Gentleman A. 2011. Work capability assessment is assessed, and found lacking. (Ed)^(Eds), The Guardian. London; 2011.</w:t>
      </w:r>
    </w:p>
    <w:p w:rsidR="00665CD2" w:rsidRPr="00665CD2" w:rsidRDefault="00665CD2" w:rsidP="00665CD2">
      <w:pPr>
        <w:spacing w:after="0" w:line="240" w:lineRule="auto"/>
        <w:rPr>
          <w:rFonts w:ascii="Calibri" w:hAnsi="Calibri"/>
        </w:rPr>
      </w:pPr>
      <w:r w:rsidRPr="00665CD2">
        <w:rPr>
          <w:rFonts w:ascii="Calibri" w:hAnsi="Calibri"/>
        </w:rPr>
        <w:t>Gilbert N, Troitzsch KG. Simulation for the Social Scientists. OUP: Buckingham; 1999.</w:t>
      </w:r>
    </w:p>
    <w:p w:rsidR="00665CD2" w:rsidRPr="00665CD2" w:rsidRDefault="00665CD2" w:rsidP="00665CD2">
      <w:pPr>
        <w:spacing w:after="0" w:line="240" w:lineRule="auto"/>
        <w:rPr>
          <w:rFonts w:ascii="Calibri" w:hAnsi="Calibri"/>
        </w:rPr>
      </w:pPr>
      <w:r w:rsidRPr="00665CD2">
        <w:rPr>
          <w:rFonts w:ascii="Calibri" w:hAnsi="Calibri"/>
        </w:rPr>
        <w:t>Granovetter MS. The Strength of Weak Ties. The American Journal of Sociology 1973;78; 1360-1380.</w:t>
      </w:r>
    </w:p>
    <w:p w:rsidR="00665CD2" w:rsidRPr="00665CD2" w:rsidRDefault="00665CD2" w:rsidP="00665CD2">
      <w:pPr>
        <w:spacing w:after="0" w:line="240" w:lineRule="auto"/>
        <w:rPr>
          <w:rFonts w:ascii="Calibri" w:hAnsi="Calibri"/>
        </w:rPr>
      </w:pPr>
      <w:r w:rsidRPr="00665CD2">
        <w:rPr>
          <w:rFonts w:ascii="Calibri" w:hAnsi="Calibri"/>
        </w:rPr>
        <w:t>Groves D. 2011. Interim results of Work Capability Assessments for IB reassessment trial areas. (Ed)^(Eds), vol. 2011. DWP: London; 2011.</w:t>
      </w:r>
    </w:p>
    <w:p w:rsidR="00665CD2" w:rsidRPr="00665CD2" w:rsidRDefault="00665CD2" w:rsidP="00665CD2">
      <w:pPr>
        <w:spacing w:after="0" w:line="240" w:lineRule="auto"/>
        <w:rPr>
          <w:rFonts w:ascii="Calibri" w:hAnsi="Calibri"/>
        </w:rPr>
      </w:pPr>
      <w:r w:rsidRPr="00665CD2">
        <w:rPr>
          <w:rFonts w:ascii="Calibri" w:hAnsi="Calibri"/>
        </w:rPr>
        <w:t>Kunst AE, Bos V, Lahelma E, Bartley M, Lissau I, Regidor E, Mielck A, Cardano M, Dalstra JAA, Geurts JJM, Helmert U, Lennartsson C, Ramm J, Spadea T, Stronegger WJ, Mackenbach JP. Trends in socioeconomic inequalities in self-assessed health in 10 European countries. International Journal of Epidemiology 2005;34; 295-305.</w:t>
      </w:r>
    </w:p>
    <w:p w:rsidR="00665CD2" w:rsidRPr="00665CD2" w:rsidRDefault="00665CD2" w:rsidP="00665CD2">
      <w:pPr>
        <w:spacing w:after="0" w:line="240" w:lineRule="auto"/>
        <w:rPr>
          <w:rFonts w:ascii="Calibri" w:hAnsi="Calibri"/>
        </w:rPr>
      </w:pPr>
      <w:r w:rsidRPr="00665CD2">
        <w:rPr>
          <w:rFonts w:ascii="Calibri" w:hAnsi="Calibri"/>
        </w:rPr>
        <w:t>Margrath O. 2010. Employment and Support Allowance: Work Capability Assessment: Official Statistics July 2010. (Ed)^(Eds), vol. 2011. DWP: London; 2010.</w:t>
      </w:r>
    </w:p>
    <w:p w:rsidR="00665CD2" w:rsidRPr="00665CD2" w:rsidRDefault="00665CD2" w:rsidP="00665CD2">
      <w:pPr>
        <w:spacing w:after="0" w:line="240" w:lineRule="auto"/>
        <w:rPr>
          <w:rFonts w:ascii="Calibri" w:hAnsi="Calibri"/>
        </w:rPr>
      </w:pPr>
      <w:r w:rsidRPr="00665CD2">
        <w:rPr>
          <w:rFonts w:ascii="Calibri" w:hAnsi="Calibri"/>
        </w:rPr>
        <w:t>McVicar D. Why do disability benefit rolls vary between regions? A review of the evidence from the USA and the UK. Regional Studies 2006;40; 519-533.</w:t>
      </w:r>
    </w:p>
    <w:p w:rsidR="00665CD2" w:rsidRPr="00665CD2" w:rsidRDefault="00665CD2" w:rsidP="00665CD2">
      <w:pPr>
        <w:spacing w:after="0" w:line="240" w:lineRule="auto"/>
        <w:rPr>
          <w:rFonts w:ascii="Calibri" w:hAnsi="Calibri"/>
        </w:rPr>
      </w:pPr>
      <w:r w:rsidRPr="00665CD2">
        <w:rPr>
          <w:rFonts w:ascii="Calibri" w:hAnsi="Calibri"/>
        </w:rPr>
        <w:t>Moncrieff J, Pomerleau J. Trends in sickness benefits in Great Britain and the contribution of mental disorders. Journal of Public Health 2000;22; 59-67.</w:t>
      </w:r>
    </w:p>
    <w:p w:rsidR="00665CD2" w:rsidRPr="00665CD2" w:rsidRDefault="00665CD2" w:rsidP="00665CD2">
      <w:pPr>
        <w:spacing w:after="0" w:line="240" w:lineRule="auto"/>
        <w:rPr>
          <w:rFonts w:ascii="Calibri" w:hAnsi="Calibri"/>
        </w:rPr>
      </w:pPr>
      <w:r w:rsidRPr="00665CD2">
        <w:rPr>
          <w:rFonts w:ascii="Calibri" w:hAnsi="Calibri"/>
        </w:rPr>
        <w:t>Morse A. Support to incapacity benefits claimants through Pathways to Works. The Stationery Office: London; 2010.</w:t>
      </w:r>
    </w:p>
    <w:p w:rsidR="00665CD2" w:rsidRPr="00665CD2" w:rsidRDefault="00665CD2" w:rsidP="00665CD2">
      <w:pPr>
        <w:spacing w:after="0" w:line="240" w:lineRule="auto"/>
        <w:rPr>
          <w:rFonts w:ascii="Calibri" w:hAnsi="Calibri"/>
        </w:rPr>
      </w:pPr>
      <w:r w:rsidRPr="00665CD2">
        <w:rPr>
          <w:rFonts w:ascii="Calibri" w:hAnsi="Calibri"/>
        </w:rPr>
        <w:t>Nisbett R, Wilson TD. Telling More Than We Can Know: Verbal Reports on Mental processes. Psychological Review 1977;84; 231-259.</w:t>
      </w:r>
    </w:p>
    <w:p w:rsidR="00665CD2" w:rsidRPr="00665CD2" w:rsidRDefault="00665CD2" w:rsidP="00665CD2">
      <w:pPr>
        <w:spacing w:after="0" w:line="240" w:lineRule="auto"/>
        <w:rPr>
          <w:rFonts w:ascii="Calibri" w:hAnsi="Calibri"/>
        </w:rPr>
      </w:pPr>
      <w:r w:rsidRPr="00665CD2">
        <w:rPr>
          <w:rFonts w:ascii="Calibri" w:hAnsi="Calibri"/>
        </w:rPr>
        <w:t>OECD. 2005. "Pathways to work" increases the off-flow from Incapacity Benefit. (Ed)^(Eds). 2005.</w:t>
      </w:r>
    </w:p>
    <w:p w:rsidR="00665CD2" w:rsidRPr="00665CD2" w:rsidRDefault="00665CD2" w:rsidP="00665CD2">
      <w:pPr>
        <w:spacing w:after="0" w:line="240" w:lineRule="auto"/>
        <w:rPr>
          <w:rFonts w:ascii="Calibri" w:hAnsi="Calibri"/>
        </w:rPr>
      </w:pPr>
      <w:r w:rsidRPr="00665CD2">
        <w:rPr>
          <w:rFonts w:ascii="Calibri" w:hAnsi="Calibri"/>
        </w:rPr>
        <w:t>Schelling T. Dynamic Models of Segregation. Journal of Mathematical Sociology 1971;1; 143-186.</w:t>
      </w:r>
    </w:p>
    <w:p w:rsidR="00665CD2" w:rsidRPr="00665CD2" w:rsidRDefault="00665CD2" w:rsidP="00665CD2">
      <w:pPr>
        <w:spacing w:after="0" w:line="240" w:lineRule="auto"/>
        <w:rPr>
          <w:rFonts w:ascii="Calibri" w:hAnsi="Calibri"/>
        </w:rPr>
      </w:pPr>
      <w:r w:rsidRPr="00665CD2">
        <w:rPr>
          <w:rFonts w:ascii="Calibri" w:hAnsi="Calibri"/>
        </w:rPr>
        <w:t>Schelling T. Micromotives and Macrobehaviors. V W Norton &amp; Company Ltd.: London; 1978.</w:t>
      </w:r>
    </w:p>
    <w:p w:rsidR="00665CD2" w:rsidRPr="00665CD2" w:rsidRDefault="00665CD2" w:rsidP="00665CD2">
      <w:pPr>
        <w:spacing w:after="0" w:line="240" w:lineRule="auto"/>
        <w:rPr>
          <w:rFonts w:ascii="Calibri" w:hAnsi="Calibri"/>
        </w:rPr>
      </w:pPr>
      <w:r w:rsidRPr="00665CD2">
        <w:rPr>
          <w:rFonts w:ascii="Calibri" w:hAnsi="Calibri"/>
        </w:rPr>
        <w:t>Simmonds D. 2011. The Work Programme can't escape the market. (Ed)^(Eds), The Guardian. 2011.</w:t>
      </w:r>
    </w:p>
    <w:p w:rsidR="00665CD2" w:rsidRPr="00665CD2" w:rsidRDefault="00665CD2" w:rsidP="00665CD2">
      <w:pPr>
        <w:spacing w:after="0" w:line="240" w:lineRule="auto"/>
        <w:rPr>
          <w:rFonts w:ascii="Calibri" w:hAnsi="Calibri"/>
        </w:rPr>
      </w:pPr>
      <w:r w:rsidRPr="00665CD2">
        <w:rPr>
          <w:rFonts w:ascii="Calibri" w:hAnsi="Calibri"/>
        </w:rPr>
        <w:t>Tajfel H. 1978. Differentiation between social groups: Studies in the social psychology of intergroup relations. (Ed)^(Eds). Academic Press: London; 1978.</w:t>
      </w:r>
    </w:p>
    <w:p w:rsidR="00665CD2" w:rsidRPr="00665CD2" w:rsidRDefault="00665CD2" w:rsidP="00665CD2">
      <w:pPr>
        <w:spacing w:after="0" w:line="240" w:lineRule="auto"/>
        <w:rPr>
          <w:rFonts w:ascii="Calibri" w:hAnsi="Calibri"/>
        </w:rPr>
      </w:pPr>
      <w:r w:rsidRPr="00665CD2">
        <w:rPr>
          <w:rFonts w:ascii="Calibri" w:hAnsi="Calibri"/>
        </w:rPr>
        <w:t>Tajfel H. Human Groups and Social Categories: studies in social psychologys. Cambridge University Press: Cambridge; 1981.</w:t>
      </w:r>
    </w:p>
    <w:p w:rsidR="00665CD2" w:rsidRPr="00665CD2" w:rsidRDefault="00665CD2" w:rsidP="00665CD2">
      <w:pPr>
        <w:spacing w:after="0" w:line="240" w:lineRule="auto"/>
        <w:rPr>
          <w:rFonts w:ascii="Calibri" w:hAnsi="Calibri"/>
        </w:rPr>
      </w:pPr>
      <w:r w:rsidRPr="00665CD2">
        <w:rPr>
          <w:rFonts w:ascii="Calibri" w:hAnsi="Calibri"/>
        </w:rPr>
        <w:t>Tilly C. Reasons Why. Sociological Theory 2004a;22; 445-454.</w:t>
      </w:r>
    </w:p>
    <w:p w:rsidR="00665CD2" w:rsidRPr="00665CD2" w:rsidRDefault="00665CD2" w:rsidP="00665CD2">
      <w:pPr>
        <w:spacing w:after="0" w:line="240" w:lineRule="auto"/>
        <w:rPr>
          <w:rFonts w:ascii="Calibri" w:hAnsi="Calibri"/>
        </w:rPr>
      </w:pPr>
      <w:r w:rsidRPr="00665CD2">
        <w:rPr>
          <w:rFonts w:ascii="Calibri" w:hAnsi="Calibri"/>
        </w:rPr>
        <w:t>Tilly C. Social Boundary Mechanisms. Philosophy of the Social Sciences 2004b;34; 211-236.</w:t>
      </w:r>
    </w:p>
    <w:p w:rsidR="00665CD2" w:rsidRPr="00665CD2" w:rsidRDefault="00665CD2" w:rsidP="00665CD2">
      <w:pPr>
        <w:spacing w:after="0" w:line="240" w:lineRule="auto"/>
        <w:rPr>
          <w:rFonts w:ascii="Calibri" w:hAnsi="Calibri"/>
        </w:rPr>
      </w:pPr>
      <w:r w:rsidRPr="00665CD2">
        <w:rPr>
          <w:rFonts w:ascii="Calibri" w:hAnsi="Calibri"/>
        </w:rPr>
        <w:t>Tilly C. Why? what happens when people give reasons ... and whys. Princeton University Press: Oxford; 2006.</w:t>
      </w:r>
    </w:p>
    <w:p w:rsidR="00665CD2" w:rsidRPr="00665CD2" w:rsidRDefault="00665CD2" w:rsidP="00665CD2">
      <w:pPr>
        <w:spacing w:after="0" w:line="240" w:lineRule="auto"/>
        <w:rPr>
          <w:rFonts w:ascii="Calibri" w:hAnsi="Calibri"/>
        </w:rPr>
      </w:pPr>
      <w:r w:rsidRPr="00665CD2">
        <w:rPr>
          <w:rFonts w:ascii="Calibri" w:hAnsi="Calibri"/>
        </w:rPr>
        <w:t>Troitzsch KG, Mueller U, Gilbert GN, Doran JE. 1996. Social Science Microsimulation. (Ed)^(Eds). Springer: Berlin; 1996.</w:t>
      </w:r>
    </w:p>
    <w:p w:rsidR="00665CD2" w:rsidRPr="00665CD2" w:rsidRDefault="00665CD2" w:rsidP="00665CD2">
      <w:pPr>
        <w:spacing w:after="0" w:line="240" w:lineRule="auto"/>
        <w:rPr>
          <w:rFonts w:ascii="Calibri" w:hAnsi="Calibri"/>
        </w:rPr>
      </w:pPr>
      <w:r w:rsidRPr="00665CD2">
        <w:rPr>
          <w:rFonts w:ascii="Calibri" w:hAnsi="Calibri"/>
        </w:rPr>
        <w:t>Waddell GB, A Kim. 2006. Is Work Good for Your Health and Well-Being. In: DWP (Ed)^(Eds). 2006.</w:t>
      </w:r>
    </w:p>
    <w:p w:rsidR="00665CD2" w:rsidRPr="00665CD2" w:rsidRDefault="00665CD2" w:rsidP="00665CD2">
      <w:pPr>
        <w:spacing w:after="0" w:line="240" w:lineRule="auto"/>
        <w:rPr>
          <w:rFonts w:ascii="Calibri" w:hAnsi="Calibri"/>
        </w:rPr>
      </w:pPr>
      <w:r w:rsidRPr="00665CD2">
        <w:rPr>
          <w:rFonts w:ascii="Calibri" w:hAnsi="Calibri"/>
        </w:rPr>
        <w:lastRenderedPageBreak/>
        <w:t>Webster D. Welfare Reform: Facing up to the Geography of Worklessness. Local Economy 2006;21; 107-116.</w:t>
      </w:r>
    </w:p>
    <w:p w:rsidR="00665CD2" w:rsidRPr="00665CD2" w:rsidRDefault="00665CD2" w:rsidP="00665CD2">
      <w:pPr>
        <w:spacing w:after="0" w:line="240" w:lineRule="auto"/>
        <w:rPr>
          <w:rFonts w:ascii="Calibri" w:hAnsi="Calibri"/>
        </w:rPr>
      </w:pPr>
      <w:r w:rsidRPr="00665CD2">
        <w:rPr>
          <w:rFonts w:ascii="Calibri" w:hAnsi="Calibri"/>
        </w:rPr>
        <w:t>Weir G. Economic inactivity in selected countries. Labour Market Trends 2003;June; 299-309.</w:t>
      </w:r>
    </w:p>
    <w:p w:rsidR="00665CD2" w:rsidRDefault="00665CD2" w:rsidP="00665CD2">
      <w:pPr>
        <w:spacing w:after="0" w:line="240" w:lineRule="auto"/>
        <w:ind w:left="720" w:hanging="720"/>
        <w:rPr>
          <w:rFonts w:ascii="Calibri" w:hAnsi="Calibri"/>
        </w:rPr>
      </w:pPr>
    </w:p>
    <w:p w:rsidR="00E71EFE" w:rsidRPr="000464D6" w:rsidRDefault="002B4289">
      <w:pPr>
        <w:rPr>
          <w:color w:val="FF0000"/>
        </w:rPr>
      </w:pPr>
      <w:r w:rsidRPr="00EB07F8">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593" w:rsidRDefault="00594593" w:rsidP="00CE5F68">
      <w:pPr>
        <w:spacing w:after="0" w:line="240" w:lineRule="auto"/>
      </w:pPr>
      <w:r>
        <w:separator/>
      </w:r>
    </w:p>
  </w:endnote>
  <w:endnote w:type="continuationSeparator" w:id="0">
    <w:p w:rsidR="00594593" w:rsidRDefault="00594593"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593" w:rsidRDefault="00594593" w:rsidP="00CE5F68">
      <w:pPr>
        <w:spacing w:after="0" w:line="240" w:lineRule="auto"/>
      </w:pPr>
      <w:r>
        <w:separator/>
      </w:r>
    </w:p>
  </w:footnote>
  <w:footnote w:type="continuationSeparator" w:id="0">
    <w:p w:rsidR="00594593" w:rsidRDefault="00594593"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 Health Econom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es.enl&lt;/item&gt;&lt;/Libraries&gt;&lt;/ENLibraries&gt;"/>
  </w:docVars>
  <w:rsids>
    <w:rsidRoot w:val="00CE5F68"/>
    <w:rsid w:val="000464D6"/>
    <w:rsid w:val="00097F7F"/>
    <w:rsid w:val="00120EB8"/>
    <w:rsid w:val="0012472E"/>
    <w:rsid w:val="00166D95"/>
    <w:rsid w:val="001D5052"/>
    <w:rsid w:val="001F5DDE"/>
    <w:rsid w:val="00223A20"/>
    <w:rsid w:val="00284320"/>
    <w:rsid w:val="00293FAB"/>
    <w:rsid w:val="002B4289"/>
    <w:rsid w:val="002D7F51"/>
    <w:rsid w:val="002F1BEE"/>
    <w:rsid w:val="002F2FCB"/>
    <w:rsid w:val="003120FB"/>
    <w:rsid w:val="003277DA"/>
    <w:rsid w:val="00364DFC"/>
    <w:rsid w:val="0039202A"/>
    <w:rsid w:val="00393A4D"/>
    <w:rsid w:val="003C2B07"/>
    <w:rsid w:val="003F3FC5"/>
    <w:rsid w:val="0043435A"/>
    <w:rsid w:val="0049498F"/>
    <w:rsid w:val="004E45F2"/>
    <w:rsid w:val="005531FD"/>
    <w:rsid w:val="00573EC8"/>
    <w:rsid w:val="00594593"/>
    <w:rsid w:val="00665CD2"/>
    <w:rsid w:val="00667163"/>
    <w:rsid w:val="006A3837"/>
    <w:rsid w:val="006C3C18"/>
    <w:rsid w:val="006D3DA3"/>
    <w:rsid w:val="006D51BF"/>
    <w:rsid w:val="006E5934"/>
    <w:rsid w:val="0071588F"/>
    <w:rsid w:val="00743E90"/>
    <w:rsid w:val="00776AD7"/>
    <w:rsid w:val="007923BF"/>
    <w:rsid w:val="007A183F"/>
    <w:rsid w:val="007B475D"/>
    <w:rsid w:val="007D2125"/>
    <w:rsid w:val="007F1BFF"/>
    <w:rsid w:val="00805B01"/>
    <w:rsid w:val="00852084"/>
    <w:rsid w:val="008645B6"/>
    <w:rsid w:val="00867C8B"/>
    <w:rsid w:val="00873C69"/>
    <w:rsid w:val="0089320C"/>
    <w:rsid w:val="00897A0B"/>
    <w:rsid w:val="00901A34"/>
    <w:rsid w:val="0099023E"/>
    <w:rsid w:val="00A2696B"/>
    <w:rsid w:val="00A70FDF"/>
    <w:rsid w:val="00A8390D"/>
    <w:rsid w:val="00A923BA"/>
    <w:rsid w:val="00AC6EF2"/>
    <w:rsid w:val="00AE350E"/>
    <w:rsid w:val="00AF3F51"/>
    <w:rsid w:val="00B04D93"/>
    <w:rsid w:val="00B50A3B"/>
    <w:rsid w:val="00B86939"/>
    <w:rsid w:val="00BB3ACF"/>
    <w:rsid w:val="00BB6204"/>
    <w:rsid w:val="00BD752F"/>
    <w:rsid w:val="00BF7BB5"/>
    <w:rsid w:val="00C07F1D"/>
    <w:rsid w:val="00C22DF3"/>
    <w:rsid w:val="00C4604D"/>
    <w:rsid w:val="00C60FDC"/>
    <w:rsid w:val="00C655BB"/>
    <w:rsid w:val="00CE5F68"/>
    <w:rsid w:val="00D323AC"/>
    <w:rsid w:val="00D54955"/>
    <w:rsid w:val="00DC58CF"/>
    <w:rsid w:val="00E25772"/>
    <w:rsid w:val="00E5563F"/>
    <w:rsid w:val="00E71EFE"/>
    <w:rsid w:val="00EA79C7"/>
    <w:rsid w:val="00EB06C8"/>
    <w:rsid w:val="00EB07F8"/>
    <w:rsid w:val="00F17DBD"/>
    <w:rsid w:val="00F17F0A"/>
    <w:rsid w:val="00F4014B"/>
    <w:rsid w:val="00F5501F"/>
    <w:rsid w:val="00F810F4"/>
    <w:rsid w:val="00FC02E5"/>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6797</Words>
  <Characters>37322</Characters>
  <Application>Microsoft Office Word</Application>
  <DocSecurity>0</DocSecurity>
  <Lines>565</Lines>
  <Paragraphs>195</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13</cp:revision>
  <cp:lastPrinted>2011-07-06T12:10:00Z</cp:lastPrinted>
  <dcterms:created xsi:type="dcterms:W3CDTF">2011-07-06T11:33:00Z</dcterms:created>
  <dcterms:modified xsi:type="dcterms:W3CDTF">2011-07-19T15:43:00Z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1l-kwIcyjj3x_7zrDS4j2Up6QoBkfe5kNuveWeUcvxUU</vt:lpwstr>
  </property>
  <property fmtid="{D5CDD505-2E9C-101B-9397-08002B2CF9AE}" pid="4" name="Google.Documents.RevisionId">
    <vt:lpwstr>12091548742006071272</vt:lpwstr>
  </property>
  <property fmtid="{D5CDD505-2E9C-101B-9397-08002B2CF9AE}" pid="5" name="Google.Documents.PreviousRevisionId">
    <vt:lpwstr>01951417213451669484</vt:lpwstr>
  </property>
  <property fmtid="{D5CDD505-2E9C-101B-9397-08002B2CF9AE}" pid="6" name="Google.Documents.PluginVersion">
    <vt:lpwstr>2.0.2154.5604</vt:lpwstr>
  </property>
  <property fmtid="{D5CDD505-2E9C-101B-9397-08002B2CF9AE}" pid="7" name="Google.Documents.MergeIncapabilityFlags">
    <vt:i4>0</vt:i4>
  </property>
</Properties>
</file>