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6E5934" w:rsidRDefault="000464D6" w:rsidP="000464D6">
      <w:pPr>
        <w:pStyle w:val="Heading1"/>
        <w:numPr>
          <w:ilvl w:val="0"/>
          <w:numId w:val="0"/>
        </w:numPr>
        <w:ind w:left="432" w:hanging="432"/>
        <w:rPr>
          <w:color w:val="7030A0"/>
        </w:rPr>
      </w:pPr>
      <w:bookmarkStart w:id="0" w:name="_Ref234163477"/>
      <w:bookmarkStart w:id="1" w:name="_Toc265328628"/>
      <w:r w:rsidRPr="006E5934">
        <w:rPr>
          <w:b w:val="0"/>
          <w:color w:val="7030A0"/>
        </w:rPr>
        <w:t>Modelling the relationship between health and employability: can nonlinearities explain the rise in male UK working age economic inactivity?</w:t>
      </w:r>
    </w:p>
    <w:p w:rsidR="000464D6" w:rsidRPr="006E5934" w:rsidRDefault="00AE350E" w:rsidP="00AE350E">
      <w:pPr>
        <w:pStyle w:val="Heading1"/>
        <w:numPr>
          <w:ilvl w:val="0"/>
          <w:numId w:val="0"/>
        </w:numPr>
        <w:ind w:left="432" w:hanging="432"/>
        <w:rPr>
          <w:color w:val="7030A0"/>
        </w:rPr>
      </w:pPr>
      <w:r w:rsidRPr="006E5934">
        <w:rPr>
          <w:color w:val="7030A0"/>
        </w:rPr>
        <w:t>Abstract</w:t>
      </w:r>
    </w:p>
    <w:p w:rsidR="00AE350E" w:rsidRPr="006E5934" w:rsidRDefault="00AE350E" w:rsidP="00AE350E">
      <w:pPr>
        <w:pStyle w:val="Heading2"/>
        <w:numPr>
          <w:ilvl w:val="0"/>
          <w:numId w:val="0"/>
        </w:numPr>
        <w:rPr>
          <w:color w:val="7030A0"/>
        </w:rPr>
      </w:pPr>
      <w:r w:rsidRPr="006E5934">
        <w:rPr>
          <w:color w:val="7030A0"/>
        </w:rPr>
        <w:t>Background</w:t>
      </w:r>
    </w:p>
    <w:p w:rsidR="00AE350E" w:rsidRPr="006E5934" w:rsidRDefault="00AE350E" w:rsidP="00AE350E">
      <w:pPr>
        <w:pStyle w:val="Heading2"/>
        <w:numPr>
          <w:ilvl w:val="0"/>
          <w:numId w:val="0"/>
        </w:numPr>
        <w:rPr>
          <w:color w:val="7030A0"/>
        </w:rPr>
      </w:pPr>
      <w:r w:rsidRPr="006E5934">
        <w:rPr>
          <w:color w:val="7030A0"/>
        </w:rPr>
        <w:t>Methodology/Principal Findings</w:t>
      </w:r>
    </w:p>
    <w:p w:rsidR="00AE350E" w:rsidRPr="006E5934" w:rsidRDefault="00AE350E" w:rsidP="00AE350E">
      <w:pPr>
        <w:pStyle w:val="Heading2"/>
        <w:numPr>
          <w:ilvl w:val="0"/>
          <w:numId w:val="0"/>
        </w:numPr>
        <w:rPr>
          <w:color w:val="7030A0"/>
        </w:rPr>
      </w:pPr>
      <w:r w:rsidRPr="006E5934">
        <w:rPr>
          <w:color w:val="7030A0"/>
        </w:rPr>
        <w:t>Conclusions/Significance</w:t>
      </w:r>
    </w:p>
    <w:p w:rsidR="00AE350E" w:rsidRPr="006E5934" w:rsidRDefault="00AE350E" w:rsidP="00AE350E">
      <w:pPr>
        <w:rPr>
          <w:color w:val="7030A0"/>
        </w:rPr>
      </w:pPr>
    </w:p>
    <w:p w:rsidR="00AE350E" w:rsidRPr="006E5934" w:rsidRDefault="00AE350E">
      <w:pPr>
        <w:spacing w:line="276" w:lineRule="auto"/>
        <w:jc w:val="left"/>
        <w:rPr>
          <w:rFonts w:asciiTheme="majorHAnsi" w:eastAsiaTheme="majorEastAsia" w:hAnsiTheme="majorHAnsi" w:cstheme="majorBidi"/>
          <w:b/>
          <w:bCs/>
          <w:color w:val="7030A0"/>
          <w:sz w:val="28"/>
          <w:szCs w:val="28"/>
        </w:rPr>
      </w:pPr>
      <w:r w:rsidRPr="006E5934">
        <w:rPr>
          <w:color w:val="7030A0"/>
        </w:rPr>
        <w:br w:type="page"/>
      </w:r>
    </w:p>
    <w:p w:rsidR="00AE350E" w:rsidRPr="006E5934" w:rsidRDefault="00AE350E" w:rsidP="00AE350E">
      <w:pPr>
        <w:pStyle w:val="Heading1"/>
        <w:numPr>
          <w:ilvl w:val="0"/>
          <w:numId w:val="0"/>
        </w:numPr>
        <w:rPr>
          <w:color w:val="7030A0"/>
        </w:rPr>
      </w:pPr>
      <w:r w:rsidRPr="006E5934">
        <w:rPr>
          <w:color w:val="7030A0"/>
        </w:rPr>
        <w:lastRenderedPageBreak/>
        <w:t>Main text</w:t>
      </w:r>
    </w:p>
    <w:p w:rsidR="00AE350E" w:rsidRPr="006E5934" w:rsidRDefault="00AE350E" w:rsidP="00AE350E">
      <w:pPr>
        <w:pStyle w:val="Heading2"/>
        <w:numPr>
          <w:ilvl w:val="0"/>
          <w:numId w:val="0"/>
        </w:numPr>
        <w:rPr>
          <w:color w:val="7030A0"/>
        </w:rPr>
      </w:pPr>
      <w:r w:rsidRPr="006E5934">
        <w:rPr>
          <w:color w:val="7030A0"/>
        </w:rPr>
        <w:t>Introduction</w:t>
      </w:r>
    </w:p>
    <w:p w:rsidR="00AE350E" w:rsidRDefault="006D51BF" w:rsidP="00AE350E">
      <w:pPr>
        <w:rPr>
          <w:color w:val="7030A0"/>
        </w:rPr>
      </w:pPr>
      <w:r>
        <w:rPr>
          <w:color w:val="7030A0"/>
        </w:rPr>
        <w:t>Within the UK</w:t>
      </w:r>
      <w:r w:rsidR="00AE350E" w:rsidRPr="006E5934">
        <w:rPr>
          <w:color w:val="7030A0"/>
        </w:rPr>
        <w:t xml:space="preserve"> the economic </w:t>
      </w:r>
      <w:r w:rsidR="00901A34">
        <w:rPr>
          <w:color w:val="7030A0"/>
        </w:rPr>
        <w:t>in</w:t>
      </w:r>
      <w:r w:rsidR="00AE350E" w:rsidRPr="006E5934">
        <w:rPr>
          <w:color w:val="7030A0"/>
        </w:rPr>
        <w:t xml:space="preserve">activity rate </w:t>
      </w:r>
      <w:r w:rsidR="007F1BFF">
        <w:rPr>
          <w:color w:val="7030A0"/>
        </w:rPr>
        <w:t xml:space="preserve">of </w:t>
      </w:r>
      <w:r w:rsidR="00AE350E" w:rsidRPr="006E5934">
        <w:rPr>
          <w:color w:val="7030A0"/>
        </w:rPr>
        <w:t xml:space="preserve">working age </w:t>
      </w:r>
      <w:r>
        <w:rPr>
          <w:color w:val="7030A0"/>
        </w:rPr>
        <w:t xml:space="preserve">males </w:t>
      </w:r>
      <w:r w:rsidR="00AE350E" w:rsidRPr="006E5934">
        <w:rPr>
          <w:color w:val="7030A0"/>
        </w:rPr>
        <w:t xml:space="preserve">has increased substantially </w:t>
      </w:r>
      <w:r>
        <w:rPr>
          <w:color w:val="7030A0"/>
        </w:rPr>
        <w:t>over the last three decades</w:t>
      </w:r>
      <w:r w:rsidR="001F5DDE">
        <w:rPr>
          <w:color w:val="7030A0"/>
        </w:rPr>
        <w:fldChar w:fldCharType="begin"/>
      </w:r>
      <w:r w:rsidR="00293FAB">
        <w:rPr>
          <w:color w:val="7030A0"/>
        </w:rPr>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1F5DDE">
        <w:rPr>
          <w:color w:val="7030A0"/>
        </w:rPr>
        <w:fldChar w:fldCharType="separate"/>
      </w:r>
      <w:r w:rsidRPr="006D51BF">
        <w:rPr>
          <w:color w:val="7030A0"/>
          <w:vertAlign w:val="superscript"/>
        </w:rPr>
        <w:t>1</w:t>
      </w:r>
      <w:r w:rsidR="001F5DDE">
        <w:rPr>
          <w:color w:val="7030A0"/>
        </w:rPr>
        <w:fldChar w:fldCharType="end"/>
      </w:r>
      <w:r w:rsidR="007F1BFF">
        <w:rPr>
          <w:color w:val="7030A0"/>
        </w:rPr>
        <w:t xml:space="preserve"> and is high </w:t>
      </w:r>
      <w:r w:rsidR="007F1BFF" w:rsidRPr="00573EC8">
        <w:rPr>
          <w:color w:val="7030A0"/>
        </w:rPr>
        <w:t>in many other developed world nations.</w:t>
      </w:r>
      <w:r w:rsidR="001F5DDE" w:rsidRPr="00573EC8">
        <w:rPr>
          <w:color w:val="7030A0"/>
        </w:rPr>
        <w:fldChar w:fldCharType="begin"/>
      </w:r>
      <w:r w:rsidR="00293FAB">
        <w:rPr>
          <w:color w:val="7030A0"/>
        </w:rPr>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1F5DDE" w:rsidRPr="00573EC8">
        <w:rPr>
          <w:color w:val="7030A0"/>
        </w:rPr>
        <w:fldChar w:fldCharType="separate"/>
      </w:r>
      <w:r w:rsidR="007F1BFF" w:rsidRPr="00573EC8">
        <w:rPr>
          <w:color w:val="7030A0"/>
          <w:vertAlign w:val="superscript"/>
        </w:rPr>
        <w:t>2</w:t>
      </w:r>
      <w:r w:rsidR="001F5DDE" w:rsidRPr="00573EC8">
        <w:rPr>
          <w:color w:val="7030A0"/>
        </w:rPr>
        <w:fldChar w:fldCharType="end"/>
      </w:r>
      <w:r w:rsidR="00AE350E" w:rsidRPr="00573EC8">
        <w:rPr>
          <w:color w:val="7030A0"/>
        </w:rPr>
        <w:t xml:space="preserve"> </w:t>
      </w:r>
      <w:r w:rsidR="007F1BFF" w:rsidRPr="00573EC8">
        <w:rPr>
          <w:color w:val="7030A0"/>
        </w:rPr>
        <w:t>T</w:t>
      </w:r>
      <w:r w:rsidR="00AE350E" w:rsidRPr="00573EC8">
        <w:rPr>
          <w:color w:val="7030A0"/>
        </w:rPr>
        <w:t>he proportion of the male population claiming long-term sickness benefits (invalidity benefits, incapacity benefits, and employment and support allowance) has more than doubled.</w:t>
      </w:r>
      <w:r w:rsidR="001F5DDE" w:rsidRPr="00573EC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293FAB">
        <w:rPr>
          <w:color w:val="7030A0"/>
        </w:rPr>
        <w:instrText xml:space="preserve"> ADDIN EN.CITE </w:instrText>
      </w:r>
      <w:r w:rsidR="00293FAB">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293FAB">
        <w:rPr>
          <w:color w:val="7030A0"/>
        </w:rPr>
        <w:instrText xml:space="preserve"> ADDIN EN.CITE.DATA </w:instrText>
      </w:r>
      <w:r w:rsidR="00293FAB">
        <w:rPr>
          <w:color w:val="7030A0"/>
        </w:rPr>
      </w:r>
      <w:r w:rsidR="00293FAB">
        <w:rPr>
          <w:color w:val="7030A0"/>
        </w:rPr>
        <w:fldChar w:fldCharType="end"/>
      </w:r>
      <w:r w:rsidR="001F5DDE" w:rsidRPr="00573EC8">
        <w:rPr>
          <w:color w:val="7030A0"/>
        </w:rPr>
        <w:fldChar w:fldCharType="separate"/>
      </w:r>
      <w:r w:rsidR="00EB06C8" w:rsidRPr="00573EC8">
        <w:rPr>
          <w:color w:val="7030A0"/>
          <w:vertAlign w:val="superscript"/>
        </w:rPr>
        <w:t>3-5</w:t>
      </w:r>
      <w:r w:rsidR="001F5DDE" w:rsidRPr="00573EC8">
        <w:rPr>
          <w:color w:val="7030A0"/>
        </w:rPr>
        <w:fldChar w:fldCharType="end"/>
      </w:r>
      <w:r w:rsidR="00AE350E" w:rsidRPr="00573EC8">
        <w:rPr>
          <w:color w:val="7030A0"/>
        </w:rPr>
        <w:t xml:space="preserve"> Despite this, </w:t>
      </w:r>
      <w:r w:rsidR="00901A34" w:rsidRPr="00573EC8">
        <w:rPr>
          <w:color w:val="7030A0"/>
        </w:rPr>
        <w:t>self-reported measures suggest health has not declined during this period</w:t>
      </w:r>
      <w:r w:rsidR="00AE350E" w:rsidRPr="00573EC8">
        <w:rPr>
          <w:color w:val="7030A0"/>
        </w:rPr>
        <w:t>.</w:t>
      </w:r>
      <w:r w:rsidR="001F5DDE" w:rsidRPr="00573EC8">
        <w:rPr>
          <w:color w:val="7030A0"/>
        </w:rPr>
        <w:fldChar w:fldCharType="begin"/>
      </w:r>
      <w:r w:rsidR="00293FAB">
        <w:rPr>
          <w:color w:val="7030A0"/>
        </w:rPr>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1F5DDE" w:rsidRPr="00573EC8">
        <w:rPr>
          <w:color w:val="7030A0"/>
        </w:rPr>
        <w:fldChar w:fldCharType="separate"/>
      </w:r>
      <w:r w:rsidR="00901A34" w:rsidRPr="00573EC8">
        <w:rPr>
          <w:color w:val="7030A0"/>
          <w:vertAlign w:val="superscript"/>
        </w:rPr>
        <w:t>6</w:t>
      </w:r>
      <w:r w:rsidR="001F5DDE" w:rsidRPr="00573EC8">
        <w:rPr>
          <w:color w:val="7030A0"/>
        </w:rPr>
        <w:fldChar w:fldCharType="end"/>
      </w:r>
      <w:r w:rsidR="00901A34" w:rsidRPr="00573EC8">
        <w:rPr>
          <w:color w:val="7030A0"/>
        </w:rPr>
        <w:t xml:space="preserve"> </w:t>
      </w:r>
      <w:r w:rsidR="00573EC8">
        <w:rPr>
          <w:color w:val="7030A0"/>
        </w:rPr>
        <w:t>L</w:t>
      </w:r>
      <w:r w:rsidR="00901A34" w:rsidRPr="00573EC8">
        <w:rPr>
          <w:color w:val="7030A0"/>
        </w:rPr>
        <w:t>ike unemployment rates, male invalidity benefit (IVB) and incapacity benefit (IB) rates during the 1980s and 1990s tended to increase during periods of recession, but unlike unemployment rates did not</w:t>
      </w:r>
      <w:r w:rsidR="00573EC8">
        <w:rPr>
          <w:color w:val="7030A0"/>
        </w:rPr>
        <w:t xml:space="preserve"> then</w:t>
      </w:r>
      <w:r w:rsidR="00901A34" w:rsidRPr="00573EC8">
        <w:rPr>
          <w:color w:val="7030A0"/>
        </w:rPr>
        <w:t xml:space="preserve"> subsequently decrease once the recessions had ended.</w:t>
      </w:r>
      <w:r w:rsidR="001F5DDE" w:rsidRPr="00573EC8">
        <w:rPr>
          <w:color w:val="7030A0"/>
        </w:rPr>
        <w:fldChar w:fldCharType="begin"/>
      </w:r>
      <w:r w:rsidR="00293FAB">
        <w:rPr>
          <w:color w:val="7030A0"/>
        </w:rPr>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1F5DDE" w:rsidRPr="00573EC8">
        <w:rPr>
          <w:color w:val="7030A0"/>
        </w:rPr>
        <w:fldChar w:fldCharType="separate"/>
      </w:r>
      <w:r w:rsidR="00901A34" w:rsidRPr="00573EC8">
        <w:rPr>
          <w:color w:val="7030A0"/>
          <w:vertAlign w:val="superscript"/>
        </w:rPr>
        <w:t>5</w:t>
      </w:r>
      <w:r w:rsidR="001F5DDE" w:rsidRPr="00573EC8">
        <w:rPr>
          <w:color w:val="7030A0"/>
        </w:rPr>
        <w:fldChar w:fldCharType="end"/>
      </w:r>
      <w:r w:rsidR="00901A34">
        <w:rPr>
          <w:color w:val="7030A0"/>
        </w:rPr>
        <w:t xml:space="preserve">  </w:t>
      </w:r>
    </w:p>
    <w:p w:rsidR="00AE350E" w:rsidRPr="006E5934" w:rsidRDefault="00AE350E" w:rsidP="00AE350E">
      <w:pPr>
        <w:rPr>
          <w:color w:val="7030A0"/>
        </w:rPr>
      </w:pPr>
      <w:r w:rsidRPr="006E5934">
        <w:rPr>
          <w:color w:val="7030A0"/>
        </w:rPr>
        <w:t xml:space="preserve">Both the New Labour and </w:t>
      </w:r>
      <w:r w:rsidR="00F810F4">
        <w:rPr>
          <w:color w:val="7030A0"/>
        </w:rPr>
        <w:t>Coalition</w:t>
      </w:r>
      <w:r w:rsidR="00F810F4" w:rsidRPr="006E5934">
        <w:rPr>
          <w:color w:val="7030A0"/>
        </w:rPr>
        <w:t xml:space="preserve"> </w:t>
      </w:r>
      <w:r w:rsidRPr="006E5934">
        <w:rPr>
          <w:color w:val="7030A0"/>
        </w:rPr>
        <w:t xml:space="preserve">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reenter the labour market and </w:t>
      </w:r>
      <w:r w:rsidRPr="00573EC8">
        <w:rPr>
          <w:color w:val="7030A0"/>
        </w:rPr>
        <w:t>get a job</w:t>
      </w:r>
      <w:r w:rsidR="0089320C" w:rsidRPr="00573EC8">
        <w:rPr>
          <w:color w:val="7030A0"/>
        </w:rPr>
        <w:t>.</w:t>
      </w:r>
      <w:r w:rsidR="001F5DDE" w:rsidRPr="00573EC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293FAB">
        <w:rPr>
          <w:color w:val="7030A0"/>
        </w:rPr>
        <w:instrText xml:space="preserve"> ADDIN EN.CITE </w:instrText>
      </w:r>
      <w:r w:rsidR="00293FAB">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293FAB">
        <w:rPr>
          <w:color w:val="7030A0"/>
        </w:rPr>
        <w:instrText xml:space="preserve"> ADDIN EN.CITE.DATA </w:instrText>
      </w:r>
      <w:r w:rsidR="00293FAB">
        <w:rPr>
          <w:color w:val="7030A0"/>
        </w:rPr>
      </w:r>
      <w:r w:rsidR="00293FAB">
        <w:rPr>
          <w:color w:val="7030A0"/>
        </w:rPr>
        <w:fldChar w:fldCharType="end"/>
      </w:r>
      <w:r w:rsidR="001F5DDE" w:rsidRPr="00573EC8">
        <w:rPr>
          <w:color w:val="7030A0"/>
        </w:rPr>
        <w:fldChar w:fldCharType="separate"/>
      </w:r>
      <w:r w:rsidR="0089320C" w:rsidRPr="00573EC8">
        <w:rPr>
          <w:color w:val="7030A0"/>
          <w:vertAlign w:val="superscript"/>
        </w:rPr>
        <w:t>3 7 8</w:t>
      </w:r>
      <w:r w:rsidR="001F5DDE" w:rsidRPr="00573EC8">
        <w:rPr>
          <w:color w:val="7030A0"/>
        </w:rPr>
        <w:fldChar w:fldCharType="end"/>
      </w:r>
      <w:r w:rsidR="00F810F4" w:rsidRPr="00573EC8">
        <w:rPr>
          <w:color w:val="7030A0"/>
        </w:rPr>
        <w:t xml:space="preserve"> </w:t>
      </w:r>
      <w:r w:rsidRPr="00573EC8">
        <w:rPr>
          <w:color w:val="7030A0"/>
        </w:rPr>
        <w:t>Despite early evidence for the most employment-focused of these schemes, Pathways to Work, appearing encouraging</w:t>
      </w:r>
      <w:r w:rsidR="001F5DDE" w:rsidRPr="00573EC8">
        <w:rPr>
          <w:color w:val="7030A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293FAB">
        <w:rPr>
          <w:color w:val="7030A0"/>
        </w:rPr>
        <w:instrText xml:space="preserve"> ADDIN EN.CITE </w:instrText>
      </w:r>
      <w:r w:rsidR="00293FAB">
        <w:rPr>
          <w:color w:val="7030A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293FAB">
        <w:rPr>
          <w:color w:val="7030A0"/>
        </w:rPr>
        <w:instrText xml:space="preserve"> ADDIN EN.CITE.DATA </w:instrText>
      </w:r>
      <w:r w:rsidR="00293FAB">
        <w:rPr>
          <w:color w:val="7030A0"/>
        </w:rPr>
      </w:r>
      <w:r w:rsidR="00293FAB">
        <w:rPr>
          <w:color w:val="7030A0"/>
        </w:rPr>
        <w:fldChar w:fldCharType="end"/>
      </w:r>
      <w:r w:rsidR="001F5DDE" w:rsidRPr="00573EC8">
        <w:rPr>
          <w:color w:val="7030A0"/>
        </w:rPr>
        <w:fldChar w:fldCharType="separate"/>
      </w:r>
      <w:r w:rsidR="00573EC8" w:rsidRPr="00573EC8">
        <w:rPr>
          <w:color w:val="7030A0"/>
          <w:vertAlign w:val="superscript"/>
        </w:rPr>
        <w:t>9-11</w:t>
      </w:r>
      <w:r w:rsidR="001F5DDE" w:rsidRPr="00573EC8">
        <w:rPr>
          <w:color w:val="7030A0"/>
        </w:rPr>
        <w:fldChar w:fldCharType="end"/>
      </w:r>
      <w:r w:rsidR="00573EC8" w:rsidRPr="00573EC8">
        <w:rPr>
          <w:color w:val="7030A0"/>
        </w:rPr>
        <w:t>,</w:t>
      </w:r>
      <w:r w:rsidRPr="00573EC8">
        <w:rPr>
          <w:color w:val="7030A0"/>
        </w:rPr>
        <w:t xml:space="preserve"> later evidence suggested the scheme had only very limited longer-term effectiveness</w:t>
      </w:r>
      <w:r w:rsidR="001F5DDE" w:rsidRPr="00573EC8">
        <w:rPr>
          <w:color w:val="7030A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293FAB">
        <w:rPr>
          <w:color w:val="7030A0"/>
        </w:rPr>
        <w:instrText xml:space="preserve"> ADDIN EN.CITE </w:instrText>
      </w:r>
      <w:r w:rsidR="00293FAB">
        <w:rPr>
          <w:color w:val="7030A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293FAB">
        <w:rPr>
          <w:color w:val="7030A0"/>
        </w:rPr>
        <w:instrText xml:space="preserve"> ADDIN EN.CITE.DATA </w:instrText>
      </w:r>
      <w:r w:rsidR="00293FAB">
        <w:rPr>
          <w:color w:val="7030A0"/>
        </w:rPr>
      </w:r>
      <w:r w:rsidR="00293FAB">
        <w:rPr>
          <w:color w:val="7030A0"/>
        </w:rPr>
        <w:fldChar w:fldCharType="end"/>
      </w:r>
      <w:r w:rsidR="001F5DDE" w:rsidRPr="00573EC8">
        <w:rPr>
          <w:color w:val="7030A0"/>
        </w:rPr>
        <w:fldChar w:fldCharType="separate"/>
      </w:r>
      <w:r w:rsidR="00573EC8" w:rsidRPr="00573EC8">
        <w:rPr>
          <w:color w:val="7030A0"/>
          <w:vertAlign w:val="superscript"/>
        </w:rPr>
        <w:t>12-14</w:t>
      </w:r>
      <w:r w:rsidR="001F5DDE" w:rsidRPr="00573EC8">
        <w:rPr>
          <w:color w:val="7030A0"/>
        </w:rPr>
        <w:fldChar w:fldCharType="end"/>
      </w:r>
      <w:r w:rsidRPr="00573EC8">
        <w:rPr>
          <w:color w:val="7030A0"/>
        </w:rPr>
        <w:t xml:space="preserve"> and was not cost effective</w:t>
      </w:r>
      <w:r w:rsidR="00F810F4" w:rsidRPr="00573EC8">
        <w:rPr>
          <w:color w:val="7030A0"/>
        </w:rPr>
        <w:t>.</w:t>
      </w:r>
      <w:r w:rsidR="001F5DDE" w:rsidRPr="00573EC8">
        <w:rPr>
          <w:color w:val="7030A0"/>
        </w:rPr>
        <w:fldChar w:fldCharType="begin"/>
      </w:r>
      <w:r w:rsidR="00C22DF3" w:rsidRPr="00573EC8">
        <w:rPr>
          <w:color w:val="7030A0"/>
        </w:rPr>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1F5DDE" w:rsidRPr="00573EC8">
        <w:rPr>
          <w:color w:val="7030A0"/>
        </w:rPr>
        <w:fldChar w:fldCharType="separate"/>
      </w:r>
      <w:r w:rsidR="00573EC8" w:rsidRPr="00573EC8">
        <w:rPr>
          <w:color w:val="7030A0"/>
          <w:vertAlign w:val="superscript"/>
        </w:rPr>
        <w:t>15 16</w:t>
      </w:r>
      <w:r w:rsidR="001F5DDE" w:rsidRPr="00573EC8">
        <w:rPr>
          <w:color w:val="7030A0"/>
        </w:rPr>
        <w:fldChar w:fldCharType="end"/>
      </w:r>
      <w:r w:rsidR="00F810F4" w:rsidRPr="00573EC8">
        <w:rPr>
          <w:color w:val="7030A0"/>
        </w:rPr>
        <w:t xml:space="preserve"> The Coalition government currently plans to replace Pathways to Work with a new initiative, The Work Programme, by Summer 2011.</w:t>
      </w:r>
      <w:r w:rsidR="001F5DDE" w:rsidRPr="00573EC8">
        <w:rPr>
          <w:color w:val="7030A0"/>
        </w:rPr>
        <w:fldChar w:fldCharType="begin"/>
      </w:r>
      <w:r w:rsidR="00293FAB">
        <w:rPr>
          <w:color w:val="7030A0"/>
        </w:rPr>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1F5DDE" w:rsidRPr="00573EC8">
        <w:rPr>
          <w:color w:val="7030A0"/>
        </w:rPr>
        <w:fldChar w:fldCharType="separate"/>
      </w:r>
      <w:r w:rsidR="00573EC8" w:rsidRPr="00573EC8">
        <w:rPr>
          <w:color w:val="7030A0"/>
          <w:vertAlign w:val="superscript"/>
        </w:rPr>
        <w:t>17 18</w:t>
      </w:r>
      <w:r w:rsidR="001F5DDE" w:rsidRPr="00573EC8">
        <w:rPr>
          <w:color w:val="7030A0"/>
        </w:rPr>
        <w:fldChar w:fldCharType="end"/>
      </w:r>
      <w:r w:rsidR="00F810F4" w:rsidRPr="00573EC8">
        <w:rPr>
          <w:color w:val="7030A0"/>
        </w:rPr>
        <w:t xml:space="preserve">   </w:t>
      </w:r>
    </w:p>
    <w:p w:rsidR="00AE350E" w:rsidRPr="006E5934" w:rsidRDefault="00573EC8" w:rsidP="00AE350E">
      <w:pPr>
        <w:rPr>
          <w:color w:val="7030A0"/>
        </w:rPr>
      </w:pPr>
      <w:r>
        <w:rPr>
          <w:color w:val="7030A0"/>
        </w:rPr>
        <w:t>The</w:t>
      </w:r>
      <w:r w:rsidR="00AE350E" w:rsidRPr="006E5934">
        <w:rPr>
          <w:color w:val="7030A0"/>
        </w:rPr>
        <w:t xml:space="preserve"> replacement of </w:t>
      </w:r>
      <w:r w:rsidR="00DC58CF">
        <w:rPr>
          <w:color w:val="7030A0"/>
        </w:rPr>
        <w:t>IB</w:t>
      </w:r>
      <w:r w:rsidR="00AE350E" w:rsidRPr="006E5934">
        <w:rPr>
          <w:color w:val="7030A0"/>
        </w:rPr>
        <w:t xml:space="preserve"> with Employment and Support Allowance</w:t>
      </w:r>
      <w:r w:rsidR="00DC58CF">
        <w:rPr>
          <w:color w:val="7030A0"/>
        </w:rPr>
        <w:t xml:space="preserve"> (ESA)</w:t>
      </w:r>
      <w:r w:rsidR="00AE350E" w:rsidRPr="006E5934">
        <w:rPr>
          <w:color w:val="7030A0"/>
        </w:rPr>
        <w:t>, and with it the replacement of ‘sick notes’ with ‘fit notes’,</w:t>
      </w:r>
      <w:r w:rsidR="00DC58CF">
        <w:rPr>
          <w:color w:val="7030A0"/>
        </w:rPr>
        <w:fldChar w:fldCharType="begin"/>
      </w:r>
      <w:r w:rsidR="00293FAB">
        <w:rPr>
          <w:color w:val="7030A0"/>
        </w:rPr>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DC58CF">
        <w:rPr>
          <w:color w:val="7030A0"/>
        </w:rPr>
        <w:fldChar w:fldCharType="separate"/>
      </w:r>
      <w:r w:rsidR="00DC58CF" w:rsidRPr="00DC58CF">
        <w:rPr>
          <w:color w:val="7030A0"/>
          <w:vertAlign w:val="superscript"/>
        </w:rPr>
        <w:t>19</w:t>
      </w:r>
      <w:r w:rsidR="00DC58CF">
        <w:rPr>
          <w:color w:val="7030A0"/>
        </w:rPr>
        <w:fldChar w:fldCharType="end"/>
      </w:r>
      <w:r w:rsidR="00AE350E" w:rsidRPr="006E5934">
        <w:rPr>
          <w:color w:val="7030A0"/>
        </w:rPr>
        <w:t xml:space="preserve"> and the Personal Capability Assessment (PCA) with </w:t>
      </w:r>
      <w:r w:rsidR="00E5563F">
        <w:rPr>
          <w:color w:val="7030A0"/>
        </w:rPr>
        <w:t>the Work Capability Assessment (WCA)</w:t>
      </w:r>
      <w:r w:rsidR="00AE350E" w:rsidRPr="006E5934">
        <w:rPr>
          <w:color w:val="7030A0"/>
        </w:rPr>
        <w:t xml:space="preserve"> as the means to assess eligibility has been controversial, with questions raised about the new test’s ability to sufficiently recognise the adverse effects of mental health conditions</w:t>
      </w:r>
      <w:r w:rsidR="00C07F1D">
        <w:rPr>
          <w:color w:val="7030A0"/>
        </w:rPr>
        <w:t xml:space="preserve"> </w:t>
      </w:r>
      <w:r w:rsidR="00AE350E" w:rsidRPr="006E5934">
        <w:rPr>
          <w:color w:val="7030A0"/>
        </w:rPr>
        <w:t xml:space="preserve">and </w:t>
      </w:r>
      <w:r w:rsidR="00C07F1D">
        <w:rPr>
          <w:color w:val="7030A0"/>
        </w:rPr>
        <w:t>fluctuating conditions</w:t>
      </w:r>
      <w:r w:rsidR="00AE350E" w:rsidRPr="006E5934">
        <w:rPr>
          <w:color w:val="7030A0"/>
        </w:rPr>
        <w:t>.</w:t>
      </w:r>
      <w:r w:rsidR="00C07F1D">
        <w:rPr>
          <w:color w:val="7030A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293FAB">
        <w:rPr>
          <w:color w:val="7030A0"/>
        </w:rPr>
        <w:instrText xml:space="preserve"> ADDIN EN.CITE </w:instrText>
      </w:r>
      <w:r w:rsidR="00293FAB">
        <w:rPr>
          <w:color w:val="7030A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293FAB">
        <w:rPr>
          <w:color w:val="7030A0"/>
        </w:rPr>
        <w:instrText xml:space="preserve"> ADDIN EN.CITE.DATA </w:instrText>
      </w:r>
      <w:r w:rsidR="00293FAB">
        <w:rPr>
          <w:color w:val="7030A0"/>
        </w:rPr>
      </w:r>
      <w:r w:rsidR="00293FAB">
        <w:rPr>
          <w:color w:val="7030A0"/>
        </w:rPr>
        <w:fldChar w:fldCharType="end"/>
      </w:r>
      <w:r w:rsidR="00C07F1D">
        <w:rPr>
          <w:color w:val="7030A0"/>
        </w:rPr>
        <w:fldChar w:fldCharType="separate"/>
      </w:r>
      <w:r w:rsidR="00B04D93" w:rsidRPr="00B04D93">
        <w:rPr>
          <w:color w:val="7030A0"/>
          <w:vertAlign w:val="superscript"/>
        </w:rPr>
        <w:t>20-22</w:t>
      </w:r>
      <w:r w:rsidR="00C07F1D">
        <w:rPr>
          <w:color w:val="7030A0"/>
        </w:rPr>
        <w:fldChar w:fldCharType="end"/>
      </w:r>
      <w:r w:rsidR="00AE350E" w:rsidRPr="006E5934">
        <w:rPr>
          <w:color w:val="7030A0"/>
        </w:rPr>
        <w:t xml:space="preserve"> </w:t>
      </w:r>
      <w:r w:rsidR="00B04D93">
        <w:rPr>
          <w:color w:val="7030A0"/>
        </w:rPr>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1D5052">
        <w:rPr>
          <w:color w:val="7030A0"/>
        </w:rPr>
        <w:fldChar w:fldCharType="begin"/>
      </w:r>
      <w:r w:rsidR="00293FAB">
        <w:rPr>
          <w:color w:val="7030A0"/>
        </w:rPr>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1D5052">
        <w:rPr>
          <w:color w:val="7030A0"/>
        </w:rPr>
        <w:fldChar w:fldCharType="separate"/>
      </w:r>
      <w:r w:rsidR="001D5052" w:rsidRPr="001D5052">
        <w:rPr>
          <w:color w:val="7030A0"/>
          <w:vertAlign w:val="superscript"/>
        </w:rPr>
        <w:t>23</w:t>
      </w:r>
      <w:r w:rsidR="001D5052">
        <w:rPr>
          <w:color w:val="7030A0"/>
        </w:rPr>
        <w:fldChar w:fldCharType="end"/>
      </w:r>
      <w:r w:rsidR="001D5052">
        <w:rPr>
          <w:color w:val="7030A0"/>
        </w:rPr>
        <w:t xml:space="preserve"> The accuracy of the test is also in doubt, with</w:t>
      </w:r>
      <w:r w:rsidR="00AE350E" w:rsidRPr="006E5934">
        <w:rPr>
          <w:color w:val="7030A0"/>
        </w:rPr>
        <w:t xml:space="preserve"> around 40% of </w:t>
      </w:r>
      <w:r w:rsidR="001D5052">
        <w:rPr>
          <w:color w:val="7030A0"/>
        </w:rPr>
        <w:t>appealed decisions overturned.</w:t>
      </w:r>
      <w:r w:rsidR="001D5052">
        <w:rPr>
          <w:color w:val="7030A0"/>
        </w:rPr>
        <w:fldChar w:fldCharType="begin"/>
      </w:r>
      <w:r w:rsidR="00293FAB">
        <w:rPr>
          <w:color w:val="7030A0"/>
        </w:rPr>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1D5052">
        <w:rPr>
          <w:color w:val="7030A0"/>
        </w:rPr>
        <w:fldChar w:fldCharType="separate"/>
      </w:r>
      <w:r w:rsidR="001D5052" w:rsidRPr="001D5052">
        <w:rPr>
          <w:color w:val="7030A0"/>
          <w:vertAlign w:val="superscript"/>
        </w:rPr>
        <w:t>24</w:t>
      </w:r>
      <w:r w:rsidR="001D5052">
        <w:rPr>
          <w:color w:val="7030A0"/>
        </w:rPr>
        <w:fldChar w:fldCharType="end"/>
      </w:r>
    </w:p>
    <w:p w:rsidR="00AE350E" w:rsidRPr="006E5934" w:rsidRDefault="00AE350E" w:rsidP="007D2125">
      <w:pPr>
        <w:rPr>
          <w:color w:val="7030A0"/>
        </w:rPr>
      </w:pPr>
      <w:r w:rsidRPr="006E5934">
        <w:rPr>
          <w:color w:val="7030A0"/>
        </w:rPr>
        <w:lastRenderedPageBreak/>
        <w:t xml:space="preserve">The aim of this research is to try to understand the causes for the rises in IVB/IB numbers during the 1980s and 1990s, why the path from IB claimant to employee seems challenging to cross, and why in competitive labour markets </w:t>
      </w:r>
      <w:r w:rsidR="007D2125">
        <w:rPr>
          <w:color w:val="7030A0"/>
        </w:rPr>
        <w:t>even slight deficits in fitness may lead to very large disadvantages in terms of employability. The</w:t>
      </w:r>
      <w:r w:rsidRPr="006E5934">
        <w:rPr>
          <w:color w:val="7030A0"/>
        </w:rPr>
        <w:t xml:space="preserve"> research does so by creating a very simpl</w:t>
      </w:r>
      <w:r w:rsidR="007D2125">
        <w:rPr>
          <w:color w:val="7030A0"/>
        </w:rPr>
        <w:t>e</w:t>
      </w:r>
      <w:r w:rsidRPr="006E5934">
        <w:rPr>
          <w:color w:val="7030A0"/>
        </w:rPr>
        <w:t xml:space="preserve"> </w:t>
      </w:r>
      <w:r w:rsidR="001D5052">
        <w:rPr>
          <w:color w:val="7030A0"/>
        </w:rPr>
        <w:t xml:space="preserve">computer-based </w:t>
      </w:r>
      <w:r w:rsidRPr="006E5934">
        <w:rPr>
          <w:color w:val="7030A0"/>
        </w:rPr>
        <w:t>model which formalises the three following assumptions:</w:t>
      </w:r>
    </w:p>
    <w:p w:rsidR="00AE350E" w:rsidRPr="006E5934" w:rsidRDefault="00852084" w:rsidP="00AE350E">
      <w:pPr>
        <w:pStyle w:val="ListParagraph"/>
        <w:numPr>
          <w:ilvl w:val="0"/>
          <w:numId w:val="4"/>
        </w:numPr>
        <w:rPr>
          <w:color w:val="7030A0"/>
        </w:rPr>
      </w:pPr>
      <w:r w:rsidRPr="006E5934">
        <w:rPr>
          <w:color w:val="7030A0"/>
        </w:rPr>
        <w:t>Securing a job is essentially a winner-takes-all process. The candidate the employer considers the best person for the job received the job offer. All other candidates receive nothing.</w:t>
      </w:r>
    </w:p>
    <w:p w:rsidR="00852084" w:rsidRPr="006E5934" w:rsidRDefault="00852084" w:rsidP="00AE350E">
      <w:pPr>
        <w:pStyle w:val="ListParagraph"/>
        <w:numPr>
          <w:ilvl w:val="0"/>
          <w:numId w:val="4"/>
        </w:numPr>
        <w:rPr>
          <w:color w:val="7030A0"/>
        </w:rPr>
      </w:pPr>
      <w:r w:rsidRPr="006E5934">
        <w:rPr>
          <w:color w:val="7030A0"/>
        </w:rPr>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6E5934" w:rsidRDefault="00852084" w:rsidP="00AE350E">
      <w:pPr>
        <w:pStyle w:val="ListParagraph"/>
        <w:numPr>
          <w:ilvl w:val="0"/>
          <w:numId w:val="4"/>
        </w:numPr>
        <w:rPr>
          <w:color w:val="7030A0"/>
        </w:rPr>
      </w:pPr>
      <w:r w:rsidRPr="006E5934">
        <w:rPr>
          <w:color w:val="7030A0"/>
        </w:rPr>
        <w:t>People with limiting health problems, such as those claiming IB, have on the average a lower level of fitness than the general population.</w:t>
      </w:r>
    </w:p>
    <w:p w:rsidR="00C4604D" w:rsidRPr="00EB07F8" w:rsidRDefault="001D5052" w:rsidP="00C4604D">
      <w:pPr>
        <w:rPr>
          <w:color w:val="7030A0"/>
        </w:rPr>
      </w:pPr>
      <w:r w:rsidRPr="00EB07F8">
        <w:rPr>
          <w:color w:val="7030A0"/>
        </w:rPr>
        <w:t xml:space="preserve">By using </w:t>
      </w:r>
      <w:r w:rsidR="00EB07F8">
        <w:rPr>
          <w:color w:val="7030A0"/>
        </w:rPr>
        <w:t>a</w:t>
      </w:r>
      <w:r w:rsidRPr="00EB07F8">
        <w:rPr>
          <w:color w:val="7030A0"/>
        </w:rPr>
        <w:t xml:space="preserve"> </w:t>
      </w:r>
      <w:r w:rsidR="00EB07F8">
        <w:rPr>
          <w:color w:val="7030A0"/>
        </w:rPr>
        <w:t>computer-based microsimulation approach</w:t>
      </w:r>
      <w:r w:rsidRPr="00EB07F8">
        <w:rPr>
          <w:color w:val="7030A0"/>
        </w:rPr>
        <w:t>,</w:t>
      </w:r>
      <w:r w:rsidR="00867C8B">
        <w:rPr>
          <w:color w:val="7030A0"/>
        </w:rPr>
        <w:fldChar w:fldCharType="begin"/>
      </w:r>
      <w:r w:rsidR="00293FAB">
        <w:rPr>
          <w:color w:val="7030A0"/>
        </w:rPr>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867C8B">
        <w:rPr>
          <w:color w:val="7030A0"/>
        </w:rPr>
        <w:fldChar w:fldCharType="separate"/>
      </w:r>
      <w:r w:rsidR="00867C8B" w:rsidRPr="00867C8B">
        <w:rPr>
          <w:color w:val="7030A0"/>
          <w:vertAlign w:val="superscript"/>
        </w:rPr>
        <w:t>25 26</w:t>
      </w:r>
      <w:r w:rsidR="00867C8B">
        <w:rPr>
          <w:color w:val="7030A0"/>
        </w:rPr>
        <w:fldChar w:fldCharType="end"/>
      </w:r>
      <w:r w:rsidRPr="00EB07F8">
        <w:rPr>
          <w:color w:val="7030A0"/>
        </w:rPr>
        <w:t xml:space="preserve"> the logical implications </w:t>
      </w:r>
      <w:r w:rsidR="006D3DA3" w:rsidRPr="00EB07F8">
        <w:rPr>
          <w:color w:val="7030A0"/>
        </w:rPr>
        <w:t>of t</w:t>
      </w:r>
      <w:r w:rsidRPr="00EB07F8">
        <w:rPr>
          <w:color w:val="7030A0"/>
        </w:rPr>
        <w:t xml:space="preserve">he above assumptions can be </w:t>
      </w:r>
      <w:r w:rsidR="006D3DA3" w:rsidRPr="00EB07F8">
        <w:rPr>
          <w:color w:val="7030A0"/>
        </w:rPr>
        <w:t>assessed</w:t>
      </w:r>
      <w:r w:rsidR="00EB07F8">
        <w:rPr>
          <w:color w:val="7030A0"/>
        </w:rPr>
        <w:t xml:space="preserve"> and objectively scrutinised</w:t>
      </w:r>
      <w:r w:rsidR="006D3DA3" w:rsidRPr="00EB07F8">
        <w:rPr>
          <w:color w:val="7030A0"/>
        </w:rPr>
        <w:t xml:space="preserve">. The approach is particularly useful in cases where these implications run counter to intuition. Of particular relevance are cases where plausible assumptions, when operationalised, suggest that nonlinear </w:t>
      </w:r>
      <w:r w:rsidR="00BB6204" w:rsidRPr="00EB07F8">
        <w:rPr>
          <w:color w:val="7030A0"/>
        </w:rPr>
        <w:t xml:space="preserve">and complex </w:t>
      </w:r>
      <w:r w:rsidR="006D3DA3" w:rsidRPr="00EB07F8">
        <w:rPr>
          <w:color w:val="7030A0"/>
        </w:rPr>
        <w:t>systems exis</w:t>
      </w:r>
      <w:r w:rsidR="00BB6204" w:rsidRPr="00EB07F8">
        <w:rPr>
          <w:color w:val="7030A0"/>
        </w:rPr>
        <w:t xml:space="preserve">t which either exacerbate or attenuate the effects of inputs, </w:t>
      </w:r>
      <w:r w:rsidR="00C4604D" w:rsidRPr="00EB07F8">
        <w:rPr>
          <w:color w:val="7030A0"/>
        </w:rPr>
        <w:t>so that the magnitude of outputs are disproportionate to the magnitude of the inputs that generated them.</w:t>
      </w:r>
      <w:r w:rsidR="00C4604D" w:rsidRPr="00EB07F8">
        <w:rPr>
          <w:color w:val="7030A0"/>
        </w:rPr>
        <w:fldChar w:fldCharType="begin"/>
      </w:r>
      <w:r w:rsidR="00293FAB">
        <w:rPr>
          <w:color w:val="7030A0"/>
        </w:rPr>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C4604D" w:rsidRPr="00EB07F8">
        <w:rPr>
          <w:color w:val="7030A0"/>
        </w:rPr>
        <w:fldChar w:fldCharType="separate"/>
      </w:r>
      <w:r w:rsidR="00867C8B" w:rsidRPr="00867C8B">
        <w:rPr>
          <w:color w:val="7030A0"/>
          <w:vertAlign w:val="superscript"/>
        </w:rPr>
        <w:t>27</w:t>
      </w:r>
      <w:r w:rsidR="00C4604D" w:rsidRPr="00EB07F8">
        <w:rPr>
          <w:color w:val="7030A0"/>
        </w:rPr>
        <w:fldChar w:fldCharType="end"/>
      </w:r>
      <w:r w:rsidR="00BB6204" w:rsidRPr="00EB07F8">
        <w:rPr>
          <w:color w:val="7030A0"/>
        </w:rPr>
        <w:t xml:space="preserve"> Perhaps the most famous example of this is Thomas Schelling’s racial segregation model, </w:t>
      </w:r>
      <w:r w:rsidR="00BB6204" w:rsidRPr="00EB07F8">
        <w:rPr>
          <w:color w:val="7030A0"/>
        </w:rPr>
        <w:fldChar w:fldCharType="begin"/>
      </w:r>
      <w:r w:rsidR="00293FAB">
        <w:rPr>
          <w:color w:val="7030A0"/>
        </w:rPr>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BB6204" w:rsidRPr="00EB07F8">
        <w:rPr>
          <w:color w:val="7030A0"/>
        </w:rPr>
        <w:fldChar w:fldCharType="separate"/>
      </w:r>
      <w:r w:rsidR="00867C8B" w:rsidRPr="00867C8B">
        <w:rPr>
          <w:color w:val="7030A0"/>
          <w:vertAlign w:val="superscript"/>
        </w:rPr>
        <w:t>28</w:t>
      </w:r>
      <w:r w:rsidR="00BB6204" w:rsidRPr="00EB07F8">
        <w:rPr>
          <w:color w:val="7030A0"/>
        </w:rPr>
        <w:fldChar w:fldCharType="end"/>
      </w:r>
      <w:r w:rsidR="00BB6204" w:rsidRPr="00EB07F8">
        <w:rPr>
          <w:color w:val="7030A0"/>
        </w:rPr>
        <w:t xml:space="preserve"> </w:t>
      </w:r>
      <w:r w:rsidR="00C4604D" w:rsidRPr="00EB07F8">
        <w:rPr>
          <w:color w:val="7030A0"/>
        </w:rPr>
        <w:t>which indicated that</w:t>
      </w:r>
      <w:r w:rsidR="00BB6204" w:rsidRPr="00EB07F8">
        <w:rPr>
          <w:color w:val="7030A0"/>
        </w:rPr>
        <w:t xml:space="preserve"> a slight preference towards living with one’s own group (a ‘micromotive’) could lead to massive levels of segregation at an aggregate level (a‘macrobehaviour’). </w:t>
      </w:r>
      <w:r w:rsidR="00BB6204" w:rsidRPr="00EB07F8">
        <w:rPr>
          <w:color w:val="7030A0"/>
        </w:rPr>
        <w:fldChar w:fldCharType="begin"/>
      </w:r>
      <w:r w:rsidR="00293FAB">
        <w:rPr>
          <w:color w:val="7030A0"/>
        </w:rPr>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BB6204" w:rsidRPr="00EB07F8">
        <w:rPr>
          <w:color w:val="7030A0"/>
        </w:rPr>
        <w:fldChar w:fldCharType="separate"/>
      </w:r>
      <w:r w:rsidR="00867C8B" w:rsidRPr="00867C8B">
        <w:rPr>
          <w:color w:val="7030A0"/>
          <w:vertAlign w:val="superscript"/>
        </w:rPr>
        <w:t>29</w:t>
      </w:r>
      <w:r w:rsidR="00BB6204" w:rsidRPr="00EB07F8">
        <w:rPr>
          <w:color w:val="7030A0"/>
        </w:rPr>
        <w:fldChar w:fldCharType="end"/>
      </w:r>
      <w:r w:rsidR="00BB6204" w:rsidRPr="00EB07F8">
        <w:rPr>
          <w:color w:val="7030A0"/>
        </w:rPr>
        <w:t xml:space="preserve"> </w:t>
      </w:r>
    </w:p>
    <w:p w:rsidR="00AE350E" w:rsidRDefault="00AE350E" w:rsidP="00AE350E">
      <w:pPr>
        <w:pStyle w:val="Heading2"/>
        <w:numPr>
          <w:ilvl w:val="0"/>
          <w:numId w:val="0"/>
        </w:numPr>
      </w:pPr>
      <w:r>
        <w:t>Methods</w:t>
      </w:r>
    </w:p>
    <w:p w:rsidR="00852084" w:rsidRPr="00E5563F" w:rsidRDefault="00852084" w:rsidP="00852084">
      <w:pPr>
        <w:rPr>
          <w:i/>
          <w:color w:val="7030A0"/>
        </w:rPr>
      </w:pPr>
      <w:r w:rsidRPr="00E5563F">
        <w:rPr>
          <w:color w:val="7030A0"/>
        </w:rPr>
        <w:t xml:space="preserve">In the model, </w:t>
      </w:r>
      <w:r w:rsidR="00E5563F">
        <w:rPr>
          <w:color w:val="7030A0"/>
        </w:rPr>
        <w:t xml:space="preserve">assumption 1 is formalised by </w:t>
      </w:r>
      <w:r w:rsidRPr="00E5563F">
        <w:rPr>
          <w:color w:val="7030A0"/>
        </w:rPr>
        <w:t xml:space="preserve">positing ‘job fitness’ </w:t>
      </w:r>
      <w:r w:rsidR="00C655BB">
        <w:rPr>
          <w:color w:val="7030A0"/>
        </w:rPr>
        <w:t>as a single dimensional quality</w:t>
      </w:r>
      <w:r w:rsidR="00E5563F">
        <w:rPr>
          <w:color w:val="7030A0"/>
        </w:rPr>
        <w:t xml:space="preserve">. An employer looks at the scores of a number of candidates and chooses the candidate with the highest fitness score. Assumption 2 is formalised by modelling a candidate’s performance in a job selection process as a single draw from a </w:t>
      </w:r>
      <w:r w:rsidR="0043435A">
        <w:rPr>
          <w:color w:val="7030A0"/>
        </w:rPr>
        <w:t xml:space="preserve">random </w:t>
      </w:r>
      <w:r w:rsidR="00E5563F">
        <w:rPr>
          <w:color w:val="7030A0"/>
        </w:rPr>
        <w:t xml:space="preserve">distribution. For convenience and simplicity I have used the Normal distribution, and the variance of all candidates’ distributions </w:t>
      </w:r>
      <w:r w:rsidR="0043435A">
        <w:rPr>
          <w:color w:val="7030A0"/>
        </w:rPr>
        <w:t>are assumed to be identical</w:t>
      </w:r>
      <w:r w:rsidR="00E5563F">
        <w:rPr>
          <w:color w:val="7030A0"/>
        </w:rPr>
        <w:t xml:space="preserve"> (</w:t>
      </w:r>
      <m:oMath>
        <m:sSup>
          <m:sSupPr>
            <m:ctrlPr>
              <w:rPr>
                <w:rFonts w:ascii="Cambria Math" w:hAnsi="Cambria Math"/>
                <w:i/>
                <w:color w:val="7030A0"/>
              </w:rPr>
            </m:ctrlPr>
          </m:sSupPr>
          <m:e>
            <m:r>
              <w:rPr>
                <w:rFonts w:ascii="Cambria Math" w:hAnsi="Cambria Math"/>
                <w:color w:val="7030A0"/>
              </w:rPr>
              <m:t>σ</m:t>
            </m:r>
          </m:e>
          <m:sup>
            <m:r>
              <w:rPr>
                <w:rFonts w:ascii="Cambria Math" w:hAnsi="Cambria Math"/>
                <w:color w:val="7030A0"/>
              </w:rPr>
              <m:t>2</m:t>
            </m:r>
          </m:sup>
        </m:sSup>
      </m:oMath>
      <w:r w:rsidR="0043435A">
        <w:rPr>
          <w:rFonts w:eastAsiaTheme="minorEastAsia"/>
          <w:color w:val="7030A0"/>
        </w:rPr>
        <w:t xml:space="preserve">). </w:t>
      </w:r>
      <w:r w:rsidRPr="00E5563F">
        <w:rPr>
          <w:color w:val="7030A0"/>
        </w:rPr>
        <w:t>Figure</w:t>
      </w:r>
      <w:r w:rsidR="006E5934" w:rsidRPr="00E5563F">
        <w:rPr>
          <w:color w:val="7030A0"/>
        </w:rPr>
        <w:t xml:space="preserve"> 1</w:t>
      </w:r>
      <w:r w:rsidR="0043435A">
        <w:rPr>
          <w:color w:val="7030A0"/>
        </w:rPr>
        <w:t xml:space="preserve"> provides an example of the model when there are two applicants</w:t>
      </w:r>
      <w:r w:rsidRPr="00E5563F">
        <w:rPr>
          <w:color w:val="7030A0"/>
        </w:rPr>
        <w:t xml:space="preserve">, A and B, shown using the blue and red Normal distribution curves respectively. </w:t>
      </w:r>
      <w:r w:rsidR="0043435A">
        <w:rPr>
          <w:color w:val="7030A0"/>
        </w:rPr>
        <w:t xml:space="preserve">The mean of </w:t>
      </w:r>
      <w:r w:rsidRPr="00E5563F">
        <w:rPr>
          <w:color w:val="7030A0"/>
        </w:rPr>
        <w:t>B’s performance is lower than A’s</w:t>
      </w:r>
      <w:r w:rsidR="0043435A">
        <w:rPr>
          <w:color w:val="7030A0"/>
        </w:rPr>
        <w:t>, formalising assumption 3</w:t>
      </w:r>
      <w:r w:rsidRPr="00E5563F">
        <w:rPr>
          <w:color w:val="7030A0"/>
        </w:rPr>
        <w:t xml:space="preserve">. This difference in means is B’s </w:t>
      </w:r>
      <w:r w:rsidRPr="00E5563F">
        <w:rPr>
          <w:i/>
          <w:color w:val="7030A0"/>
        </w:rPr>
        <w:t xml:space="preserve">fitness disadvantage </w:t>
      </w:r>
      <w:r w:rsidRPr="00E5563F">
        <w:rPr>
          <w:color w:val="7030A0"/>
        </w:rPr>
        <w:t xml:space="preserve">relative to A, and is represented by the letter </w:t>
      </w:r>
      <w:r w:rsidRPr="00E5563F">
        <w:rPr>
          <w:i/>
          <w:color w:val="7030A0"/>
        </w:rPr>
        <w:t>d.</w:t>
      </w:r>
    </w:p>
    <w:p w:rsidR="006E5934" w:rsidRPr="00E5563F" w:rsidRDefault="006E5934" w:rsidP="006E5934">
      <w:pPr>
        <w:jc w:val="center"/>
        <w:rPr>
          <w:color w:val="7030A0"/>
        </w:rPr>
      </w:pPr>
      <w:r w:rsidRPr="00E5563F">
        <w:rPr>
          <w:color w:val="7030A0"/>
        </w:rPr>
        <w:t>[Figure 1 about here]</w:t>
      </w:r>
    </w:p>
    <w:p w:rsidR="005531FD" w:rsidRPr="00E5563F" w:rsidRDefault="0043435A" w:rsidP="00852084">
      <w:pPr>
        <w:rPr>
          <w:color w:val="7030A0"/>
        </w:rPr>
      </w:pPr>
      <w:r>
        <w:rPr>
          <w:color w:val="7030A0"/>
        </w:rPr>
        <w:t xml:space="preserve">In this example the outcomes of A and B competing directly against each other </w:t>
      </w:r>
      <w:r w:rsidR="005531FD">
        <w:rPr>
          <w:color w:val="7030A0"/>
        </w:rPr>
        <w:t>on four separate occasions is shown</w:t>
      </w:r>
      <w:r w:rsidR="00852084" w:rsidRPr="00E5563F">
        <w:rPr>
          <w:color w:val="7030A0"/>
        </w:rPr>
        <w:t xml:space="preserve">. On each occasion, a random draw is taken from the applicant’s distribution, and the candidate with the highest score is selected for the job (represented using the dashed box). </w:t>
      </w:r>
      <w:r w:rsidR="005531FD">
        <w:rPr>
          <w:color w:val="7030A0"/>
        </w:rPr>
        <w:t>C</w:t>
      </w:r>
      <w:r w:rsidR="00852084" w:rsidRPr="00E5563F">
        <w:rPr>
          <w:color w:val="7030A0"/>
        </w:rPr>
        <w:t>andidate A, the non-disadvantaged candidate, gets the job on three occasions</w:t>
      </w:r>
      <w:r w:rsidR="005531FD">
        <w:rPr>
          <w:color w:val="7030A0"/>
        </w:rPr>
        <w:t>. On one occasion B performs significantly above expectation, and A performs below expectation, and so B gets the job</w:t>
      </w:r>
      <w:r w:rsidR="00852084" w:rsidRPr="00E5563F">
        <w:rPr>
          <w:color w:val="7030A0"/>
        </w:rPr>
        <w:t xml:space="preserve">. </w:t>
      </w:r>
    </w:p>
    <w:p w:rsidR="00852084" w:rsidRPr="00E5563F" w:rsidRDefault="00852084" w:rsidP="005531FD">
      <w:pPr>
        <w:rPr>
          <w:color w:val="7030A0"/>
        </w:rPr>
      </w:pPr>
      <w:r w:rsidRPr="00E5563F">
        <w:rPr>
          <w:color w:val="7030A0"/>
        </w:rPr>
        <w:t xml:space="preserve">To simulate the effect of job completion, I simply take </w:t>
      </w:r>
      <w:r w:rsidRPr="00E5563F">
        <w:rPr>
          <w:i/>
          <w:color w:val="7030A0"/>
        </w:rPr>
        <w:t>k</w:t>
      </w:r>
      <w:r w:rsidRPr="00E5563F">
        <w:rPr>
          <w:color w:val="7030A0"/>
        </w:rPr>
        <w:t xml:space="preserve"> draws (rather than just one draw) from distribution A, to represent the apparent fitness of </w:t>
      </w:r>
      <w:r w:rsidRPr="00E5563F">
        <w:rPr>
          <w:i/>
          <w:color w:val="7030A0"/>
        </w:rPr>
        <w:t xml:space="preserve">k </w:t>
      </w:r>
      <w:r w:rsidRPr="00E5563F">
        <w:rPr>
          <w:color w:val="7030A0"/>
        </w:rPr>
        <w:t xml:space="preserve">equally non-disadvantaged candidates in getting a particular job, in addition to one draw from distribution B. To simulate the effects of fitness disadvantage, I vary the distance </w:t>
      </w:r>
      <w:r w:rsidRPr="00E5563F">
        <w:rPr>
          <w:i/>
          <w:color w:val="7030A0"/>
        </w:rPr>
        <w:t>d</w:t>
      </w:r>
      <w:r w:rsidRPr="00E5563F">
        <w:rPr>
          <w:color w:val="7030A0"/>
        </w:rPr>
        <w:t xml:space="preserve">, to increase or decrease the amount of overlap between the distributions. </w:t>
      </w:r>
    </w:p>
    <w:p w:rsidR="00852084" w:rsidRPr="00E5563F" w:rsidRDefault="00852084" w:rsidP="00852084">
      <w:pPr>
        <w:rPr>
          <w:color w:val="7030A0"/>
        </w:rPr>
      </w:pPr>
      <w:r w:rsidRPr="00E5563F">
        <w:rPr>
          <w:color w:val="7030A0"/>
        </w:rPr>
        <w:t xml:space="preserve">Repeating this process </w:t>
      </w:r>
      <w:r w:rsidR="005531FD">
        <w:rPr>
          <w:color w:val="7030A0"/>
        </w:rPr>
        <w:t>100,000 times to average out the effect of simulation uncertainty</w:t>
      </w:r>
      <w:r w:rsidR="006E5934" w:rsidRPr="00E5563F">
        <w:rPr>
          <w:color w:val="7030A0"/>
        </w:rPr>
        <w:t>,</w:t>
      </w:r>
      <w:r w:rsidRPr="00E5563F">
        <w:rPr>
          <w:color w:val="7030A0"/>
        </w:rPr>
        <w:t xml:space="preserve"> for</w:t>
      </w:r>
      <w:r w:rsidR="005531FD">
        <w:rPr>
          <w:color w:val="7030A0"/>
        </w:rPr>
        <w:t xml:space="preserve"> between one and fifteen healthy rivals (</w:t>
      </w:r>
      <m:oMath>
        <m:r>
          <w:rPr>
            <w:rFonts w:ascii="Cambria Math" w:hAnsi="Cambria Math"/>
            <w:color w:val="7030A0"/>
          </w:rPr>
          <m:t xml:space="preserve">k∈ </m:t>
        </m:r>
        <m:d>
          <m:dPr>
            <m:begChr m:val="{"/>
            <m:endChr m:val="}"/>
            <m:ctrlPr>
              <w:rPr>
                <w:rFonts w:ascii="Cambria Math" w:hAnsi="Cambria Math"/>
                <w:i/>
                <w:color w:val="7030A0"/>
              </w:rPr>
            </m:ctrlPr>
          </m:dPr>
          <m:e>
            <m:r>
              <w:rPr>
                <w:rFonts w:ascii="Cambria Math" w:hAnsi="Cambria Math"/>
                <w:color w:val="7030A0"/>
              </w:rPr>
              <m:t>1, 2, …, 15</m:t>
            </m:r>
          </m:e>
        </m:d>
        <m:r>
          <w:rPr>
            <w:rFonts w:ascii="Cambria Math" w:hAnsi="Cambria Math"/>
            <w:color w:val="7030A0"/>
          </w:rPr>
          <m:t>)</m:t>
        </m:r>
      </m:oMath>
      <w:r w:rsidR="005531FD">
        <w:rPr>
          <w:color w:val="7030A0"/>
        </w:rPr>
        <w:t xml:space="preserve"> and for anything between no fitness disadvantage and massive disadvantage (</w:t>
      </w:r>
      <m:oMath>
        <m:r>
          <w:rPr>
            <w:rFonts w:ascii="Cambria Math" w:hAnsi="Cambria Math"/>
            <w:color w:val="7030A0"/>
          </w:rPr>
          <m:t xml:space="preserve">d ∈ </m:t>
        </m:r>
        <m:d>
          <m:dPr>
            <m:begChr m:val="{"/>
            <m:endChr m:val="}"/>
            <m:ctrlPr>
              <w:rPr>
                <w:rFonts w:ascii="Cambria Math" w:hAnsi="Cambria Math"/>
                <w:i/>
                <w:color w:val="7030A0"/>
              </w:rPr>
            </m:ctrlPr>
          </m:dPr>
          <m:e>
            <m:r>
              <w:rPr>
                <w:rFonts w:ascii="Cambria Math" w:hAnsi="Cambria Math"/>
                <w:color w:val="7030A0"/>
              </w:rPr>
              <m:t>0.0, 0.1, 0.2, …, 4.9</m:t>
            </m:r>
          </m:e>
        </m:d>
        <m:r>
          <w:rPr>
            <w:rFonts w:ascii="Cambria Math" w:hAnsi="Cambria Math"/>
            <w:color w:val="7030A0"/>
          </w:rPr>
          <m:t>σ</m:t>
        </m:r>
      </m:oMath>
      <w:r w:rsidR="005531FD">
        <w:rPr>
          <w:rFonts w:eastAsiaTheme="minorEastAsia"/>
          <w:color w:val="7030A0"/>
        </w:rPr>
        <w:t xml:space="preserve">) I </w:t>
      </w:r>
      <w:r w:rsidRPr="00E5563F">
        <w:rPr>
          <w:rFonts w:eastAsiaTheme="minorEastAsia"/>
          <w:color w:val="7030A0"/>
        </w:rPr>
        <w:t>produce a set of estimated probabilities of</w:t>
      </w:r>
      <w:r w:rsidR="005531FD">
        <w:rPr>
          <w:rFonts w:eastAsiaTheme="minorEastAsia"/>
          <w:color w:val="7030A0"/>
        </w:rPr>
        <w:t xml:space="preserve"> the disadvantaged candidate </w:t>
      </w:r>
      <w:r w:rsidRPr="00E5563F">
        <w:rPr>
          <w:rFonts w:eastAsiaTheme="minorEastAsia"/>
          <w:color w:val="7030A0"/>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Default="00AE350E" w:rsidP="00AE350E">
      <w:pPr>
        <w:pStyle w:val="Heading2"/>
        <w:numPr>
          <w:ilvl w:val="0"/>
          <w:numId w:val="0"/>
        </w:numPr>
      </w:pPr>
      <w:r>
        <w:t>Results</w:t>
      </w:r>
    </w:p>
    <w:p w:rsidR="00852084" w:rsidRPr="005531FD" w:rsidRDefault="006E5934" w:rsidP="00852084">
      <w:pPr>
        <w:rPr>
          <w:rFonts w:eastAsiaTheme="minorEastAsia"/>
          <w:color w:val="7030A0"/>
        </w:rPr>
      </w:pPr>
      <w:r w:rsidRPr="005531FD">
        <w:rPr>
          <w:rFonts w:eastAsiaTheme="minorEastAsia"/>
          <w:color w:val="7030A0"/>
        </w:rPr>
        <w:t>In Figure 2</w:t>
      </w:r>
      <w:r w:rsidR="00852084" w:rsidRPr="005531FD">
        <w:rPr>
          <w:rFonts w:eastAsiaTheme="minorEastAsia"/>
          <w:color w:val="7030A0"/>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5531FD" w:rsidRDefault="006E5934" w:rsidP="006E5934">
      <w:pPr>
        <w:jc w:val="center"/>
        <w:rPr>
          <w:rFonts w:eastAsiaTheme="minorEastAsia"/>
          <w:color w:val="7030A0"/>
        </w:rPr>
      </w:pPr>
      <w:r w:rsidRPr="005531FD">
        <w:rPr>
          <w:rFonts w:eastAsiaTheme="minorEastAsia"/>
          <w:color w:val="7030A0"/>
        </w:rPr>
        <w:t>[Figure 2 about here]</w:t>
      </w:r>
    </w:p>
    <w:p w:rsidR="006E5934" w:rsidRPr="005531FD" w:rsidRDefault="00852084" w:rsidP="00852084">
      <w:pPr>
        <w:rPr>
          <w:color w:val="7030A0"/>
        </w:rPr>
      </w:pPr>
      <w:r w:rsidRPr="005531FD">
        <w:rPr>
          <w:color w:val="7030A0"/>
        </w:rPr>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5531FD">
        <w:rPr>
          <w:color w:val="7030A0"/>
        </w:rPr>
        <w:t xml:space="preserve"> Of course, a different threshold could have been selected, but the same overall argument applies.</w:t>
      </w:r>
    </w:p>
    <w:p w:rsidR="00852084" w:rsidRPr="005531FD" w:rsidRDefault="00852084" w:rsidP="00852084">
      <w:pPr>
        <w:rPr>
          <w:color w:val="7030A0"/>
        </w:rPr>
      </w:pPr>
      <w:r w:rsidRPr="005531FD">
        <w:rPr>
          <w:color w:val="7030A0"/>
        </w:rPr>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Pr="00EB07F8" w:rsidRDefault="00AE350E" w:rsidP="00AE350E">
      <w:pPr>
        <w:pStyle w:val="Heading2"/>
        <w:numPr>
          <w:ilvl w:val="0"/>
          <w:numId w:val="0"/>
        </w:numPr>
        <w:rPr>
          <w:color w:val="FF0000"/>
        </w:rPr>
      </w:pPr>
      <w:r w:rsidRPr="00EB07F8">
        <w:rPr>
          <w:color w:val="FF0000"/>
        </w:rPr>
        <w:t>Discussion</w:t>
      </w:r>
    </w:p>
    <w:p w:rsidR="00852084" w:rsidRPr="00EB07F8" w:rsidRDefault="00852084" w:rsidP="00852084">
      <w:pPr>
        <w:pStyle w:val="Heading3"/>
        <w:numPr>
          <w:ilvl w:val="0"/>
          <w:numId w:val="0"/>
        </w:numPr>
        <w:rPr>
          <w:color w:val="FF0000"/>
        </w:rPr>
      </w:pPr>
      <w:r w:rsidRPr="00EB07F8">
        <w:rPr>
          <w:color w:val="FF0000"/>
        </w:rPr>
        <w:t>What are the implications?</w:t>
      </w:r>
    </w:p>
    <w:p w:rsidR="006E5934" w:rsidRPr="00EB07F8" w:rsidRDefault="00852084" w:rsidP="006E5934">
      <w:pPr>
        <w:rPr>
          <w:color w:val="FF0000"/>
        </w:rPr>
      </w:pPr>
      <w:r w:rsidRPr="00EB07F8">
        <w:rPr>
          <w:color w:val="FF0000"/>
        </w:rPr>
        <w:t>[Something about rational choice theory.</w:t>
      </w:r>
      <w:r w:rsidR="00293FAB">
        <w:rPr>
          <w:color w:val="FF0000"/>
        </w:rPr>
        <w:fldChar w:fldCharType="begin"/>
      </w:r>
      <w:r w:rsidR="00293FAB">
        <w:rPr>
          <w:color w:val="FF0000"/>
        </w:rPr>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293FAB">
        <w:rPr>
          <w:color w:val="FF0000"/>
        </w:rPr>
        <w:fldChar w:fldCharType="separate"/>
      </w:r>
      <w:r w:rsidR="00293FAB" w:rsidRPr="00293FAB">
        <w:rPr>
          <w:color w:val="FF0000"/>
          <w:vertAlign w:val="superscript"/>
        </w:rPr>
        <w:t>30</w:t>
      </w:r>
      <w:r w:rsidR="00293FAB">
        <w:rPr>
          <w:color w:val="FF0000"/>
        </w:rPr>
        <w:fldChar w:fldCharType="end"/>
      </w:r>
      <w:r w:rsidRPr="00EB07F8">
        <w:rPr>
          <w:color w:val="FF0000"/>
        </w:rPr>
        <w:t xml:space="preserve"> Beatty &amp; Fothergill :</w:t>
      </w:r>
      <w:r w:rsidR="00293FAB">
        <w:rPr>
          <w:color w:val="FF0000"/>
        </w:rPr>
        <w:fldChar w:fldCharType="begin"/>
      </w:r>
      <w:r w:rsidR="00293FAB">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293FAB">
        <w:rPr>
          <w:color w:val="FF0000"/>
        </w:rPr>
        <w:fldChar w:fldCharType="separate"/>
      </w:r>
      <w:r w:rsidR="00293FAB" w:rsidRPr="00293FAB">
        <w:rPr>
          <w:color w:val="FF0000"/>
          <w:vertAlign w:val="superscript"/>
        </w:rPr>
        <w:t>31</w:t>
      </w:r>
      <w:r w:rsidR="00293FAB">
        <w:rPr>
          <w:color w:val="FF0000"/>
        </w:rPr>
        <w:fldChar w:fldCharType="end"/>
      </w:r>
      <w:r w:rsidRPr="00EB07F8">
        <w:rPr>
          <w:color w:val="FF0000"/>
        </w:rPr>
        <w:t xml:space="preserve"> Choosing the best of two bad options, rather than between a good option and a bad option.]</w:t>
      </w:r>
      <w:r w:rsidR="006E5934" w:rsidRPr="00EB07F8">
        <w:rPr>
          <w:color w:val="FF0000"/>
        </w:rPr>
        <w:t xml:space="preserve"> </w:t>
      </w:r>
    </w:p>
    <w:p w:rsidR="00852084" w:rsidRPr="00EB07F8" w:rsidRDefault="006E5934" w:rsidP="00852084">
      <w:pPr>
        <w:rPr>
          <w:color w:val="FF0000"/>
        </w:rPr>
      </w:pPr>
      <w:r w:rsidRPr="00EB07F8">
        <w:rPr>
          <w:color w:val="FF0000"/>
        </w:rPr>
        <w:t xml:space="preserve">I think these findings all point in the same direction, and can be largely explained by assuming that </w:t>
      </w:r>
      <w:r w:rsidRPr="00EB07F8">
        <w:rPr>
          <w:i/>
          <w:color w:val="FF0000"/>
        </w:rPr>
        <w:t xml:space="preserve">there is a nonlinear relationship between employment ‘fitness’ </w:t>
      </w:r>
      <w:r w:rsidRPr="00EB07F8">
        <w:rPr>
          <w:color w:val="FF0000"/>
        </w:rPr>
        <w:t xml:space="preserve">(how well or poorly a candidate compares to others when being assessed for a particular job) </w:t>
      </w:r>
      <w:r w:rsidRPr="00EB07F8">
        <w:rPr>
          <w:i/>
          <w:color w:val="FF0000"/>
        </w:rPr>
        <w:t xml:space="preserve">and employability </w:t>
      </w:r>
      <w:r w:rsidRPr="00EB07F8">
        <w:rPr>
          <w:color w:val="FF0000"/>
        </w:rPr>
        <w:t>(the ease or difficulty a candidate faces in getting a job). For this section of the conclusion, I want to describe and explain the nature and causes of this nonlinear relationship, by formalising a number of assumptions about the ‘fitness’/employability into a very simple statistical model.</w:t>
      </w:r>
    </w:p>
    <w:p w:rsidR="006E5934" w:rsidRPr="00EB07F8" w:rsidRDefault="00852084" w:rsidP="006E5934">
      <w:pPr>
        <w:pStyle w:val="Heading3"/>
        <w:numPr>
          <w:ilvl w:val="0"/>
          <w:numId w:val="0"/>
        </w:numPr>
        <w:rPr>
          <w:color w:val="FF0000"/>
        </w:rPr>
      </w:pPr>
      <w:r w:rsidRPr="00EB07F8">
        <w:rPr>
          <w:color w:val="FF0000"/>
        </w:rPr>
        <w:t xml:space="preserve">Relationship with previous findings </w:t>
      </w:r>
    </w:p>
    <w:p w:rsidR="006E5934" w:rsidRPr="00EB07F8" w:rsidRDefault="006E5934" w:rsidP="006E5934">
      <w:pPr>
        <w:rPr>
          <w:color w:val="FF0000"/>
        </w:rPr>
      </w:pPr>
      <w:r w:rsidRPr="00EB07F8">
        <w:rPr>
          <w:color w:val="FF0000"/>
        </w:rPr>
        <w:t xml:space="preserve">This model is based substantially on Beatty, Fothergill, &amp; MacMillan’s </w:t>
      </w:r>
      <w:r w:rsidRPr="00EB07F8">
        <w:rPr>
          <w:i/>
          <w:color w:val="FF0000"/>
        </w:rPr>
        <w:t>Theory of Employment, Unemployment and Sickness</w:t>
      </w:r>
      <w:r w:rsidR="001F5DDE" w:rsidRPr="00EB07F8">
        <w:rPr>
          <w:color w:val="FF0000"/>
        </w:rPr>
        <w:fldChar w:fldCharType="begin"/>
      </w:r>
      <w:r w:rsidR="00293FAB">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1F5DDE" w:rsidRPr="00EB07F8">
        <w:rPr>
          <w:color w:val="FF0000"/>
        </w:rPr>
        <w:fldChar w:fldCharType="separate"/>
      </w:r>
      <w:r w:rsidR="00293FAB" w:rsidRPr="00293FAB">
        <w:rPr>
          <w:color w:val="FF0000"/>
          <w:vertAlign w:val="superscript"/>
        </w:rPr>
        <w:t>31</w:t>
      </w:r>
      <w:r w:rsidR="001F5DDE" w:rsidRPr="00EB07F8">
        <w:rPr>
          <w:color w:val="FF0000"/>
        </w:rPr>
        <w:fldChar w:fldCharType="end"/>
      </w:r>
      <w:r w:rsidRPr="00EB07F8">
        <w:rPr>
          <w:color w:val="FF0000"/>
        </w:rPr>
        <w:t xml:space="preserve"> and I believe can be seen as supporting a ‘demand-side’, rather than ‘supply-side’, explanation for much of the increase in the rates of IVB/IB that occurred over the last thirty years. </w:t>
      </w:r>
    </w:p>
    <w:p w:rsidR="00852084" w:rsidRPr="00EB07F8" w:rsidRDefault="00852084" w:rsidP="00852084">
      <w:pPr>
        <w:pStyle w:val="Heading3"/>
        <w:numPr>
          <w:ilvl w:val="0"/>
          <w:numId w:val="0"/>
        </w:numPr>
        <w:rPr>
          <w:color w:val="FF0000"/>
        </w:rPr>
      </w:pPr>
    </w:p>
    <w:p w:rsidR="00852084" w:rsidRPr="00EB07F8" w:rsidRDefault="00852084" w:rsidP="00852084">
      <w:pPr>
        <w:rPr>
          <w:color w:val="FF0000"/>
          <w:lang w:val="en-US"/>
        </w:rPr>
      </w:pPr>
      <w:r w:rsidRPr="00EB07F8">
        <w:rPr>
          <w:color w:val="FF0000"/>
        </w:rPr>
        <w:t>As David Webster, an economic geographer and director of housing services at Glasgow City Council suggests, the government “</w:t>
      </w:r>
      <w:r w:rsidRPr="00EB07F8">
        <w:rPr>
          <w:color w:val="FF0000"/>
          <w:lang w:val="en-US"/>
        </w:rPr>
        <w:t xml:space="preserve">is very confident that the problem lies entirely on the supply side of the </w:t>
      </w:r>
      <w:r w:rsidRPr="00EB07F8">
        <w:rPr>
          <w:color w:val="FF0000"/>
        </w:rPr>
        <w:t>labour</w:t>
      </w:r>
      <w:r w:rsidRPr="00EB07F8">
        <w:rPr>
          <w:color w:val="FF0000"/>
          <w:lang w:val="en-US"/>
        </w:rPr>
        <w:t xml:space="preserve"> market. In other words it is caused by the characteristics or motivation of workless people and not by any shortage of demand for labour”.</w:t>
      </w:r>
      <w:r w:rsidRPr="00EB07F8" w:rsidDel="000464D6">
        <w:rPr>
          <w:rStyle w:val="FootnoteReference"/>
          <w:color w:val="FF0000"/>
          <w:lang w:val="en-US"/>
        </w:rPr>
        <w:t xml:space="preserve"> </w:t>
      </w:r>
      <w:r w:rsidR="001F5DDE" w:rsidRPr="00EB07F8">
        <w:rPr>
          <w:color w:val="FF0000"/>
          <w:lang w:val="en-US"/>
        </w:rPr>
        <w:fldChar w:fldCharType="begin"/>
      </w:r>
      <w:r w:rsidR="00293FAB">
        <w:rPr>
          <w:color w:val="FF0000"/>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1F5DDE" w:rsidRPr="00EB07F8">
        <w:rPr>
          <w:color w:val="FF0000"/>
          <w:lang w:val="en-US"/>
        </w:rPr>
        <w:fldChar w:fldCharType="separate"/>
      </w:r>
      <w:r w:rsidR="00293FAB" w:rsidRPr="00293FAB">
        <w:rPr>
          <w:color w:val="FF0000"/>
          <w:vertAlign w:val="superscript"/>
          <w:lang w:val="en-US"/>
        </w:rPr>
        <w:t>32</w:t>
      </w:r>
      <w:r w:rsidR="001F5DDE" w:rsidRPr="00EB07F8">
        <w:rPr>
          <w:color w:val="FF0000"/>
          <w:lang w:val="en-US"/>
        </w:rPr>
        <w:fldChar w:fldCharType="end"/>
      </w:r>
      <w:r w:rsidRPr="00EB07F8">
        <w:rPr>
          <w:color w:val="FF0000"/>
          <w:lang w:val="en-US"/>
        </w:rPr>
        <w:t xml:space="preserve"> Webster suggests that “government focus on supply-side explanations of worklessness has led to supply-side labour market policies [such as the] development of a more proactive employment service, oriented towards identifying people’s labour market handicaps and helping to remedy them”. Conversely, demand-side policies – such as providing sheltered employment opportunities for those with fitness disadvantages that, in a more competitive </w:t>
      </w:r>
      <w:r w:rsidRPr="00EB07F8">
        <w:rPr>
          <w:color w:val="FF0000"/>
        </w:rPr>
        <w:t>labour</w:t>
      </w:r>
      <w:r w:rsidRPr="00EB07F8">
        <w:rPr>
          <w:color w:val="FF0000"/>
          <w:lang w:val="en-US"/>
        </w:rPr>
        <w:t xml:space="preserve"> market, effectively renders them unemployable through usual selection processes; or </w:t>
      </w:r>
      <w:r w:rsidRPr="00EB07F8">
        <w:rPr>
          <w:color w:val="FF0000"/>
        </w:rPr>
        <w:t xml:space="preserve">subsidising employers to keep or take on employees with fitness disadvantages - </w:t>
      </w:r>
      <w:r w:rsidRPr="00EB07F8">
        <w:rPr>
          <w:color w:val="FF0000"/>
          <w:lang w:val="en-US"/>
        </w:rPr>
        <w:t xml:space="preserve"> have been persistently avoided, and demand-side ‘legacy’ organisations, such as Remploy, which was established in 1945 to provide sheltered employment for disabled people, have been forced to shed thousands of jobs.</w:t>
      </w:r>
      <w:r w:rsidR="001F5DDE" w:rsidRPr="00EB07F8">
        <w:rPr>
          <w:color w:val="FF0000"/>
          <w:lang w:val="en-US"/>
        </w:rPr>
        <w:fldChar w:fldCharType="begin"/>
      </w:r>
      <w:r w:rsidR="00293FAB">
        <w:rPr>
          <w:color w:val="FF0000"/>
          <w:lang w:val="en-US"/>
        </w:rPr>
        <w:instrText xml:space="preserve"> ADDIN EN.CITE &lt;EndNote&gt;&lt;Cite&gt;&lt;Author&gt;Davies&lt;/Author&gt;&lt;Year&gt;2008&lt;/Year&gt;&lt;RecNum&gt;4&lt;/RecNum&gt;&lt;record&gt;&lt;rec-number&gt;4&lt;/rec-number&gt;&lt;foreign-keys&gt;&lt;key app="EN" db-id="0x5ddxevivxdteezpt7xf5znxzsefvvs5eep"&gt;4&lt;/key&gt;&lt;/foreign-keys&gt;&lt;ref-type name="Web Page"&gt;12&lt;/ref-type&gt;&lt;contributors&gt;&lt;authors&gt;&lt;author&gt;Davies, Caroline&lt;/author&gt;&lt;/authors&gt;&lt;/contributors&gt;&lt;titles&gt;&lt;title&gt;Job losses are &amp;apos;betrayal&amp;apos; of disabled: Unions protest after the government refuses to rescue factories that keep thousands in work&lt;/title&gt;&lt;/titles&gt;&lt;volume&gt;2009&lt;/volume&gt;&lt;number&gt;12 April&lt;/number&gt;&lt;dates&gt;&lt;year&gt;2008&lt;/year&gt;&lt;/dates&gt;&lt;urls&gt;&lt;related-urls&gt;&lt;url&gt;http://www.guardian.co.uk/society/2008/mar/09/disability&lt;/url&gt;&lt;/related-urls&gt;&lt;/urls&gt;&lt;custom1&gt;2009&lt;/custom1&gt;&lt;custom2&gt;9 March&lt;/custom2&gt;&lt;modified-date&gt;9 March 2009&lt;/modified-date&gt;&lt;/record&gt;&lt;/Cite&gt;&lt;/EndNote&gt;</w:instrText>
      </w:r>
      <w:r w:rsidR="001F5DDE" w:rsidRPr="00EB07F8">
        <w:rPr>
          <w:color w:val="FF0000"/>
          <w:lang w:val="en-US"/>
        </w:rPr>
        <w:fldChar w:fldCharType="separate"/>
      </w:r>
      <w:r w:rsidR="00293FAB" w:rsidRPr="00293FAB">
        <w:rPr>
          <w:color w:val="FF0000"/>
          <w:vertAlign w:val="superscript"/>
          <w:lang w:val="en-US"/>
        </w:rPr>
        <w:t>33</w:t>
      </w:r>
      <w:r w:rsidR="001F5DDE" w:rsidRPr="00EB07F8">
        <w:rPr>
          <w:color w:val="FF0000"/>
          <w:lang w:val="en-US"/>
        </w:rPr>
        <w:fldChar w:fldCharType="end"/>
      </w:r>
    </w:p>
    <w:p w:rsidR="006E5934" w:rsidRPr="00EB07F8" w:rsidRDefault="00852084" w:rsidP="006E5934">
      <w:pPr>
        <w:pStyle w:val="Heading3"/>
        <w:numPr>
          <w:ilvl w:val="0"/>
          <w:numId w:val="0"/>
        </w:numPr>
        <w:rPr>
          <w:color w:val="FF0000"/>
        </w:rPr>
      </w:pPr>
      <w:r w:rsidRPr="00EB07F8">
        <w:rPr>
          <w:color w:val="FF0000"/>
        </w:rPr>
        <w:t>Are the assumptions reasonable?</w:t>
      </w:r>
      <w:r w:rsidR="006E5934" w:rsidRPr="00EB07F8">
        <w:rPr>
          <w:color w:val="FF0000"/>
        </w:rPr>
        <w:t xml:space="preserve"> Limitations of the modelling approach</w:t>
      </w:r>
    </w:p>
    <w:p w:rsidR="00852084" w:rsidRPr="00EB07F8" w:rsidRDefault="00852084" w:rsidP="00852084">
      <w:pPr>
        <w:rPr>
          <w:color w:val="FF0000"/>
        </w:rPr>
      </w:pPr>
      <w:r w:rsidRPr="00EB07F8">
        <w:rPr>
          <w:color w:val="FF0000"/>
        </w:rPr>
        <w:t xml:space="preserve">Accepting this proviso, I now want to briefly discuss verbally, rather than formalise algebraically, a number of issues that I think are important in job-selection processes, but which are not represented in the model. At the end of each description, I will suggest how I think attempting to represent these issues may alter the model results, and if so whether it would change the overall interpretation of the model. </w:t>
      </w:r>
    </w:p>
    <w:p w:rsidR="00852084" w:rsidRPr="00EB07F8" w:rsidRDefault="00852084" w:rsidP="00852084">
      <w:pPr>
        <w:pStyle w:val="ListParagraph"/>
        <w:numPr>
          <w:ilvl w:val="0"/>
          <w:numId w:val="2"/>
        </w:numPr>
        <w:rPr>
          <w:color w:val="FF0000"/>
        </w:rPr>
      </w:pPr>
      <w:r w:rsidRPr="00EB07F8">
        <w:rPr>
          <w:b/>
          <w:color w:val="FF0000"/>
        </w:rPr>
        <w:t>Conventions and Codes filter candidates prior to fitness assessment:</w:t>
      </w:r>
      <w:r w:rsidR="001F5DDE" w:rsidRPr="00EB07F8">
        <w:rPr>
          <w:b/>
          <w:color w:val="FF0000"/>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293FAB">
        <w:rPr>
          <w:b/>
          <w:color w:val="FF0000"/>
        </w:rPr>
        <w:instrText xml:space="preserve"> ADDIN EN.CITE </w:instrText>
      </w:r>
      <w:r w:rsidR="00293FAB">
        <w:rPr>
          <w:b/>
          <w:color w:val="FF0000"/>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293FAB">
        <w:rPr>
          <w:b/>
          <w:color w:val="FF0000"/>
        </w:rPr>
        <w:instrText xml:space="preserve"> ADDIN EN.CITE.DATA </w:instrText>
      </w:r>
      <w:r w:rsidR="00293FAB">
        <w:rPr>
          <w:b/>
          <w:color w:val="FF0000"/>
        </w:rPr>
      </w:r>
      <w:r w:rsidR="00293FAB">
        <w:rPr>
          <w:b/>
          <w:color w:val="FF0000"/>
        </w:rPr>
        <w:fldChar w:fldCharType="end"/>
      </w:r>
      <w:r w:rsidR="001F5DDE" w:rsidRPr="00EB07F8">
        <w:rPr>
          <w:b/>
          <w:color w:val="FF0000"/>
        </w:rPr>
        <w:fldChar w:fldCharType="separate"/>
      </w:r>
      <w:r w:rsidR="00293FAB" w:rsidRPr="00293FAB">
        <w:rPr>
          <w:b/>
          <w:color w:val="FF0000"/>
          <w:vertAlign w:val="superscript"/>
        </w:rPr>
        <w:t>34-38</w:t>
      </w:r>
      <w:r w:rsidR="001F5DDE" w:rsidRPr="00EB07F8">
        <w:rPr>
          <w:b/>
          <w:color w:val="FF0000"/>
        </w:rPr>
        <w:fldChar w:fldCharType="end"/>
      </w:r>
      <w:r w:rsidRPr="00EB07F8">
        <w:rPr>
          <w:b/>
          <w:color w:val="FF0000"/>
        </w:rPr>
        <w:t xml:space="preserve"> </w:t>
      </w:r>
      <w:r w:rsidRPr="00EB07F8">
        <w:rPr>
          <w:color w:val="FF0000"/>
        </w:rPr>
        <w:t xml:space="preserve">For example, a company might state in a job advert that applicants need to have either a first or upper-second class degree to be considered for interview (a code), and apply this rule unfailingly. Or, the human resources manager of a company may adopt a number of heuristics (conventions), such as “Don’t interview anyone over 50”, “Don’t interview anyone with a gap in their employment record of more than six months”, “Don’t interview anyone who ticks the box saying they have a criminal record”, and so on, and apply these conventions as informal (and perhaps technically illegal) decision-rules, just as in the prior example a code was used as a decision-rule. I believe that, if this process were also included in the model, then the likely result would be to further </w:t>
      </w:r>
      <w:r w:rsidRPr="00EB07F8">
        <w:rPr>
          <w:i/>
          <w:color w:val="FF0000"/>
        </w:rPr>
        <w:t>increase,</w:t>
      </w:r>
      <w:r w:rsidRPr="00EB07F8">
        <w:rPr>
          <w:color w:val="FF0000"/>
        </w:rPr>
        <w:t xml:space="preserve"> rather than </w:t>
      </w:r>
      <w:r w:rsidRPr="00EB07F8">
        <w:rPr>
          <w:i/>
          <w:color w:val="FF0000"/>
        </w:rPr>
        <w:t xml:space="preserve">decrease, </w:t>
      </w:r>
      <w:r w:rsidRPr="00EB07F8">
        <w:rPr>
          <w:color w:val="FF0000"/>
        </w:rPr>
        <w:t xml:space="preserve">the employability disadvantage faced by disadvantaged applicants, and so would not invalidate the arguments I have made above. </w:t>
      </w:r>
    </w:p>
    <w:p w:rsidR="00852084" w:rsidRPr="00EB07F8" w:rsidRDefault="00852084" w:rsidP="00852084">
      <w:pPr>
        <w:pStyle w:val="ListParagraph"/>
        <w:numPr>
          <w:ilvl w:val="0"/>
          <w:numId w:val="2"/>
        </w:numPr>
        <w:rPr>
          <w:color w:val="FF0000"/>
        </w:rPr>
      </w:pPr>
      <w:r w:rsidRPr="00EB07F8">
        <w:rPr>
          <w:b/>
          <w:color w:val="FF0000"/>
        </w:rPr>
        <w:t xml:space="preserve">Temp Agencies: </w:t>
      </w:r>
      <w:r w:rsidRPr="00EB07F8">
        <w:rPr>
          <w:color w:val="FF0000"/>
        </w:rPr>
        <w:t>For many, if not most, low-paid jobs, employment is not secured through interviews or recruitment processes conducted by the employers themselves, but through temp agencies and similar human resource brokerage services. This may modify the process modelled slightly, but not, I believe, substantially. Whenever someone contacts a temp agency in need of a job, the employee at the temp agency will likely attempt to judge and assess that person as she believes the employers whom the agency services would, to imagine herself in the position of an employer on her books, and assess them in terms of suitability (‘fitness’) for the vacancies she has been asked to fill. Only those temps who are seen as ‘best’ for a vacancy would then be matched with employers and given a chance to work. In this sense, the temp agency employee acts as a kind of surrogate interviewer for the employer, and so exactly the same argument applies. (The ‘casual’ and ‘flexible’ nature, and low pay, of most of the jobs temp agencies offer, however, perhaps does function to decrease the number of candidates per vacancy.)</w:t>
      </w:r>
    </w:p>
    <w:p w:rsidR="00852084" w:rsidRPr="00EB07F8" w:rsidRDefault="00852084" w:rsidP="00852084">
      <w:pPr>
        <w:pStyle w:val="ListParagraph"/>
        <w:numPr>
          <w:ilvl w:val="0"/>
          <w:numId w:val="2"/>
        </w:numPr>
        <w:rPr>
          <w:color w:val="FF0000"/>
        </w:rPr>
      </w:pPr>
      <w:r w:rsidRPr="00EB07F8">
        <w:rPr>
          <w:b/>
          <w:color w:val="FF0000"/>
        </w:rPr>
        <w:t>Local Fitness Disadvantage:</w:t>
      </w:r>
      <w:r w:rsidR="001F5DDE" w:rsidRPr="00EB07F8">
        <w:rPr>
          <w:b/>
          <w:color w:val="FF0000"/>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293FAB">
        <w:rPr>
          <w:b/>
          <w:color w:val="FF0000"/>
        </w:rPr>
        <w:instrText xml:space="preserve"> ADDIN EN.CITE </w:instrText>
      </w:r>
      <w:r w:rsidR="00293FAB">
        <w:rPr>
          <w:b/>
          <w:color w:val="FF0000"/>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293FAB">
        <w:rPr>
          <w:b/>
          <w:color w:val="FF0000"/>
        </w:rPr>
        <w:instrText xml:space="preserve"> ADDIN EN.CITE.DATA </w:instrText>
      </w:r>
      <w:r w:rsidR="00293FAB">
        <w:rPr>
          <w:b/>
          <w:color w:val="FF0000"/>
        </w:rPr>
      </w:r>
      <w:r w:rsidR="00293FAB">
        <w:rPr>
          <w:b/>
          <w:color w:val="FF0000"/>
        </w:rPr>
        <w:fldChar w:fldCharType="end"/>
      </w:r>
      <w:r w:rsidR="001F5DDE" w:rsidRPr="00EB07F8">
        <w:rPr>
          <w:b/>
          <w:color w:val="FF0000"/>
        </w:rPr>
        <w:fldChar w:fldCharType="separate"/>
      </w:r>
      <w:r w:rsidR="00293FAB" w:rsidRPr="00293FAB">
        <w:rPr>
          <w:b/>
          <w:color w:val="FF0000"/>
          <w:vertAlign w:val="superscript"/>
        </w:rPr>
        <w:t>5 32 39-42</w:t>
      </w:r>
      <w:r w:rsidR="001F5DDE" w:rsidRPr="00EB07F8">
        <w:rPr>
          <w:b/>
          <w:color w:val="FF0000"/>
        </w:rPr>
        <w:fldChar w:fldCharType="end"/>
      </w:r>
      <w:r w:rsidRPr="00EB07F8">
        <w:rPr>
          <w:b/>
          <w:color w:val="FF0000"/>
        </w:rPr>
        <w:t xml:space="preserve"> </w:t>
      </w:r>
      <w:r w:rsidRPr="00EB07F8">
        <w:rPr>
          <w:color w:val="FF0000"/>
        </w:rPr>
        <w:t xml:space="preserve">Perhaps, in a certain region, a large proportion of the local workforce have a substantial job fitness disadvantage, relative to a nationally or internationally ‘average’ candidate. If there were little or no labour market mobility from region to region, the low regional fitness of candidates would not lead to these candidates suffering from a severe employability disadvantage, as they would not be disadvantaged relative to most other applicants (i.e. they would all be more like candidate A rather than candidate B, but A’s mean fitness would be lower). Where labour market mobility increases, however, this regional fitness disadvantage quickly becomes a very severe employability disadvantage, as the pool of rivals expands to include more people from other parts of the country, and from other countries. Where there are vast disparities in average wages between regions, or between countries, then people from poorer areas, and poorer countries, tend to be willing to travel increasing distances in search of better paying work. Immigrant labour, either from other regions or other countries, will tend to be ‘fitter’ (younger, stronger, healthier, better motivated, better prepared to work for what locals consider low wages), from the employers’ perspective, than local labour, and so, through the processes described in the model, increased immigration can effectively render large sections of the local workforce ‘unemployable’.   </w:t>
      </w:r>
    </w:p>
    <w:p w:rsidR="00852084" w:rsidRPr="00EB07F8" w:rsidRDefault="00852084" w:rsidP="00852084">
      <w:pPr>
        <w:pStyle w:val="ListParagraph"/>
        <w:numPr>
          <w:ilvl w:val="0"/>
          <w:numId w:val="2"/>
        </w:numPr>
        <w:rPr>
          <w:color w:val="FF0000"/>
        </w:rPr>
      </w:pPr>
      <w:r w:rsidRPr="00EB07F8">
        <w:rPr>
          <w:b/>
          <w:color w:val="FF0000"/>
        </w:rPr>
        <w:t>Homophily:</w:t>
      </w:r>
      <w:r w:rsidR="001F5DDE" w:rsidRPr="00EB07F8">
        <w:rPr>
          <w:b/>
          <w:color w:val="FF0000"/>
        </w:rPr>
        <w:fldChar w:fldCharType="begin"/>
      </w:r>
      <w:r w:rsidR="00293FAB">
        <w:rPr>
          <w:b/>
          <w:color w:val="FF0000"/>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001F5DDE" w:rsidRPr="00EB07F8">
        <w:rPr>
          <w:b/>
          <w:color w:val="FF0000"/>
        </w:rPr>
        <w:fldChar w:fldCharType="separate"/>
      </w:r>
      <w:r w:rsidR="00293FAB" w:rsidRPr="00293FAB">
        <w:rPr>
          <w:b/>
          <w:color w:val="FF0000"/>
          <w:vertAlign w:val="superscript"/>
        </w:rPr>
        <w:t>43</w:t>
      </w:r>
      <w:r w:rsidR="001F5DDE" w:rsidRPr="00EB07F8">
        <w:rPr>
          <w:b/>
          <w:color w:val="FF0000"/>
        </w:rPr>
        <w:fldChar w:fldCharType="end"/>
      </w:r>
      <w:r w:rsidRPr="00EB07F8">
        <w:rPr>
          <w:b/>
          <w:color w:val="FF0000"/>
        </w:rPr>
        <w:t xml:space="preserve"> </w:t>
      </w:r>
      <w:r w:rsidRPr="00EB07F8">
        <w:rPr>
          <w:color w:val="FF0000"/>
        </w:rPr>
        <w:t>Perhaps employers are not as rational or calculating as I have assumed in the model. Instead, perhaps employers tend to want to pick employees who are like themselves, and not pick employees who are substantially different from themselves. Assuming that a large proportion of selection is based on homophily and the properties of social networks and group identities, rather than a rational scale of apparent job fitness, would lead to a substantially different model to that which I have discussed in this section. It could either exacerbate, or it could ameliorate, the fitness/employability relationship described here. Perhaps if the managers of a company are in their sixties, male, and working class, then they will treat older, male, working class candidates preferentially. If most of the managers are middle-class thirty-something university-educated females, however, then the converse may occur. Homophilic selection might be thought of as a much more dominant mechanism than fitness selection, or it might be seen as a fundamentally a modifier of fitness selection rather than a genuine alternative (‘people like us’ get moved forward in the queue, but not so far that they are guaranteed a job), or perhaps the two mechanisms could be imagined to interact in some way, to produce a hybrid model (perhaps with different streams of job offered for homomorphic as against heteromorphic candidates). The issue of homophily in employment is very important, but I expect not so fundamentally that the argument developed in the fitness model is not credible.</w:t>
      </w:r>
    </w:p>
    <w:p w:rsidR="006E5934" w:rsidRPr="00EB07F8" w:rsidRDefault="006E5934">
      <w:pPr>
        <w:spacing w:line="276" w:lineRule="auto"/>
        <w:jc w:val="left"/>
        <w:rPr>
          <w:color w:val="FF0000"/>
        </w:rPr>
      </w:pPr>
      <w:r w:rsidRPr="00EB07F8">
        <w:rPr>
          <w:color w:val="FF0000"/>
        </w:rPr>
        <w:br w:type="page"/>
      </w:r>
    </w:p>
    <w:p w:rsidR="00AE350E" w:rsidRPr="00E5563F" w:rsidRDefault="006E5934" w:rsidP="006E5934">
      <w:pPr>
        <w:pStyle w:val="Heading1"/>
        <w:numPr>
          <w:ilvl w:val="0"/>
          <w:numId w:val="0"/>
        </w:numPr>
        <w:rPr>
          <w:color w:val="FF0000"/>
        </w:rPr>
      </w:pPr>
      <w:r w:rsidRPr="00E5563F">
        <w:rPr>
          <w:color w:val="FF0000"/>
        </w:rPr>
        <w:t>Notes</w:t>
      </w:r>
    </w:p>
    <w:p w:rsidR="006E5934" w:rsidRPr="00E5563F" w:rsidRDefault="006E5934" w:rsidP="00293FAB">
      <w:pPr>
        <w:spacing w:after="0" w:line="240" w:lineRule="auto"/>
        <w:rPr>
          <w:color w:val="FF0000"/>
        </w:rPr>
      </w:pPr>
      <w:r w:rsidRPr="00E5563F">
        <w:rPr>
          <w:color w:val="FF0000"/>
        </w:rPr>
        <w:t>My affiliation when submitting:</w:t>
      </w:r>
    </w:p>
    <w:p w:rsidR="006E5934" w:rsidRPr="00E5563F" w:rsidRDefault="006E5934" w:rsidP="00293FAB">
      <w:pPr>
        <w:spacing w:after="0" w:line="240" w:lineRule="auto"/>
        <w:ind w:firstLine="720"/>
        <w:rPr>
          <w:color w:val="FF0000"/>
        </w:rPr>
      </w:pPr>
      <w:r w:rsidRPr="00E5563F">
        <w:rPr>
          <w:color w:val="FF0000"/>
        </w:rPr>
        <w:t>Until June 2011: CRD</w:t>
      </w:r>
    </w:p>
    <w:p w:rsidR="006E5934" w:rsidRPr="00E5563F" w:rsidRDefault="006E5934" w:rsidP="00293FAB">
      <w:pPr>
        <w:spacing w:after="0" w:line="240" w:lineRule="auto"/>
        <w:ind w:firstLine="720"/>
        <w:rPr>
          <w:color w:val="FF0000"/>
        </w:rPr>
      </w:pPr>
      <w:r w:rsidRPr="00E5563F">
        <w:rPr>
          <w:color w:val="FF0000"/>
        </w:rPr>
        <w:t>From July 2011: HEDS</w:t>
      </w:r>
    </w:p>
    <w:p w:rsidR="006E5934" w:rsidRPr="00E5563F" w:rsidRDefault="006E5934" w:rsidP="00293FAB">
      <w:pPr>
        <w:spacing w:after="0" w:line="240" w:lineRule="auto"/>
        <w:rPr>
          <w:color w:val="FF0000"/>
        </w:rPr>
      </w:pPr>
      <w:r w:rsidRPr="00E5563F">
        <w:rPr>
          <w:color w:val="FF0000"/>
        </w:rPr>
        <w:t>Technical appendix:</w:t>
      </w:r>
    </w:p>
    <w:p w:rsidR="006E5934" w:rsidRPr="00E5563F" w:rsidRDefault="006E5934" w:rsidP="00293FAB">
      <w:pPr>
        <w:spacing w:after="0" w:line="240" w:lineRule="auto"/>
        <w:rPr>
          <w:color w:val="FF0000"/>
        </w:rPr>
      </w:pPr>
      <w:r w:rsidRPr="00E5563F">
        <w:rPr>
          <w:color w:val="FF0000"/>
        </w:rPr>
        <w:tab/>
        <w:t>Provide code [To do]</w:t>
      </w:r>
    </w:p>
    <w:p w:rsidR="006E5934" w:rsidRPr="00E5563F" w:rsidRDefault="006E5934" w:rsidP="00293FAB">
      <w:pPr>
        <w:spacing w:after="0" w:line="240" w:lineRule="auto"/>
        <w:rPr>
          <w:color w:val="FF0000"/>
        </w:rPr>
      </w:pPr>
      <w:r w:rsidRPr="00E5563F">
        <w:rPr>
          <w:color w:val="FF0000"/>
        </w:rPr>
        <w:t>Background</w:t>
      </w:r>
    </w:p>
    <w:p w:rsidR="006E5934" w:rsidRPr="00E5563F" w:rsidRDefault="006E5934" w:rsidP="00293FAB">
      <w:pPr>
        <w:spacing w:after="0" w:line="240" w:lineRule="auto"/>
        <w:rPr>
          <w:color w:val="FF0000"/>
        </w:rPr>
      </w:pPr>
      <w:r w:rsidRPr="00E5563F">
        <w:rPr>
          <w:color w:val="FF0000"/>
        </w:rPr>
        <w:tab/>
        <w:t>IB Welfare reform</w:t>
      </w:r>
    </w:p>
    <w:p w:rsidR="006E5934" w:rsidRPr="00E5563F" w:rsidRDefault="006E5934" w:rsidP="00293FAB">
      <w:pPr>
        <w:spacing w:after="0" w:line="240" w:lineRule="auto"/>
        <w:rPr>
          <w:color w:val="FF0000"/>
        </w:rPr>
      </w:pPr>
      <w:r w:rsidRPr="00E5563F">
        <w:rPr>
          <w:color w:val="FF0000"/>
        </w:rPr>
        <w:tab/>
        <w:t>Supply side focus</w:t>
      </w:r>
      <w:r w:rsidR="001F5DDE">
        <w:rPr>
          <w:color w:val="FF0000"/>
        </w:rPr>
        <w:fldChar w:fldCharType="begin"/>
      </w:r>
      <w:r w:rsidR="00293FAB">
        <w:rPr>
          <w:color w:val="FF0000"/>
        </w:rPr>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1F5DDE">
        <w:rPr>
          <w:color w:val="FF0000"/>
        </w:rPr>
        <w:fldChar w:fldCharType="separate"/>
      </w:r>
      <w:r w:rsidR="00293FAB" w:rsidRPr="00293FAB">
        <w:rPr>
          <w:color w:val="FF0000"/>
          <w:vertAlign w:val="superscript"/>
        </w:rPr>
        <w:t>44 45</w:t>
      </w:r>
      <w:r w:rsidR="001F5DDE">
        <w:rPr>
          <w:color w:val="FF0000"/>
        </w:rPr>
        <w:fldChar w:fldCharType="end"/>
      </w:r>
    </w:p>
    <w:p w:rsidR="006E5934" w:rsidRPr="00E5563F" w:rsidRDefault="006E5934" w:rsidP="00293FAB">
      <w:pPr>
        <w:spacing w:after="0" w:line="240" w:lineRule="auto"/>
        <w:rPr>
          <w:color w:val="FF0000"/>
        </w:rPr>
      </w:pPr>
      <w:r w:rsidRPr="00E5563F">
        <w:rPr>
          <w:color w:val="FF0000"/>
        </w:rPr>
        <w:tab/>
      </w:r>
      <w:r w:rsidRPr="00E5563F">
        <w:rPr>
          <w:color w:val="FF0000"/>
        </w:rPr>
        <w:tab/>
        <w:t>Webster</w:t>
      </w:r>
      <w:r w:rsidR="001F5DDE">
        <w:rPr>
          <w:color w:val="FF0000"/>
        </w:rPr>
        <w:fldChar w:fldCharType="begin"/>
      </w:r>
      <w:r w:rsidR="00293FAB">
        <w:rPr>
          <w:color w:val="FF0000"/>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1F5DDE">
        <w:rPr>
          <w:color w:val="FF0000"/>
        </w:rPr>
        <w:fldChar w:fldCharType="separate"/>
      </w:r>
      <w:r w:rsidR="00293FAB" w:rsidRPr="00293FAB">
        <w:rPr>
          <w:color w:val="FF0000"/>
          <w:vertAlign w:val="superscript"/>
        </w:rPr>
        <w:t>32</w:t>
      </w:r>
      <w:r w:rsidR="001F5DDE">
        <w:rPr>
          <w:color w:val="FF0000"/>
        </w:rPr>
        <w:fldChar w:fldCharType="end"/>
      </w:r>
      <w:r w:rsidRPr="00E5563F">
        <w:rPr>
          <w:color w:val="FF0000"/>
        </w:rPr>
        <w:t xml:space="preserve"> </w:t>
      </w:r>
    </w:p>
    <w:p w:rsidR="006E5934" w:rsidRPr="00E5563F" w:rsidRDefault="006E5934" w:rsidP="00293FAB">
      <w:pPr>
        <w:spacing w:after="0" w:line="240" w:lineRule="auto"/>
        <w:rPr>
          <w:color w:val="FF0000"/>
        </w:rPr>
      </w:pPr>
      <w:r w:rsidRPr="00E5563F">
        <w:rPr>
          <w:color w:val="FF0000"/>
        </w:rPr>
        <w:t>Application</w:t>
      </w:r>
    </w:p>
    <w:p w:rsidR="006E5934" w:rsidRPr="00E5563F" w:rsidRDefault="006E5934" w:rsidP="00293FAB">
      <w:pPr>
        <w:spacing w:after="0" w:line="240" w:lineRule="auto"/>
        <w:rPr>
          <w:color w:val="FF0000"/>
        </w:rPr>
      </w:pPr>
      <w:r w:rsidRPr="00E5563F">
        <w:rPr>
          <w:color w:val="FF0000"/>
        </w:rPr>
        <w:tab/>
        <w:t>Could supply side focus be misguided?</w:t>
      </w:r>
    </w:p>
    <w:p w:rsidR="006E5934" w:rsidRPr="00E5563F" w:rsidRDefault="006E5934" w:rsidP="00293FAB">
      <w:pPr>
        <w:spacing w:after="0" w:line="240" w:lineRule="auto"/>
        <w:rPr>
          <w:color w:val="FF0000"/>
        </w:rPr>
      </w:pPr>
      <w:r w:rsidRPr="00E5563F">
        <w:rPr>
          <w:color w:val="FF0000"/>
        </w:rPr>
        <w:tab/>
      </w:r>
      <w:r w:rsidRPr="00E5563F">
        <w:rPr>
          <w:color w:val="FF0000"/>
        </w:rPr>
        <w:tab/>
        <w:t>The degree of health disadvantage is small,</w:t>
      </w:r>
    </w:p>
    <w:p w:rsidR="006E5934" w:rsidRPr="00E5563F" w:rsidRDefault="006E5934" w:rsidP="00293FAB">
      <w:pPr>
        <w:spacing w:after="0" w:line="240" w:lineRule="auto"/>
        <w:rPr>
          <w:color w:val="FF0000"/>
        </w:rPr>
      </w:pPr>
      <w:r w:rsidRPr="00E5563F">
        <w:rPr>
          <w:color w:val="FF0000"/>
        </w:rPr>
        <w:tab/>
      </w:r>
      <w:r w:rsidRPr="00E5563F">
        <w:rPr>
          <w:color w:val="FF0000"/>
        </w:rPr>
        <w:tab/>
        <w:t>Relative to the degree of employability disadvantage</w:t>
      </w:r>
    </w:p>
    <w:p w:rsidR="006E5934" w:rsidRPr="00E5563F" w:rsidRDefault="006E5934" w:rsidP="00293FAB">
      <w:pPr>
        <w:spacing w:after="0" w:line="240" w:lineRule="auto"/>
        <w:rPr>
          <w:color w:val="FF0000"/>
        </w:rPr>
      </w:pPr>
      <w:r w:rsidRPr="00E5563F">
        <w:rPr>
          <w:color w:val="FF0000"/>
        </w:rPr>
        <w:tab/>
      </w:r>
      <w:r w:rsidRPr="00E5563F">
        <w:rPr>
          <w:color w:val="FF0000"/>
        </w:rPr>
        <w:tab/>
        <w:t>Therefore ‘bad attitude’ is assumed to explained the mismatch</w:t>
      </w:r>
    </w:p>
    <w:p w:rsidR="006E5934" w:rsidRPr="00E5563F" w:rsidRDefault="006E5934" w:rsidP="00293FAB">
      <w:pPr>
        <w:spacing w:after="0" w:line="240" w:lineRule="auto"/>
        <w:rPr>
          <w:color w:val="FF0000"/>
        </w:rPr>
      </w:pPr>
      <w:r w:rsidRPr="00E5563F">
        <w:rPr>
          <w:color w:val="FF0000"/>
        </w:rPr>
        <w:t>Inspiration</w:t>
      </w:r>
    </w:p>
    <w:p w:rsidR="006E5934" w:rsidRPr="00E5563F" w:rsidRDefault="006E5934" w:rsidP="00293FAB">
      <w:pPr>
        <w:spacing w:after="0" w:line="240" w:lineRule="auto"/>
        <w:rPr>
          <w:color w:val="FF0000"/>
        </w:rPr>
      </w:pPr>
      <w:r w:rsidRPr="00E5563F">
        <w:rPr>
          <w:color w:val="FF0000"/>
        </w:rPr>
        <w:tab/>
        <w:t>Beatty &amp; Fothergill Theory</w:t>
      </w:r>
      <w:r w:rsidR="001F5DDE">
        <w:rPr>
          <w:color w:val="FF0000"/>
        </w:rPr>
        <w:fldChar w:fldCharType="begin"/>
      </w:r>
      <w:r w:rsidR="00293FAB">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1F5DDE">
        <w:rPr>
          <w:color w:val="FF0000"/>
        </w:rPr>
        <w:fldChar w:fldCharType="separate"/>
      </w:r>
      <w:r w:rsidR="00293FAB" w:rsidRPr="00293FAB">
        <w:rPr>
          <w:color w:val="FF0000"/>
          <w:vertAlign w:val="superscript"/>
        </w:rPr>
        <w:t>31</w:t>
      </w:r>
      <w:r w:rsidR="001F5DDE">
        <w:rPr>
          <w:color w:val="FF0000"/>
        </w:rPr>
        <w:fldChar w:fldCharType="end"/>
      </w:r>
    </w:p>
    <w:p w:rsidR="006E5934" w:rsidRPr="00E5563F" w:rsidRDefault="006E5934" w:rsidP="00293FAB">
      <w:pPr>
        <w:spacing w:after="0" w:line="240" w:lineRule="auto"/>
        <w:rPr>
          <w:color w:val="FF0000"/>
        </w:rPr>
      </w:pPr>
      <w:r w:rsidRPr="00E5563F">
        <w:rPr>
          <w:color w:val="FF0000"/>
        </w:rPr>
        <w:tab/>
      </w:r>
      <w:r w:rsidRPr="00E5563F">
        <w:rPr>
          <w:color w:val="FF0000"/>
        </w:rPr>
        <w:tab/>
        <w:t xml:space="preserve">A formalisation thereof? </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Rather, this model explains why people with even slight disadvantages in health lead to big differences in employability</w:t>
      </w:r>
    </w:p>
    <w:p w:rsidR="006E5934" w:rsidRPr="00E5563F" w:rsidRDefault="006E5934" w:rsidP="00293FAB">
      <w:pPr>
        <w:spacing w:after="0" w:line="240" w:lineRule="auto"/>
        <w:rPr>
          <w:color w:val="FF0000"/>
        </w:rPr>
      </w:pPr>
      <w:r w:rsidRPr="00E5563F">
        <w:rPr>
          <w:color w:val="FF0000"/>
        </w:rPr>
        <w:t>Adjunct</w:t>
      </w:r>
    </w:p>
    <w:p w:rsidR="006E5934" w:rsidRPr="00E5563F" w:rsidRDefault="006E5934" w:rsidP="00293FAB">
      <w:pPr>
        <w:spacing w:after="0" w:line="240" w:lineRule="auto"/>
        <w:rPr>
          <w:color w:val="FF0000"/>
        </w:rPr>
      </w:pPr>
      <w:r w:rsidRPr="00E5563F">
        <w:rPr>
          <w:color w:val="FF0000"/>
        </w:rPr>
        <w:tab/>
        <w:t>Economic recession represented by more healthy candidates for one job</w:t>
      </w:r>
    </w:p>
    <w:p w:rsidR="006E5934" w:rsidRPr="00E5563F" w:rsidRDefault="006E5934" w:rsidP="00293FAB">
      <w:pPr>
        <w:spacing w:after="0" w:line="240" w:lineRule="auto"/>
        <w:rPr>
          <w:color w:val="FF0000"/>
        </w:rPr>
      </w:pPr>
      <w:r w:rsidRPr="00E5563F">
        <w:rPr>
          <w:color w:val="FF0000"/>
        </w:rPr>
        <w:tab/>
      </w:r>
      <w:r w:rsidRPr="00E5563F">
        <w:rPr>
          <w:color w:val="FF0000"/>
        </w:rPr>
        <w:tab/>
        <w:t>Also increased labour market mobility?</w:t>
      </w:r>
    </w:p>
    <w:p w:rsidR="006E5934" w:rsidRPr="00E5563F" w:rsidRDefault="006E5934" w:rsidP="00293FAB">
      <w:pPr>
        <w:spacing w:after="0" w:line="240" w:lineRule="auto"/>
        <w:rPr>
          <w:color w:val="FF0000"/>
        </w:rPr>
      </w:pPr>
    </w:p>
    <w:p w:rsidR="006E5934" w:rsidRPr="00E5563F" w:rsidRDefault="006E5934" w:rsidP="00293FAB">
      <w:pPr>
        <w:spacing w:after="0" w:line="240" w:lineRule="auto"/>
        <w:rPr>
          <w:color w:val="FF0000"/>
        </w:rPr>
      </w:pPr>
      <w:r w:rsidRPr="00E5563F">
        <w:rPr>
          <w:color w:val="FF0000"/>
        </w:rPr>
        <w:t>Further applications</w:t>
      </w:r>
    </w:p>
    <w:p w:rsidR="006E5934" w:rsidRPr="00E5563F" w:rsidRDefault="006E5934" w:rsidP="00293FAB">
      <w:pPr>
        <w:spacing w:after="0" w:line="240" w:lineRule="auto"/>
        <w:rPr>
          <w:color w:val="FF0000"/>
        </w:rPr>
      </w:pPr>
      <w:r w:rsidRPr="00E5563F">
        <w:rPr>
          <w:color w:val="FF0000"/>
        </w:rPr>
        <w:tab/>
        <w:t>This is a general theory of disadvantage applying equally whenever winner-takes-all selection processes take place</w:t>
      </w:r>
    </w:p>
    <w:p w:rsidR="006E5934" w:rsidRPr="00E5563F" w:rsidRDefault="006E5934" w:rsidP="00293FAB">
      <w:pPr>
        <w:spacing w:after="0" w:line="240" w:lineRule="auto"/>
        <w:rPr>
          <w:color w:val="FF0000"/>
        </w:rPr>
      </w:pPr>
      <w:r w:rsidRPr="00E5563F">
        <w:rPr>
          <w:color w:val="FF0000"/>
        </w:rPr>
        <w:tab/>
      </w:r>
      <w:r w:rsidRPr="00E5563F">
        <w:rPr>
          <w:color w:val="FF0000"/>
        </w:rPr>
        <w:tab/>
        <w:t>People with criminal records</w:t>
      </w:r>
    </w:p>
    <w:p w:rsidR="006E5934" w:rsidRPr="00E5563F" w:rsidRDefault="006E5934" w:rsidP="00293FAB">
      <w:pPr>
        <w:spacing w:after="0" w:line="240" w:lineRule="auto"/>
        <w:rPr>
          <w:color w:val="FF0000"/>
        </w:rPr>
      </w:pPr>
      <w:r w:rsidRPr="00E5563F">
        <w:rPr>
          <w:color w:val="FF0000"/>
        </w:rPr>
        <w:tab/>
      </w:r>
      <w:r w:rsidRPr="00E5563F">
        <w:rPr>
          <w:color w:val="FF0000"/>
        </w:rPr>
        <w:tab/>
        <w:t>Unattractive people?</w:t>
      </w:r>
    </w:p>
    <w:p w:rsidR="006E5934" w:rsidRPr="00E5563F" w:rsidRDefault="006E5934" w:rsidP="00293FAB">
      <w:pPr>
        <w:spacing w:after="0" w:line="240" w:lineRule="auto"/>
        <w:rPr>
          <w:color w:val="FF0000"/>
        </w:rPr>
      </w:pPr>
      <w:r w:rsidRPr="00E5563F">
        <w:rPr>
          <w:color w:val="FF0000"/>
        </w:rPr>
        <w:tab/>
      </w:r>
      <w:r w:rsidRPr="00E5563F">
        <w:rPr>
          <w:color w:val="FF0000"/>
        </w:rPr>
        <w:tab/>
        <w:t>Cultural outsiders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However, this may be binary rather than continuous?</w:t>
      </w:r>
    </w:p>
    <w:p w:rsidR="006E5934" w:rsidRPr="00E5563F" w:rsidRDefault="006E5934" w:rsidP="00293FAB">
      <w:pPr>
        <w:spacing w:after="0" w:line="240" w:lineRule="auto"/>
        <w:rPr>
          <w:color w:val="FF0000"/>
        </w:rPr>
      </w:pPr>
      <w:r w:rsidRPr="00E5563F">
        <w:rPr>
          <w:color w:val="FF0000"/>
        </w:rPr>
        <w:t>Context specific nature of unemployment</w:t>
      </w:r>
    </w:p>
    <w:p w:rsidR="006E5934" w:rsidRPr="00E5563F" w:rsidRDefault="006E5934" w:rsidP="00293FAB">
      <w:pPr>
        <w:spacing w:after="0" w:line="240" w:lineRule="auto"/>
        <w:rPr>
          <w:color w:val="FF0000"/>
        </w:rPr>
      </w:pPr>
      <w:r w:rsidRPr="00E5563F">
        <w:rPr>
          <w:color w:val="FF0000"/>
        </w:rPr>
        <w:tab/>
      </w:r>
      <w:r w:rsidRPr="00E5563F">
        <w:rPr>
          <w:color w:val="FF0000"/>
        </w:rPr>
        <w:tab/>
        <w:t>Ref to painters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History journal</w:t>
      </w:r>
    </w:p>
    <w:p w:rsidR="006E5934" w:rsidRPr="00E5563F" w:rsidRDefault="006E5934" w:rsidP="00293FAB">
      <w:pPr>
        <w:spacing w:after="0" w:line="240" w:lineRule="auto"/>
        <w:rPr>
          <w:color w:val="FF0000"/>
        </w:rPr>
      </w:pPr>
      <w:r w:rsidRPr="00E5563F">
        <w:rPr>
          <w:color w:val="FF0000"/>
        </w:rPr>
        <w:tab/>
      </w:r>
      <w:r w:rsidRPr="00E5563F">
        <w:rPr>
          <w:color w:val="FF0000"/>
        </w:rPr>
        <w:tab/>
        <w:t>Typesetting</w:t>
      </w:r>
    </w:p>
    <w:p w:rsidR="006E5934" w:rsidRPr="00E5563F" w:rsidRDefault="006E5934" w:rsidP="00293FAB">
      <w:pPr>
        <w:spacing w:after="0" w:line="240" w:lineRule="auto"/>
        <w:rPr>
          <w:color w:val="FF0000"/>
        </w:rPr>
      </w:pPr>
      <w:r w:rsidRPr="00E5563F">
        <w:rPr>
          <w:color w:val="FF0000"/>
        </w:rPr>
        <w:tab/>
      </w:r>
      <w:r w:rsidRPr="00E5563F">
        <w:rPr>
          <w:color w:val="FF0000"/>
        </w:rPr>
        <w:tab/>
        <w:t>Multidimensional ‘fitness’</w:t>
      </w:r>
    </w:p>
    <w:p w:rsidR="006E5934" w:rsidRPr="00E5563F" w:rsidRDefault="006E5934" w:rsidP="00293FAB">
      <w:pPr>
        <w:spacing w:after="0" w:line="240" w:lineRule="auto"/>
        <w:rPr>
          <w:color w:val="FF0000"/>
        </w:rPr>
      </w:pPr>
    </w:p>
    <w:p w:rsidR="006E5934" w:rsidRPr="00E5563F" w:rsidRDefault="006E5934" w:rsidP="00293FAB">
      <w:pPr>
        <w:spacing w:after="0" w:line="240" w:lineRule="auto"/>
        <w:rPr>
          <w:color w:val="FF0000"/>
        </w:rPr>
      </w:pPr>
      <w:r w:rsidRPr="00E5563F">
        <w:rPr>
          <w:color w:val="FF0000"/>
        </w:rPr>
        <w:t>Geographical concentrations of unemployed</w:t>
      </w:r>
    </w:p>
    <w:p w:rsidR="006E5934" w:rsidRPr="00E5563F" w:rsidRDefault="006E5934" w:rsidP="00293FAB">
      <w:pPr>
        <w:spacing w:after="0" w:line="240" w:lineRule="auto"/>
        <w:rPr>
          <w:color w:val="FF0000"/>
        </w:rPr>
      </w:pPr>
      <w:r w:rsidRPr="00E5563F">
        <w:rPr>
          <w:color w:val="FF0000"/>
        </w:rPr>
        <w:tab/>
        <w:t>Vs highly mobile labour</w:t>
      </w:r>
    </w:p>
    <w:p w:rsidR="006E5934" w:rsidRPr="00E5563F" w:rsidRDefault="006E5934" w:rsidP="00293FAB">
      <w:pPr>
        <w:spacing w:after="0" w:line="240" w:lineRule="auto"/>
        <w:rPr>
          <w:color w:val="FF0000"/>
        </w:rPr>
      </w:pPr>
      <w:r w:rsidRPr="00E5563F">
        <w:rPr>
          <w:color w:val="FF0000"/>
        </w:rPr>
        <w:tab/>
        <w:t>Dorling article</w:t>
      </w:r>
      <w:r w:rsidR="001F5DDE">
        <w:rPr>
          <w:color w:val="FF0000"/>
        </w:rPr>
        <w:fldChar w:fldCharType="begin"/>
      </w:r>
      <w:r w:rsidR="00293FAB">
        <w:rPr>
          <w:color w:val="FF0000"/>
        </w:rPr>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1F5DDE">
        <w:rPr>
          <w:color w:val="FF0000"/>
        </w:rPr>
        <w:fldChar w:fldCharType="separate"/>
      </w:r>
      <w:r w:rsidR="00293FAB" w:rsidRPr="00293FAB">
        <w:rPr>
          <w:color w:val="FF0000"/>
          <w:vertAlign w:val="superscript"/>
        </w:rPr>
        <w:t>46</w:t>
      </w:r>
      <w:r w:rsidR="001F5DDE">
        <w:rPr>
          <w:color w:val="FF0000"/>
        </w:rPr>
        <w:fldChar w:fldCharType="end"/>
      </w:r>
      <w:r w:rsidRPr="00E5563F">
        <w:rPr>
          <w:color w:val="FF0000"/>
        </w:rPr>
        <w:t xml:space="preserve"> </w:t>
      </w:r>
    </w:p>
    <w:p w:rsidR="006E5934" w:rsidRPr="00E5563F" w:rsidRDefault="006E5934" w:rsidP="00293FAB">
      <w:pPr>
        <w:spacing w:after="0" w:line="240" w:lineRule="auto"/>
        <w:rPr>
          <w:color w:val="FF0000"/>
        </w:rPr>
      </w:pPr>
      <w:r w:rsidRPr="00E5563F">
        <w:rPr>
          <w:color w:val="FF0000"/>
        </w:rPr>
        <w:tab/>
      </w:r>
      <w:r w:rsidRPr="00E5563F">
        <w:rPr>
          <w:color w:val="FF0000"/>
        </w:rPr>
        <w:tab/>
        <w:t>Using BHPS</w:t>
      </w:r>
    </w:p>
    <w:p w:rsidR="006E5934" w:rsidRPr="00E5563F" w:rsidRDefault="006E5934" w:rsidP="00293FAB">
      <w:pPr>
        <w:spacing w:after="0" w:line="240" w:lineRule="auto"/>
        <w:rPr>
          <w:color w:val="FF0000"/>
        </w:rPr>
      </w:pPr>
      <w:r w:rsidRPr="00E5563F">
        <w:rPr>
          <w:color w:val="FF0000"/>
        </w:rPr>
        <w:tab/>
      </w:r>
      <w:r w:rsidRPr="00E5563F">
        <w:rPr>
          <w:color w:val="FF0000"/>
        </w:rPr>
        <w:tab/>
        <w:t>(have C Code)</w:t>
      </w:r>
    </w:p>
    <w:p w:rsidR="006E5934" w:rsidRPr="00E5563F" w:rsidRDefault="006E5934" w:rsidP="00293FAB">
      <w:pPr>
        <w:spacing w:after="0" w:line="240" w:lineRule="auto"/>
        <w:rPr>
          <w:color w:val="FF0000"/>
        </w:rPr>
      </w:pPr>
      <w:r w:rsidRPr="00E5563F">
        <w:rPr>
          <w:color w:val="FF0000"/>
        </w:rPr>
        <w:tab/>
      </w:r>
      <w:r w:rsidRPr="00E5563F">
        <w:rPr>
          <w:color w:val="FF0000"/>
        </w:rPr>
        <w:tab/>
        <w:t>Healthy workers leave areas with ‘unhealthy’ economies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So, average health of candidates reduced</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So, relative disadvantage reduces?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r>
      <w:r w:rsidRPr="00E5563F">
        <w:rPr>
          <w:color w:val="FF0000"/>
        </w:rPr>
        <w:tab/>
        <w:t>Follow up article: Further research?</w:t>
      </w:r>
    </w:p>
    <w:p w:rsidR="006E5934" w:rsidRPr="00E5563F" w:rsidRDefault="006E5934" w:rsidP="00293FAB">
      <w:pPr>
        <w:spacing w:after="0" w:line="240" w:lineRule="auto"/>
        <w:rPr>
          <w:color w:val="FF0000"/>
        </w:rPr>
      </w:pPr>
      <w:r w:rsidRPr="00E5563F">
        <w:rPr>
          <w:color w:val="FF0000"/>
        </w:rPr>
        <w:t>Direct ref to Nettle article</w:t>
      </w:r>
    </w:p>
    <w:p w:rsidR="006E5934" w:rsidRPr="00E5563F" w:rsidRDefault="006E5934" w:rsidP="00293FAB">
      <w:pPr>
        <w:spacing w:after="0" w:line="240" w:lineRule="auto"/>
        <w:rPr>
          <w:color w:val="FF0000"/>
        </w:rPr>
      </w:pPr>
      <w:r w:rsidRPr="00E5563F">
        <w:rPr>
          <w:color w:val="FF0000"/>
        </w:rPr>
        <w:tab/>
        <w:t>Exacerbatory dynamic of poverty</w:t>
      </w:r>
      <w:r w:rsidR="001F5DDE">
        <w:rPr>
          <w:color w:val="FF0000"/>
        </w:rPr>
        <w:fldChar w:fldCharType="begin"/>
      </w:r>
      <w:r w:rsidR="00293FAB">
        <w:rPr>
          <w:color w:val="FF0000"/>
        </w:rPr>
        <w:instrText xml:space="preserve"> ADDIN EN.CITE &lt;EndNote&gt;&lt;Cite&gt;&lt;Author&gt;Nettle&lt;/Author&gt;&lt;Year&gt;2010&lt;/Year&gt;&lt;RecNum&gt;42&lt;/RecNum&gt;&lt;record&gt;&lt;rec-number&gt;42&lt;/rec-number&gt;&lt;foreign-keys&gt;&lt;key app="EN" db-id="0x5ddxevivxdteezpt7xf5znxzsefvvs5eep"&gt;42&lt;/key&gt;&lt;/foreign-keys&gt;&lt;ref-type name="Journal Article"&gt;17&lt;/ref-type&gt;&lt;contributors&gt;&lt;authors&gt;&lt;author&gt;Nettle, Daniel&lt;/author&gt;&lt;/authors&gt;&lt;/contributors&gt;&lt;titles&gt;&lt;title&gt;Why Are There Social Gradients in Preventative Health Behavior? A Perspective from Behavioral Ecology&lt;/title&gt;&lt;secondary-title&gt;PLoS ONE&lt;/secondary-title&gt;&lt;/titles&gt;&lt;periodical&gt;&lt;full-title&gt;PLoS ONE&lt;/full-title&gt;&lt;/periodical&gt;&lt;pages&gt;e13371&lt;/pages&gt;&lt;volume&gt;5&lt;/volume&gt;&lt;number&gt;10&lt;/number&gt;&lt;dates&gt;&lt;year&gt;2010&lt;/year&gt;&lt;/dates&gt;&lt;publisher&gt;Public Library of Science&lt;/publisher&gt;&lt;urls&gt;&lt;related-urls&gt;&lt;url&gt;http://dx.doi.org/10.1371%2Fjournal.pone.0013371&lt;/url&gt;&lt;/related-urls&gt;&lt;/urls&gt;&lt;/record&gt;&lt;/Cite&gt;&lt;/EndNote&gt;</w:instrText>
      </w:r>
      <w:r w:rsidR="001F5DDE">
        <w:rPr>
          <w:color w:val="FF0000"/>
        </w:rPr>
        <w:fldChar w:fldCharType="separate"/>
      </w:r>
      <w:r w:rsidR="00293FAB" w:rsidRPr="00293FAB">
        <w:rPr>
          <w:color w:val="FF0000"/>
          <w:vertAlign w:val="superscript"/>
        </w:rPr>
        <w:t>47</w:t>
      </w:r>
      <w:r w:rsidR="001F5DDE">
        <w:rPr>
          <w:color w:val="FF0000"/>
        </w:rPr>
        <w:fldChar w:fldCharType="end"/>
      </w:r>
    </w:p>
    <w:p w:rsidR="006E5934" w:rsidRPr="006E5934" w:rsidRDefault="006E5934" w:rsidP="00293FAB">
      <w:pPr>
        <w:spacing w:after="0"/>
      </w:pPr>
    </w:p>
    <w:bookmarkEnd w:id="0"/>
    <w:bookmarkEnd w:id="1"/>
    <w:p w:rsidR="000464D6" w:rsidRDefault="000464D6">
      <w:pPr>
        <w:rPr>
          <w:color w:val="FF0000"/>
        </w:rPr>
      </w:pPr>
    </w:p>
    <w:p w:rsidR="00293FAB" w:rsidRDefault="00293FAB">
      <w:pPr>
        <w:spacing w:line="276" w:lineRule="auto"/>
        <w:jc w:val="left"/>
        <w:rPr>
          <w:color w:val="FF0000"/>
        </w:rPr>
      </w:pPr>
      <w:r>
        <w:rPr>
          <w:color w:val="FF0000"/>
        </w:rPr>
        <w:br w:type="page"/>
      </w:r>
    </w:p>
    <w:p w:rsidR="000464D6" w:rsidRDefault="00293FAB" w:rsidP="00293FAB">
      <w:pPr>
        <w:pStyle w:val="Heading1"/>
        <w:numPr>
          <w:ilvl w:val="0"/>
          <w:numId w:val="0"/>
        </w:numPr>
      </w:pPr>
      <w:r>
        <w:t>References</w:t>
      </w:r>
    </w:p>
    <w:p w:rsidR="00293FAB" w:rsidRPr="00293FAB" w:rsidRDefault="001F5DDE" w:rsidP="00293FAB">
      <w:pPr>
        <w:spacing w:after="0" w:line="240" w:lineRule="auto"/>
        <w:ind w:left="720" w:hanging="720"/>
        <w:rPr>
          <w:rFonts w:ascii="Calibri" w:hAnsi="Calibri"/>
        </w:rPr>
      </w:pPr>
      <w:r w:rsidRPr="00EB07F8">
        <w:fldChar w:fldCharType="begin"/>
      </w:r>
      <w:r w:rsidR="000464D6" w:rsidRPr="00EB07F8">
        <w:instrText xml:space="preserve"> ADDIN EN.REFLIST </w:instrText>
      </w:r>
      <w:r w:rsidRPr="00EB07F8">
        <w:fldChar w:fldCharType="separate"/>
      </w:r>
      <w:r w:rsidR="00293FAB" w:rsidRPr="00293FAB">
        <w:rPr>
          <w:rFonts w:ascii="Calibri" w:hAnsi="Calibri"/>
        </w:rPr>
        <w:t xml:space="preserve">1. Faggio G, Nickell S. Inactivity Among Prime Age Men in the UK. </w:t>
      </w:r>
      <w:r w:rsidR="00293FAB" w:rsidRPr="00293FAB">
        <w:rPr>
          <w:rFonts w:ascii="Calibri" w:hAnsi="Calibri"/>
          <w:i/>
        </w:rPr>
        <w:t>Centre for Economic Performance Discussion Papers</w:t>
      </w:r>
      <w:r w:rsidR="00293FAB" w:rsidRPr="00293FAB">
        <w:rPr>
          <w:rFonts w:ascii="Calibri" w:hAnsi="Calibri"/>
        </w:rPr>
        <w:t>. London, 2005.</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 Weir G. Economic inactivity in selected countries. </w:t>
      </w:r>
      <w:r w:rsidRPr="00293FAB">
        <w:rPr>
          <w:rFonts w:ascii="Calibri" w:hAnsi="Calibri"/>
          <w:i/>
        </w:rPr>
        <w:t>Labour Market Trends</w:t>
      </w:r>
      <w:r w:rsidRPr="00293FAB">
        <w:rPr>
          <w:rFonts w:ascii="Calibri" w:hAnsi="Calibri"/>
        </w:rPr>
        <w:t xml:space="preserve"> 2003;June:299-309.</w:t>
      </w:r>
    </w:p>
    <w:p w:rsidR="00293FAB" w:rsidRPr="00293FAB" w:rsidRDefault="00293FAB" w:rsidP="00293FAB">
      <w:pPr>
        <w:spacing w:after="0" w:line="240" w:lineRule="auto"/>
        <w:ind w:left="720" w:hanging="720"/>
        <w:rPr>
          <w:rFonts w:ascii="Calibri" w:hAnsi="Calibri"/>
        </w:rPr>
      </w:pPr>
      <w:r w:rsidRPr="00293FAB">
        <w:rPr>
          <w:rFonts w:ascii="Calibri" w:hAnsi="Calibri"/>
        </w:rPr>
        <w:t>3. Freud D. Reducing dependency, increasing opportunity: options for the future of welfare to work. In: DWP, editor. Leeds: Corporate Document Services, 2007.</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 Moncrieff J, Pomerleau J. Trends in sickness benefits in Great Britain and the contribution of mental disorders. </w:t>
      </w:r>
      <w:r w:rsidRPr="00293FAB">
        <w:rPr>
          <w:rFonts w:ascii="Calibri" w:hAnsi="Calibri"/>
          <w:i/>
        </w:rPr>
        <w:t>Journal of Public Health</w:t>
      </w:r>
      <w:r w:rsidRPr="00293FAB">
        <w:rPr>
          <w:rFonts w:ascii="Calibri" w:hAnsi="Calibri"/>
        </w:rPr>
        <w:t xml:space="preserve"> 2000;22(1):59-67.</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5. McVicar D. Why do disability benefit rolls vary between regions? A review of the evidence from the USA and the UK. </w:t>
      </w:r>
      <w:r w:rsidRPr="00293FAB">
        <w:rPr>
          <w:rFonts w:ascii="Calibri" w:hAnsi="Calibri"/>
          <w:i/>
        </w:rPr>
        <w:t>Regional Studies</w:t>
      </w:r>
      <w:r w:rsidRPr="00293FAB">
        <w:rPr>
          <w:rFonts w:ascii="Calibri" w:hAnsi="Calibri"/>
        </w:rPr>
        <w:t xml:space="preserve"> 2006;40(5):519-533.</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6. Kunst AE, Bos V, Lahelma E, Bartley M, Lissau I, Regidor E, et al. Trends in socioeconomic inequalities in self-assessed health in 10 European countries. </w:t>
      </w:r>
      <w:r w:rsidRPr="00293FAB">
        <w:rPr>
          <w:rFonts w:ascii="Calibri" w:hAnsi="Calibri"/>
          <w:i/>
        </w:rPr>
        <w:t>International Journal of Epidemiology</w:t>
      </w:r>
      <w:r w:rsidRPr="00293FAB">
        <w:rPr>
          <w:rFonts w:ascii="Calibri" w:hAnsi="Calibri"/>
        </w:rPr>
        <w:t xml:space="preserve"> 2005;34(2):295-305.</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7. Black C. </w:t>
      </w:r>
      <w:r w:rsidRPr="00293FAB">
        <w:rPr>
          <w:rFonts w:ascii="Calibri" w:hAnsi="Calibri"/>
          <w:i/>
        </w:rPr>
        <w:t>Working for a healthier tomorrow</w:t>
      </w:r>
      <w:r w:rsidRPr="00293FAB">
        <w:rPr>
          <w:rFonts w:ascii="Calibri" w:hAnsi="Calibri"/>
        </w:rPr>
        <w:t>. London: TSO, 2008.</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8. Coalition. </w:t>
      </w:r>
      <w:r w:rsidRPr="00293FAB">
        <w:rPr>
          <w:rFonts w:ascii="Calibri" w:hAnsi="Calibri"/>
          <w:i/>
        </w:rPr>
        <w:t>our programme for government</w:t>
      </w:r>
      <w:r w:rsidRPr="00293FAB">
        <w:rPr>
          <w:rFonts w:ascii="Calibri" w:hAnsi="Calibri"/>
        </w:rPr>
        <w:t>. London: HM Government, 2010.</w:t>
      </w:r>
    </w:p>
    <w:p w:rsidR="00293FAB" w:rsidRPr="00293FAB" w:rsidRDefault="00293FAB" w:rsidP="00293FAB">
      <w:pPr>
        <w:spacing w:after="0" w:line="240" w:lineRule="auto"/>
        <w:ind w:left="720" w:hanging="720"/>
        <w:rPr>
          <w:rFonts w:ascii="Calibri" w:hAnsi="Calibri"/>
        </w:rPr>
      </w:pPr>
      <w:r w:rsidRPr="00293FAB">
        <w:rPr>
          <w:rFonts w:ascii="Calibri" w:hAnsi="Calibri"/>
        </w:rPr>
        <w:t>9. Adam S, Emmerson C, Frayne C, Goodman A. Early quantitative evidence on the impact of the Pathways to Work pilots. In: DWP, editor: Corporate Document Services, 2006.</w:t>
      </w:r>
    </w:p>
    <w:p w:rsidR="00293FAB" w:rsidRPr="00293FAB" w:rsidRDefault="00293FAB" w:rsidP="00293FAB">
      <w:pPr>
        <w:spacing w:after="0" w:line="240" w:lineRule="auto"/>
        <w:ind w:left="720" w:hanging="720"/>
        <w:rPr>
          <w:rFonts w:ascii="Calibri" w:hAnsi="Calibri"/>
        </w:rPr>
      </w:pPr>
      <w:r w:rsidRPr="00293FAB">
        <w:rPr>
          <w:rFonts w:ascii="Calibri" w:hAnsi="Calibri"/>
        </w:rPr>
        <w:t>10. Blyth B. Incapacity Benefit reforms - Pathways to Work Pilots performance and analysis. In: DWP, editor. Leeds: Corporate Document Services, 2006.</w:t>
      </w:r>
    </w:p>
    <w:p w:rsidR="00293FAB" w:rsidRPr="00293FAB" w:rsidRDefault="00293FAB" w:rsidP="00293FAB">
      <w:pPr>
        <w:spacing w:after="0" w:line="240" w:lineRule="auto"/>
        <w:ind w:left="720" w:hanging="720"/>
        <w:rPr>
          <w:rFonts w:ascii="Calibri" w:hAnsi="Calibri"/>
        </w:rPr>
      </w:pPr>
      <w:r w:rsidRPr="00293FAB">
        <w:rPr>
          <w:rFonts w:ascii="Calibri" w:hAnsi="Calibri"/>
        </w:rPr>
        <w:t>11. OECD. "Pathways to work" increases the off-flow from Incapacity Benefit, 2005.</w:t>
      </w:r>
    </w:p>
    <w:p w:rsidR="00293FAB" w:rsidRPr="00293FAB" w:rsidRDefault="00293FAB" w:rsidP="00293FAB">
      <w:pPr>
        <w:spacing w:after="0" w:line="240" w:lineRule="auto"/>
        <w:ind w:left="720" w:hanging="720"/>
        <w:rPr>
          <w:rFonts w:ascii="Calibri" w:hAnsi="Calibri"/>
        </w:rPr>
      </w:pPr>
      <w:r w:rsidRPr="00293FAB">
        <w:rPr>
          <w:rFonts w:ascii="Calibri" w:hAnsi="Calibri"/>
        </w:rPr>
        <w:t>12. Bewley H, Dorsett R, Haile G. The Impact of Pathways to Work. In: DWP, editor. London: Corporate Document Services, 2007.</w:t>
      </w:r>
    </w:p>
    <w:p w:rsidR="00293FAB" w:rsidRPr="00293FAB" w:rsidRDefault="00293FAB" w:rsidP="00293FAB">
      <w:pPr>
        <w:spacing w:after="0" w:line="240" w:lineRule="auto"/>
        <w:ind w:left="720" w:hanging="720"/>
        <w:rPr>
          <w:rFonts w:ascii="Calibri" w:hAnsi="Calibri"/>
        </w:rPr>
      </w:pPr>
      <w:r w:rsidRPr="00293FAB">
        <w:rPr>
          <w:rFonts w:ascii="Calibri" w:hAnsi="Calibri"/>
        </w:rPr>
        <w:t>13. Bewley H, Dorsett R, Ratto M. Evidence on the effect of Pathways to Work on existing claimants. In: DWP, editor. Norwich: HMSO, 2008.</w:t>
      </w:r>
    </w:p>
    <w:p w:rsidR="00293FAB" w:rsidRPr="00293FAB" w:rsidRDefault="00293FAB" w:rsidP="00293FAB">
      <w:pPr>
        <w:spacing w:after="0" w:line="240" w:lineRule="auto"/>
        <w:ind w:left="720" w:hanging="720"/>
        <w:rPr>
          <w:rFonts w:ascii="Calibri" w:hAnsi="Calibri"/>
        </w:rPr>
      </w:pPr>
      <w:r w:rsidRPr="00293FAB">
        <w:rPr>
          <w:rFonts w:ascii="Calibri" w:hAnsi="Calibri"/>
        </w:rPr>
        <w:t>14. DWP. Building Britain's Recovery: Achieving Full Employment. London: TSO, 2009.</w:t>
      </w:r>
    </w:p>
    <w:p w:rsidR="00293FAB" w:rsidRPr="00293FAB" w:rsidRDefault="00293FAB" w:rsidP="00293FAB">
      <w:pPr>
        <w:spacing w:after="0" w:line="240" w:lineRule="auto"/>
        <w:ind w:left="720" w:hanging="720"/>
        <w:rPr>
          <w:rFonts w:ascii="Calibri" w:hAnsi="Calibri"/>
        </w:rPr>
      </w:pPr>
      <w:r w:rsidRPr="00293FAB">
        <w:rPr>
          <w:rFonts w:ascii="Calibri" w:hAnsi="Calibri"/>
        </w:rPr>
        <w:t>15. Adam S, Bozio A, Emmerson C, Greenberg D, Knight G. A cost-benefit analysis of Pathways to Work for new and repeat incapacity benefits claimants. In: DWP, editor. Norwich: HMSO, 2008.</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16. Morse A. </w:t>
      </w:r>
      <w:r w:rsidRPr="00293FAB">
        <w:rPr>
          <w:rFonts w:ascii="Calibri" w:hAnsi="Calibri"/>
          <w:i/>
        </w:rPr>
        <w:t>Support to incapacity benefits claimants through Pathways to Work</w:t>
      </w:r>
      <w:r w:rsidRPr="00293FAB">
        <w:rPr>
          <w:rFonts w:ascii="Calibri" w:hAnsi="Calibri"/>
        </w:rPr>
        <w:t>. London: The Stationery Office, 2010.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17. Simmonds D. The Work Programme can't escape the market. </w:t>
      </w:r>
      <w:r w:rsidRPr="00293FAB">
        <w:rPr>
          <w:rFonts w:ascii="Calibri" w:hAnsi="Calibri"/>
          <w:i/>
        </w:rPr>
        <w:t>The Guardian</w:t>
      </w:r>
      <w:r w:rsidRPr="00293FAB">
        <w:rPr>
          <w:rFonts w:ascii="Calibri" w:hAnsi="Calibri"/>
        </w:rPr>
        <w:t xml:space="preserve"> 2011 15 June.</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18. Easton. Work programme: Grand claims and fine print. </w:t>
      </w:r>
      <w:r w:rsidRPr="00293FAB">
        <w:rPr>
          <w:rFonts w:ascii="Calibri" w:hAnsi="Calibri"/>
          <w:i/>
        </w:rPr>
        <w:t>BBC News</w:t>
      </w:r>
      <w:r w:rsidRPr="00293FAB">
        <w:rPr>
          <w:rFonts w:ascii="Calibri" w:hAnsi="Calibri"/>
        </w:rPr>
        <w:t xml:space="preserve"> 2011 10 June.</w:t>
      </w:r>
    </w:p>
    <w:p w:rsidR="00293FAB" w:rsidRPr="00293FAB" w:rsidRDefault="00293FAB" w:rsidP="00293FAB">
      <w:pPr>
        <w:spacing w:after="0" w:line="240" w:lineRule="auto"/>
        <w:ind w:left="720" w:hanging="720"/>
        <w:rPr>
          <w:rFonts w:ascii="Calibri" w:hAnsi="Calibri"/>
        </w:rPr>
      </w:pPr>
      <w:r w:rsidRPr="00293FAB">
        <w:rPr>
          <w:rFonts w:ascii="Calibri" w:hAnsi="Calibri"/>
        </w:rPr>
        <w:t>19. BBC. Doctors to give 'fit notes' instead of sick notes. London: BBC, 2010.</w:t>
      </w:r>
    </w:p>
    <w:p w:rsidR="00293FAB" w:rsidRPr="00293FAB" w:rsidRDefault="00293FAB" w:rsidP="00293FAB">
      <w:pPr>
        <w:spacing w:after="0" w:line="240" w:lineRule="auto"/>
        <w:ind w:left="720" w:hanging="720"/>
        <w:rPr>
          <w:rFonts w:ascii="Calibri" w:hAnsi="Calibri"/>
        </w:rPr>
      </w:pPr>
      <w:r w:rsidRPr="00293FAB">
        <w:rPr>
          <w:rFonts w:ascii="Calibri" w:hAnsi="Calibri"/>
        </w:rPr>
        <w:t>20. Dryburgh K, Lancashire M. The Work Capability Assessment: A response from Citizens Advice Scotland. Edinburgh, 2010.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21. Gentleman A. Work capability assessment is assessed, and found lacking. </w:t>
      </w:r>
      <w:r w:rsidRPr="00293FAB">
        <w:rPr>
          <w:rFonts w:ascii="Calibri" w:hAnsi="Calibri"/>
          <w:i/>
        </w:rPr>
        <w:t>The Guardian</w:t>
      </w:r>
      <w:r w:rsidRPr="00293FAB">
        <w:rPr>
          <w:rFonts w:ascii="Calibri" w:hAnsi="Calibri"/>
        </w:rPr>
        <w:t xml:space="preserve"> 2011 8 March 2011.</w:t>
      </w:r>
    </w:p>
    <w:p w:rsidR="00293FAB" w:rsidRPr="00293FAB" w:rsidRDefault="00293FAB" w:rsidP="00293FAB">
      <w:pPr>
        <w:spacing w:after="0" w:line="240" w:lineRule="auto"/>
        <w:ind w:left="720" w:hanging="720"/>
        <w:rPr>
          <w:rFonts w:ascii="Calibri" w:hAnsi="Calibri"/>
        </w:rPr>
      </w:pPr>
      <w:r w:rsidRPr="00293FAB">
        <w:rPr>
          <w:rFonts w:ascii="Calibri" w:hAnsi="Calibri"/>
        </w:rPr>
        <w:t>22. Anonymous. The Work Capability Assessment: A Call for Evidence. London: DWP, 2010.</w:t>
      </w:r>
    </w:p>
    <w:p w:rsidR="00293FAB" w:rsidRPr="00293FAB" w:rsidRDefault="00293FAB" w:rsidP="00293FAB">
      <w:pPr>
        <w:spacing w:after="0" w:line="240" w:lineRule="auto"/>
        <w:ind w:left="720" w:hanging="720"/>
        <w:rPr>
          <w:rFonts w:ascii="Calibri" w:hAnsi="Calibri"/>
        </w:rPr>
      </w:pPr>
      <w:r w:rsidRPr="00293FAB">
        <w:rPr>
          <w:rFonts w:ascii="Calibri" w:hAnsi="Calibri"/>
        </w:rPr>
        <w:t>23. Groves D. Interim results of Work Capability Assessments for IB reassessment trial areas. London: DWP, 2011.</w:t>
      </w:r>
    </w:p>
    <w:p w:rsidR="00293FAB" w:rsidRPr="00293FAB" w:rsidRDefault="00293FAB" w:rsidP="00293FAB">
      <w:pPr>
        <w:spacing w:after="0" w:line="240" w:lineRule="auto"/>
        <w:ind w:left="720" w:hanging="720"/>
        <w:rPr>
          <w:rFonts w:ascii="Calibri" w:hAnsi="Calibri"/>
        </w:rPr>
      </w:pPr>
      <w:r w:rsidRPr="00293FAB">
        <w:rPr>
          <w:rFonts w:ascii="Calibri" w:hAnsi="Calibri"/>
        </w:rPr>
        <w:t>24. Margrath O. Employment and Support Allowance: Work Capability Assessment: Official Statistics July 2010. London: DWP, 2010.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25. Troitzsch KG, Mueller U, Gilbert GN, Doran JE, editors. </w:t>
      </w:r>
      <w:r w:rsidRPr="00293FAB">
        <w:rPr>
          <w:rFonts w:ascii="Calibri" w:hAnsi="Calibri"/>
          <w:i/>
        </w:rPr>
        <w:t>Social Science Microsimulation</w:t>
      </w:r>
      <w:r w:rsidRPr="00293FAB">
        <w:rPr>
          <w:rFonts w:ascii="Calibri" w:hAnsi="Calibri"/>
        </w:rPr>
        <w:t>. Berlin: Springer, 1996.</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26. Gilbert N, Troitzsch KG. </w:t>
      </w:r>
      <w:r w:rsidRPr="00293FAB">
        <w:rPr>
          <w:rFonts w:ascii="Calibri" w:hAnsi="Calibri"/>
          <w:i/>
        </w:rPr>
        <w:t>Simulation for the Social Scientist</w:t>
      </w:r>
      <w:r w:rsidRPr="00293FAB">
        <w:rPr>
          <w:rFonts w:ascii="Calibri" w:hAnsi="Calibri"/>
        </w:rPr>
        <w:t>. Buckingham: OUP, 1999.</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27. Nisbett R, Wilson TD. Telling More Than We Can Know: Verbal Reports on Mental processes. </w:t>
      </w:r>
      <w:r w:rsidRPr="00293FAB">
        <w:rPr>
          <w:rFonts w:ascii="Calibri" w:hAnsi="Calibri"/>
          <w:i/>
        </w:rPr>
        <w:t>Psychological Review</w:t>
      </w:r>
      <w:r w:rsidRPr="00293FAB">
        <w:rPr>
          <w:rFonts w:ascii="Calibri" w:hAnsi="Calibri"/>
        </w:rPr>
        <w:t xml:space="preserve"> 1977;84(3):231-259.</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28. Schelling T. Dynamic Models of Segregation. </w:t>
      </w:r>
      <w:r w:rsidRPr="00293FAB">
        <w:rPr>
          <w:rFonts w:ascii="Calibri" w:hAnsi="Calibri"/>
          <w:i/>
        </w:rPr>
        <w:t>Journal of Mathematical Sociology</w:t>
      </w:r>
      <w:r w:rsidRPr="00293FAB">
        <w:rPr>
          <w:rFonts w:ascii="Calibri" w:hAnsi="Calibri"/>
        </w:rPr>
        <w:t xml:space="preserve"> 1971;1:143-186.</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29. Schelling T. </w:t>
      </w:r>
      <w:r w:rsidRPr="00293FAB">
        <w:rPr>
          <w:rFonts w:ascii="Calibri" w:hAnsi="Calibri"/>
          <w:i/>
        </w:rPr>
        <w:t>Micromotives and Macrobehavior</w:t>
      </w:r>
      <w:r w:rsidRPr="00293FAB">
        <w:rPr>
          <w:rFonts w:ascii="Calibri" w:hAnsi="Calibri"/>
        </w:rPr>
        <w:t>. London: V W Norton &amp; Company Ltd., 1978.</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30. Becker GS. The Economic Way of Looking at Life. In: Persson T, editor. </w:t>
      </w:r>
      <w:r w:rsidRPr="00293FAB">
        <w:rPr>
          <w:rFonts w:ascii="Calibri" w:hAnsi="Calibri"/>
          <w:i/>
        </w:rPr>
        <w:t>Nobel Lectures, Economics 1991-1995</w:t>
      </w:r>
      <w:r w:rsidRPr="00293FAB">
        <w:rPr>
          <w:rFonts w:ascii="Calibri" w:hAnsi="Calibri"/>
        </w:rPr>
        <w:t>. Singapore: World Scientific Publishing, 1992.</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31. Beatty C, Fothergill S, Macmillan R. A Theory of Employment, Unemployment and Sickness. </w:t>
      </w:r>
      <w:r w:rsidRPr="00293FAB">
        <w:rPr>
          <w:rFonts w:ascii="Calibri" w:hAnsi="Calibri"/>
          <w:i/>
        </w:rPr>
        <w:t>Regional Studies</w:t>
      </w:r>
      <w:r w:rsidRPr="00293FAB">
        <w:rPr>
          <w:rFonts w:ascii="Calibri" w:hAnsi="Calibri"/>
        </w:rPr>
        <w:t xml:space="preserve"> 2000;34(7):617-630.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32. Webster D. Welfare Reform: Facing up to the Geography of Worklessness. </w:t>
      </w:r>
      <w:r w:rsidRPr="00293FAB">
        <w:rPr>
          <w:rFonts w:ascii="Calibri" w:hAnsi="Calibri"/>
          <w:i/>
        </w:rPr>
        <w:t>Local Economy</w:t>
      </w:r>
      <w:r w:rsidRPr="00293FAB">
        <w:rPr>
          <w:rFonts w:ascii="Calibri" w:hAnsi="Calibri"/>
        </w:rPr>
        <w:t xml:space="preserve"> 2006;21(2):107-116.</w:t>
      </w:r>
    </w:p>
    <w:p w:rsidR="00293FAB" w:rsidRPr="00293FAB" w:rsidRDefault="00293FAB" w:rsidP="00293FAB">
      <w:pPr>
        <w:spacing w:after="0" w:line="240" w:lineRule="auto"/>
        <w:ind w:left="720" w:hanging="720"/>
        <w:rPr>
          <w:rFonts w:ascii="Calibri" w:hAnsi="Calibri"/>
        </w:rPr>
      </w:pPr>
      <w:r w:rsidRPr="00293FAB">
        <w:rPr>
          <w:rFonts w:ascii="Calibri" w:hAnsi="Calibri"/>
        </w:rPr>
        <w:t>33. Davies C. Job losses are 'betrayal' of disabled: Unions protest after the government refuses to rescue factories that keep thousands in work, 2008.</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34. Tilly C. Social Boundary Mechanisms. </w:t>
      </w:r>
      <w:r w:rsidRPr="00293FAB">
        <w:rPr>
          <w:rFonts w:ascii="Calibri" w:hAnsi="Calibri"/>
          <w:i/>
        </w:rPr>
        <w:t>Philosophy of the Social Sciences</w:t>
      </w:r>
      <w:r w:rsidRPr="00293FAB">
        <w:rPr>
          <w:rFonts w:ascii="Calibri" w:hAnsi="Calibri"/>
        </w:rPr>
        <w:t xml:space="preserve"> 2004;34(2):211-236.</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35. Tilly C. Reasons Why. </w:t>
      </w:r>
      <w:r w:rsidRPr="00293FAB">
        <w:rPr>
          <w:rFonts w:ascii="Calibri" w:hAnsi="Calibri"/>
          <w:i/>
        </w:rPr>
        <w:t>Sociological Theory</w:t>
      </w:r>
      <w:r w:rsidRPr="00293FAB">
        <w:rPr>
          <w:rFonts w:ascii="Calibri" w:hAnsi="Calibri"/>
        </w:rPr>
        <w:t xml:space="preserve"> 2004;22(3):445-454.</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36. Tilly C. </w:t>
      </w:r>
      <w:r w:rsidRPr="00293FAB">
        <w:rPr>
          <w:rFonts w:ascii="Calibri" w:hAnsi="Calibri"/>
          <w:i/>
        </w:rPr>
        <w:t>Why? what happens when people give reasons ... and why</w:t>
      </w:r>
      <w:r w:rsidRPr="00293FAB">
        <w:rPr>
          <w:rFonts w:ascii="Calibri" w:hAnsi="Calibri"/>
        </w:rPr>
        <w:t>. Oxford: Princeton University Press, 2006.</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37. Tajfel H, editor. </w:t>
      </w:r>
      <w:r w:rsidRPr="00293FAB">
        <w:rPr>
          <w:rFonts w:ascii="Calibri" w:hAnsi="Calibri"/>
          <w:i/>
        </w:rPr>
        <w:t>Differentiation between social groups: Studies in the social psychology of intergroup relations</w:t>
      </w:r>
      <w:r w:rsidRPr="00293FAB">
        <w:rPr>
          <w:rFonts w:ascii="Calibri" w:hAnsi="Calibri"/>
        </w:rPr>
        <w:t>. London: Academic Press, 1978.</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38. Tajfel H. </w:t>
      </w:r>
      <w:r w:rsidRPr="00293FAB">
        <w:rPr>
          <w:rFonts w:ascii="Calibri" w:hAnsi="Calibri"/>
          <w:i/>
        </w:rPr>
        <w:t>Human Groups and Social Categories: studies in social psychology</w:t>
      </w:r>
      <w:r w:rsidRPr="00293FAB">
        <w:rPr>
          <w:rFonts w:ascii="Calibri" w:hAnsi="Calibri"/>
        </w:rPr>
        <w:t>. Cambridge: Cambridge University Press, 1981.</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39. Beatty C, Fothergill S. Labour market adjustment in areas of chronic industrial decline: The case of the UK coalfields. </w:t>
      </w:r>
      <w:r w:rsidRPr="00293FAB">
        <w:rPr>
          <w:rFonts w:ascii="Calibri" w:hAnsi="Calibri"/>
          <w:i/>
        </w:rPr>
        <w:t>Regional Studies</w:t>
      </w:r>
      <w:r w:rsidRPr="00293FAB">
        <w:rPr>
          <w:rFonts w:ascii="Calibri" w:hAnsi="Calibri"/>
        </w:rPr>
        <w:t xml:space="preserve"> 1996;30(7):627-640.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40. Beatty C, Fothergill S. Economic change and the labour market in Britain's seaside towns. </w:t>
      </w:r>
      <w:r w:rsidRPr="00293FAB">
        <w:rPr>
          <w:rFonts w:ascii="Calibri" w:hAnsi="Calibri"/>
          <w:i/>
        </w:rPr>
        <w:t>Regional Studies</w:t>
      </w:r>
      <w:r w:rsidRPr="00293FAB">
        <w:rPr>
          <w:rFonts w:ascii="Calibri" w:hAnsi="Calibri"/>
        </w:rPr>
        <w:t xml:space="preserve"> 2004;38(5):461-480.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41. Beatty C, Fothergill S. The diversion from 'unemployment' to 'sickness' across British regions and districts. </w:t>
      </w:r>
      <w:r w:rsidRPr="00293FAB">
        <w:rPr>
          <w:rFonts w:ascii="Calibri" w:hAnsi="Calibri"/>
          <w:i/>
        </w:rPr>
        <w:t>Regional Studies</w:t>
      </w:r>
      <w:r w:rsidRPr="00293FAB">
        <w:rPr>
          <w:rFonts w:ascii="Calibri" w:hAnsi="Calibri"/>
        </w:rPr>
        <w:t xml:space="preserve"> 2005;39(7):837-854.</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42. Beatty C, Fothergill S, Lawless P. Geographical variation in the labour-market adjustment process: the UK coalfields 1981-91. </w:t>
      </w:r>
      <w:r w:rsidRPr="00293FAB">
        <w:rPr>
          <w:rFonts w:ascii="Calibri" w:hAnsi="Calibri"/>
          <w:i/>
        </w:rPr>
        <w:t>Environment and Planning A</w:t>
      </w:r>
      <w:r w:rsidRPr="00293FAB">
        <w:rPr>
          <w:rFonts w:ascii="Calibri" w:hAnsi="Calibri"/>
        </w:rPr>
        <w:t xml:space="preserve"> 1997;29(11):2041-2060.</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43. Granovetter MS. The Strength of Weak Ties. </w:t>
      </w:r>
      <w:r w:rsidRPr="00293FAB">
        <w:rPr>
          <w:rFonts w:ascii="Calibri" w:hAnsi="Calibri"/>
          <w:i/>
        </w:rPr>
        <w:t>The American Journal of Sociology</w:t>
      </w:r>
      <w:r w:rsidRPr="00293FAB">
        <w:rPr>
          <w:rFonts w:ascii="Calibri" w:hAnsi="Calibri"/>
        </w:rPr>
        <w:t xml:space="preserve"> 1973;78(6):1360-1380.</w:t>
      </w:r>
    </w:p>
    <w:p w:rsidR="00293FAB" w:rsidRPr="00293FAB" w:rsidRDefault="00293FAB" w:rsidP="00293FAB">
      <w:pPr>
        <w:spacing w:after="0" w:line="240" w:lineRule="auto"/>
        <w:ind w:left="720" w:hanging="720"/>
        <w:rPr>
          <w:rFonts w:ascii="Calibri" w:hAnsi="Calibri"/>
        </w:rPr>
      </w:pPr>
      <w:r w:rsidRPr="00293FAB">
        <w:rPr>
          <w:rFonts w:ascii="Calibri" w:hAnsi="Calibri"/>
        </w:rPr>
        <w:t>44. Waddell GB, A Kim. Is Work Good for Your Health and Well-Being. In: DWP, editor, 2006.</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45. Aylward M, Waddell G. </w:t>
      </w:r>
      <w:r w:rsidRPr="00293FAB">
        <w:rPr>
          <w:rFonts w:ascii="Calibri" w:hAnsi="Calibri"/>
          <w:i/>
        </w:rPr>
        <w:t>The Scientific and Conceptual Basis of Incapacity Benefit</w:t>
      </w:r>
      <w:r w:rsidRPr="00293FAB">
        <w:rPr>
          <w:rFonts w:ascii="Calibri" w:hAnsi="Calibri"/>
        </w:rPr>
        <w:t>. London: The Stationary Office, 2005.</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46. Brimblecombe N, Dorling D, Shaw M. Mortality and migration in Britain, first results from the British Household Panel Survey. </w:t>
      </w:r>
      <w:r w:rsidRPr="00293FAB">
        <w:rPr>
          <w:rFonts w:ascii="Calibri" w:hAnsi="Calibri"/>
          <w:i/>
        </w:rPr>
        <w:t>Social Science &amp; Medicine</w:t>
      </w:r>
      <w:r w:rsidRPr="00293FAB">
        <w:rPr>
          <w:rFonts w:ascii="Calibri" w:hAnsi="Calibri"/>
        </w:rPr>
        <w:t xml:space="preserve"> 1999;49(7):981-988.</w:t>
      </w:r>
    </w:p>
    <w:p w:rsidR="00293FAB" w:rsidRPr="00293FAB" w:rsidRDefault="00293FAB" w:rsidP="00293FAB">
      <w:pPr>
        <w:spacing w:after="0" w:line="240" w:lineRule="auto"/>
        <w:ind w:left="720" w:hanging="720"/>
        <w:rPr>
          <w:rFonts w:ascii="Calibri" w:hAnsi="Calibri"/>
        </w:rPr>
      </w:pPr>
      <w:r w:rsidRPr="00293FAB">
        <w:rPr>
          <w:rFonts w:ascii="Calibri" w:hAnsi="Calibri"/>
        </w:rPr>
        <w:t xml:space="preserve">47. Nettle D. Why Are There Social Gradients in Preventative Health Behavior? A Perspective from Behavioral Ecology. </w:t>
      </w:r>
      <w:r w:rsidRPr="00293FAB">
        <w:rPr>
          <w:rFonts w:ascii="Calibri" w:hAnsi="Calibri"/>
          <w:i/>
        </w:rPr>
        <w:t>PLoS ONE</w:t>
      </w:r>
      <w:r w:rsidRPr="00293FAB">
        <w:rPr>
          <w:rFonts w:ascii="Calibri" w:hAnsi="Calibri"/>
        </w:rPr>
        <w:t xml:space="preserve"> 2010;5(10):e13371.</w:t>
      </w:r>
    </w:p>
    <w:p w:rsidR="00293FAB" w:rsidRDefault="00293FAB" w:rsidP="00293FAB">
      <w:pPr>
        <w:spacing w:after="0" w:line="240" w:lineRule="auto"/>
        <w:ind w:left="720" w:hanging="720"/>
        <w:rPr>
          <w:rFonts w:ascii="Calibri" w:hAnsi="Calibri"/>
        </w:rPr>
      </w:pPr>
    </w:p>
    <w:p w:rsidR="00E71EFE" w:rsidRPr="000464D6" w:rsidRDefault="001F5DDE">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52F" w:rsidRDefault="00BD752F" w:rsidP="00CE5F68">
      <w:pPr>
        <w:spacing w:after="0" w:line="240" w:lineRule="auto"/>
      </w:pPr>
      <w:r>
        <w:separator/>
      </w:r>
    </w:p>
  </w:endnote>
  <w:endnote w:type="continuationSeparator" w:id="0">
    <w:p w:rsidR="00BD752F" w:rsidRDefault="00BD752F"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52F" w:rsidRDefault="00BD752F" w:rsidP="00CE5F68">
      <w:pPr>
        <w:spacing w:after="0" w:line="240" w:lineRule="auto"/>
      </w:pPr>
      <w:r>
        <w:separator/>
      </w:r>
    </w:p>
  </w:footnote>
  <w:footnote w:type="continuationSeparator" w:id="0">
    <w:p w:rsidR="00BD752F" w:rsidRDefault="00BD752F"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E5F68"/>
    <w:rsid w:val="000464D6"/>
    <w:rsid w:val="00097F7F"/>
    <w:rsid w:val="0012472E"/>
    <w:rsid w:val="001D5052"/>
    <w:rsid w:val="001F5DDE"/>
    <w:rsid w:val="00284320"/>
    <w:rsid w:val="00293FAB"/>
    <w:rsid w:val="002D7F51"/>
    <w:rsid w:val="003120FB"/>
    <w:rsid w:val="00364DFC"/>
    <w:rsid w:val="0039202A"/>
    <w:rsid w:val="00393A4D"/>
    <w:rsid w:val="003F3FC5"/>
    <w:rsid w:val="0043435A"/>
    <w:rsid w:val="005531FD"/>
    <w:rsid w:val="00573EC8"/>
    <w:rsid w:val="00667163"/>
    <w:rsid w:val="006C3C18"/>
    <w:rsid w:val="006D3DA3"/>
    <w:rsid w:val="006D51BF"/>
    <w:rsid w:val="006E5934"/>
    <w:rsid w:val="0071588F"/>
    <w:rsid w:val="00743E90"/>
    <w:rsid w:val="00776AD7"/>
    <w:rsid w:val="007923BF"/>
    <w:rsid w:val="007A183F"/>
    <w:rsid w:val="007D2125"/>
    <w:rsid w:val="007F1BFF"/>
    <w:rsid w:val="00852084"/>
    <w:rsid w:val="008645B6"/>
    <w:rsid w:val="00867C8B"/>
    <w:rsid w:val="00873C69"/>
    <w:rsid w:val="0089320C"/>
    <w:rsid w:val="00901A34"/>
    <w:rsid w:val="00A2696B"/>
    <w:rsid w:val="00AC6EF2"/>
    <w:rsid w:val="00AE350E"/>
    <w:rsid w:val="00B04D93"/>
    <w:rsid w:val="00B86939"/>
    <w:rsid w:val="00BB6204"/>
    <w:rsid w:val="00BD752F"/>
    <w:rsid w:val="00BF7BB5"/>
    <w:rsid w:val="00C07F1D"/>
    <w:rsid w:val="00C22DF3"/>
    <w:rsid w:val="00C4604D"/>
    <w:rsid w:val="00C655BB"/>
    <w:rsid w:val="00CE5F68"/>
    <w:rsid w:val="00D323AC"/>
    <w:rsid w:val="00D54955"/>
    <w:rsid w:val="00DC58CF"/>
    <w:rsid w:val="00E5563F"/>
    <w:rsid w:val="00E71EFE"/>
    <w:rsid w:val="00EB06C8"/>
    <w:rsid w:val="00EB07F8"/>
    <w:rsid w:val="00F17F0A"/>
    <w:rsid w:val="00F4014B"/>
    <w:rsid w:val="00F5501F"/>
    <w:rsid w:val="00F810F4"/>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13</Pages>
  <Words>7463</Words>
  <Characters>41272</Characters>
  <Application>Microsoft Office Word</Application>
  <DocSecurity>0</DocSecurity>
  <Lines>737</Lines>
  <Paragraphs>322</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10</cp:revision>
  <cp:lastPrinted>2011-06-30T16:08:00Z</cp:lastPrinted>
  <dcterms:created xsi:type="dcterms:W3CDTF">2011-06-29T11:58:00Z</dcterms:created>
  <dcterms:modified xsi:type="dcterms:W3CDTF">2011-06-30T17:06:00Z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1pgNd-8_FJjrBAuPIUT_PA4GJOmm1CDZLvHwaSxWpLls</vt:lpwstr>
  </property>
  <property fmtid="{D5CDD505-2E9C-101B-9397-08002B2CF9AE}" pid="4" name="Google.Documents.RevisionId">
    <vt:lpwstr>17752977247738064286</vt:lpwstr>
  </property>
  <property fmtid="{D5CDD505-2E9C-101B-9397-08002B2CF9AE}" pid="5" name="Google.Documents.PreviousRevisionId">
    <vt:lpwstr>15297883526806082285</vt:lpwstr>
  </property>
  <property fmtid="{D5CDD505-2E9C-101B-9397-08002B2CF9AE}" pid="6" name="Google.Documents.PluginVersion">
    <vt:lpwstr>2.0.2154.5604</vt:lpwstr>
  </property>
  <property fmtid="{D5CDD505-2E9C-101B-9397-08002B2CF9AE}" pid="7" name="Google.Documents.MergeIncapabilityFlags">
    <vt:i4>0</vt:i4>
  </property>
</Properties>
</file>