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177CD" w14:textId="0AD2B127" w:rsidR="00B94561" w:rsidRPr="002C5000" w:rsidRDefault="00D06666" w:rsidP="00681205">
      <w:pPr>
        <w:pStyle w:val="BodyText1"/>
        <w:rPr>
          <w:rFonts w:asciiTheme="minorHAnsi" w:hAnsiTheme="minorHAnsi"/>
          <w:b/>
          <w:sz w:val="40"/>
          <w:szCs w:val="40"/>
        </w:rPr>
      </w:pPr>
      <w:bookmarkStart w:id="0" w:name="_GoBack"/>
      <w:bookmarkEnd w:id="0"/>
      <w:r>
        <w:rPr>
          <w:rFonts w:asciiTheme="minorHAnsi" w:hAnsiTheme="minorHAnsi"/>
          <w:b/>
          <w:sz w:val="40"/>
          <w:szCs w:val="40"/>
        </w:rPr>
        <w:t>Recent a</w:t>
      </w:r>
      <w:r w:rsidR="0028266F">
        <w:rPr>
          <w:rFonts w:asciiTheme="minorHAnsi" w:hAnsiTheme="minorHAnsi"/>
          <w:b/>
          <w:sz w:val="40"/>
          <w:szCs w:val="40"/>
        </w:rPr>
        <w:t>dverse mortality</w:t>
      </w:r>
      <w:r w:rsidR="0083639D">
        <w:rPr>
          <w:rFonts w:asciiTheme="minorHAnsi" w:hAnsiTheme="minorHAnsi"/>
          <w:b/>
          <w:sz w:val="40"/>
          <w:szCs w:val="40"/>
        </w:rPr>
        <w:t xml:space="preserve"> trends in Scotland: comparison</w:t>
      </w:r>
      <w:r w:rsidR="0028266F">
        <w:rPr>
          <w:rFonts w:asciiTheme="minorHAnsi" w:hAnsiTheme="minorHAnsi"/>
          <w:b/>
          <w:sz w:val="40"/>
          <w:szCs w:val="40"/>
        </w:rPr>
        <w:t xml:space="preserve"> with other high-income countries</w:t>
      </w:r>
      <w:r w:rsidR="00067492">
        <w:rPr>
          <w:rFonts w:asciiTheme="minorHAnsi" w:hAnsiTheme="minorHAnsi"/>
          <w:b/>
          <w:sz w:val="40"/>
          <w:szCs w:val="40"/>
        </w:rPr>
        <w:t>.</w:t>
      </w:r>
    </w:p>
    <w:p w14:paraId="447DD4CE" w14:textId="77777777" w:rsidR="00105890" w:rsidRDefault="00105890" w:rsidP="00681205">
      <w:pPr>
        <w:pStyle w:val="BodyText1"/>
        <w:rPr>
          <w:rFonts w:asciiTheme="minorHAnsi" w:hAnsiTheme="minorHAnsi"/>
          <w:sz w:val="22"/>
          <w:szCs w:val="22"/>
        </w:rPr>
      </w:pPr>
    </w:p>
    <w:p w14:paraId="2A59BACE" w14:textId="334244EA" w:rsidR="00105890" w:rsidRPr="0028266F" w:rsidRDefault="00105890" w:rsidP="00681205">
      <w:pPr>
        <w:pStyle w:val="BodyText1"/>
        <w:rPr>
          <w:rFonts w:asciiTheme="minorHAnsi" w:hAnsiTheme="minorHAnsi"/>
          <w:sz w:val="22"/>
          <w:szCs w:val="22"/>
        </w:rPr>
      </w:pPr>
      <w:r>
        <w:rPr>
          <w:rFonts w:asciiTheme="minorHAnsi" w:hAnsiTheme="minorHAnsi"/>
          <w:sz w:val="22"/>
          <w:szCs w:val="22"/>
        </w:rPr>
        <w:t>Lynda Fenton</w:t>
      </w:r>
      <w:r>
        <w:rPr>
          <w:rFonts w:asciiTheme="minorHAnsi" w:hAnsiTheme="minorHAnsi"/>
          <w:sz w:val="22"/>
          <w:szCs w:val="22"/>
          <w:vertAlign w:val="superscript"/>
        </w:rPr>
        <w:t>a</w:t>
      </w:r>
      <w:r>
        <w:rPr>
          <w:rFonts w:asciiTheme="minorHAnsi" w:hAnsiTheme="minorHAnsi"/>
          <w:sz w:val="22"/>
          <w:szCs w:val="22"/>
        </w:rPr>
        <w:t xml:space="preserve"> </w:t>
      </w:r>
      <w:r>
        <w:rPr>
          <w:rFonts w:asciiTheme="minorHAnsi" w:hAnsiTheme="minorHAnsi"/>
          <w:sz w:val="22"/>
          <w:szCs w:val="22"/>
          <w:vertAlign w:val="superscript"/>
        </w:rPr>
        <w:t>1 2</w:t>
      </w:r>
      <w:r w:rsidR="008808AC">
        <w:rPr>
          <w:rFonts w:asciiTheme="minorHAnsi" w:hAnsiTheme="minorHAnsi"/>
          <w:sz w:val="22"/>
          <w:szCs w:val="22"/>
        </w:rPr>
        <w:t>,</w:t>
      </w:r>
      <w:r w:rsidR="00591CB9">
        <w:rPr>
          <w:rFonts w:asciiTheme="minorHAnsi" w:hAnsiTheme="minorHAnsi"/>
          <w:sz w:val="22"/>
          <w:szCs w:val="22"/>
        </w:rPr>
        <w:t xml:space="preserve"> Jon Minton</w:t>
      </w:r>
      <w:r w:rsidR="008808AC">
        <w:rPr>
          <w:rFonts w:asciiTheme="minorHAnsi" w:hAnsiTheme="minorHAnsi"/>
          <w:sz w:val="22"/>
          <w:szCs w:val="22"/>
          <w:vertAlign w:val="superscript"/>
        </w:rPr>
        <w:t>1</w:t>
      </w:r>
      <w:r w:rsidR="00591CB9">
        <w:rPr>
          <w:rFonts w:asciiTheme="minorHAnsi" w:hAnsiTheme="minorHAnsi"/>
          <w:sz w:val="22"/>
          <w:szCs w:val="22"/>
        </w:rPr>
        <w:t>, Julie Ramsay</w:t>
      </w:r>
      <w:r w:rsidR="008808AC">
        <w:rPr>
          <w:rFonts w:asciiTheme="minorHAnsi" w:hAnsiTheme="minorHAnsi"/>
          <w:sz w:val="22"/>
          <w:szCs w:val="22"/>
          <w:vertAlign w:val="superscript"/>
        </w:rPr>
        <w:t>3</w:t>
      </w:r>
      <w:r w:rsidR="00591CB9">
        <w:rPr>
          <w:rFonts w:asciiTheme="minorHAnsi" w:hAnsiTheme="minorHAnsi"/>
          <w:sz w:val="22"/>
          <w:szCs w:val="22"/>
        </w:rPr>
        <w:t>, Maria Kaye</w:t>
      </w:r>
      <w:r w:rsidR="008808AC">
        <w:rPr>
          <w:rFonts w:asciiTheme="minorHAnsi" w:hAnsiTheme="minorHAnsi"/>
          <w:sz w:val="22"/>
          <w:szCs w:val="22"/>
          <w:vertAlign w:val="superscript"/>
        </w:rPr>
        <w:t>3</w:t>
      </w:r>
      <w:r w:rsidR="008808AC">
        <w:rPr>
          <w:rFonts w:asciiTheme="minorHAnsi" w:hAnsiTheme="minorHAnsi"/>
          <w:sz w:val="22"/>
          <w:szCs w:val="22"/>
        </w:rPr>
        <w:t>,</w:t>
      </w:r>
      <w:r w:rsidR="008808AC" w:rsidRPr="008808AC">
        <w:rPr>
          <w:rFonts w:asciiTheme="minorHAnsi" w:hAnsiTheme="minorHAnsi"/>
          <w:sz w:val="22"/>
          <w:szCs w:val="22"/>
        </w:rPr>
        <w:t xml:space="preserve"> </w:t>
      </w:r>
      <w:r w:rsidR="00F5752F">
        <w:rPr>
          <w:rFonts w:asciiTheme="minorHAnsi" w:hAnsiTheme="minorHAnsi"/>
          <w:sz w:val="22"/>
          <w:szCs w:val="22"/>
        </w:rPr>
        <w:t>Colin Fischbacher</w:t>
      </w:r>
      <w:r w:rsidR="00F5752F" w:rsidRPr="00F5752F">
        <w:rPr>
          <w:rFonts w:asciiTheme="minorHAnsi" w:hAnsiTheme="minorHAnsi"/>
          <w:sz w:val="22"/>
          <w:szCs w:val="22"/>
          <w:vertAlign w:val="superscript"/>
        </w:rPr>
        <w:t>4</w:t>
      </w:r>
      <w:r w:rsidR="0028266F">
        <w:rPr>
          <w:rFonts w:asciiTheme="minorHAnsi" w:hAnsiTheme="minorHAnsi"/>
          <w:sz w:val="22"/>
          <w:szCs w:val="22"/>
        </w:rPr>
        <w:t>, Grant</w:t>
      </w:r>
      <w:r w:rsidR="00F5752F">
        <w:rPr>
          <w:rFonts w:asciiTheme="minorHAnsi" w:hAnsiTheme="minorHAnsi"/>
          <w:sz w:val="22"/>
          <w:szCs w:val="22"/>
        </w:rPr>
        <w:t xml:space="preserve"> MA</w:t>
      </w:r>
      <w:r w:rsidR="0028266F">
        <w:rPr>
          <w:rFonts w:asciiTheme="minorHAnsi" w:hAnsiTheme="minorHAnsi"/>
          <w:sz w:val="22"/>
          <w:szCs w:val="22"/>
        </w:rPr>
        <w:t xml:space="preserve"> Wyper</w:t>
      </w:r>
      <w:r w:rsidR="0028266F">
        <w:rPr>
          <w:rFonts w:asciiTheme="minorHAnsi" w:hAnsiTheme="minorHAnsi"/>
          <w:sz w:val="22"/>
          <w:szCs w:val="22"/>
          <w:vertAlign w:val="superscript"/>
        </w:rPr>
        <w:t>1</w:t>
      </w:r>
      <w:r w:rsidR="00F5752F">
        <w:rPr>
          <w:rFonts w:asciiTheme="minorHAnsi" w:hAnsiTheme="minorHAnsi"/>
          <w:sz w:val="22"/>
          <w:szCs w:val="22"/>
        </w:rPr>
        <w:t>, Gerry McCartney</w:t>
      </w:r>
      <w:r w:rsidR="00F5752F">
        <w:rPr>
          <w:rFonts w:asciiTheme="minorHAnsi" w:hAnsiTheme="minorHAnsi"/>
          <w:sz w:val="22"/>
          <w:szCs w:val="22"/>
          <w:vertAlign w:val="superscript"/>
        </w:rPr>
        <w:t>1</w:t>
      </w:r>
    </w:p>
    <w:p w14:paraId="4F602DC1" w14:textId="77777777" w:rsidR="00C01689" w:rsidRPr="00C01689" w:rsidRDefault="00C01689" w:rsidP="00681205">
      <w:pPr>
        <w:pStyle w:val="BodyText1"/>
        <w:rPr>
          <w:rFonts w:asciiTheme="minorHAnsi" w:hAnsiTheme="minorHAnsi"/>
          <w:sz w:val="22"/>
          <w:szCs w:val="22"/>
        </w:rPr>
      </w:pPr>
    </w:p>
    <w:p w14:paraId="37C81271" w14:textId="77777777" w:rsidR="00105890" w:rsidRDefault="00105890" w:rsidP="00681205">
      <w:pPr>
        <w:pStyle w:val="BodyText1"/>
        <w:rPr>
          <w:rFonts w:asciiTheme="minorHAnsi" w:hAnsiTheme="minorHAnsi"/>
          <w:sz w:val="22"/>
          <w:szCs w:val="22"/>
        </w:rPr>
      </w:pPr>
    </w:p>
    <w:p w14:paraId="11783DEA" w14:textId="77777777" w:rsidR="00105890" w:rsidRDefault="00105890" w:rsidP="00C01689">
      <w:pPr>
        <w:pStyle w:val="BodyText1"/>
        <w:numPr>
          <w:ilvl w:val="0"/>
          <w:numId w:val="10"/>
        </w:numPr>
        <w:ind w:left="284" w:hanging="284"/>
        <w:rPr>
          <w:rFonts w:asciiTheme="minorHAnsi" w:hAnsiTheme="minorHAnsi"/>
          <w:sz w:val="22"/>
          <w:szCs w:val="22"/>
        </w:rPr>
      </w:pPr>
      <w:r>
        <w:rPr>
          <w:rFonts w:asciiTheme="minorHAnsi" w:hAnsiTheme="minorHAnsi"/>
          <w:sz w:val="22"/>
          <w:szCs w:val="22"/>
        </w:rPr>
        <w:t xml:space="preserve">Corresponding author: </w:t>
      </w:r>
      <w:hyperlink r:id="rId12" w:history="1">
        <w:r w:rsidRPr="00AB3C86">
          <w:rPr>
            <w:rStyle w:val="Hyperlink"/>
            <w:rFonts w:asciiTheme="minorHAnsi" w:hAnsiTheme="minorHAnsi"/>
            <w:sz w:val="22"/>
            <w:szCs w:val="22"/>
          </w:rPr>
          <w:t>lynda.fenton@nhs.net</w:t>
        </w:r>
      </w:hyperlink>
      <w:r>
        <w:rPr>
          <w:rFonts w:asciiTheme="minorHAnsi" w:hAnsiTheme="minorHAnsi"/>
          <w:sz w:val="22"/>
          <w:szCs w:val="22"/>
        </w:rPr>
        <w:t xml:space="preserve"> </w:t>
      </w:r>
    </w:p>
    <w:p w14:paraId="4CEBEAB6" w14:textId="77777777" w:rsidR="00C01689" w:rsidRDefault="00C01689" w:rsidP="00C01689">
      <w:pPr>
        <w:pStyle w:val="BodyText1"/>
        <w:ind w:left="284" w:hanging="284"/>
        <w:rPr>
          <w:rFonts w:asciiTheme="minorHAnsi" w:hAnsiTheme="minorHAnsi"/>
          <w:sz w:val="22"/>
          <w:szCs w:val="22"/>
        </w:rPr>
      </w:pPr>
    </w:p>
    <w:p w14:paraId="11982482" w14:textId="77777777" w:rsidR="00C01689" w:rsidRDefault="00105890" w:rsidP="00C01689">
      <w:pPr>
        <w:pStyle w:val="BodyText1"/>
        <w:numPr>
          <w:ilvl w:val="0"/>
          <w:numId w:val="9"/>
        </w:numPr>
        <w:ind w:left="284" w:hanging="284"/>
        <w:rPr>
          <w:rFonts w:asciiTheme="minorHAnsi" w:hAnsiTheme="minorHAnsi"/>
          <w:sz w:val="22"/>
          <w:szCs w:val="22"/>
        </w:rPr>
      </w:pPr>
      <w:r>
        <w:rPr>
          <w:rFonts w:asciiTheme="minorHAnsi" w:hAnsiTheme="minorHAnsi"/>
          <w:sz w:val="22"/>
          <w:szCs w:val="22"/>
        </w:rPr>
        <w:t>Public Health Observatory, NHS Health Scotland, 5 Cad</w:t>
      </w:r>
      <w:r w:rsidR="00C01689">
        <w:rPr>
          <w:rFonts w:asciiTheme="minorHAnsi" w:hAnsiTheme="minorHAnsi"/>
          <w:sz w:val="22"/>
          <w:szCs w:val="22"/>
        </w:rPr>
        <w:t>ogan Street, Glasgow, Scotland, G2 6QE.</w:t>
      </w:r>
    </w:p>
    <w:p w14:paraId="14BD4148" w14:textId="77777777" w:rsidR="00105890" w:rsidRDefault="00C01689" w:rsidP="00C01689">
      <w:pPr>
        <w:pStyle w:val="BodyText1"/>
        <w:numPr>
          <w:ilvl w:val="0"/>
          <w:numId w:val="9"/>
        </w:numPr>
        <w:ind w:left="284" w:hanging="284"/>
        <w:rPr>
          <w:rFonts w:asciiTheme="minorHAnsi" w:hAnsiTheme="minorHAnsi"/>
          <w:sz w:val="22"/>
          <w:szCs w:val="22"/>
        </w:rPr>
      </w:pPr>
      <w:r w:rsidRPr="00C01689">
        <w:rPr>
          <w:rFonts w:asciiTheme="minorHAnsi" w:hAnsiTheme="minorHAnsi"/>
          <w:sz w:val="22"/>
          <w:szCs w:val="22"/>
        </w:rPr>
        <w:t xml:space="preserve">Public Health, </w:t>
      </w:r>
      <w:r w:rsidR="00105890" w:rsidRPr="00C01689">
        <w:rPr>
          <w:rFonts w:asciiTheme="minorHAnsi" w:hAnsiTheme="minorHAnsi"/>
          <w:sz w:val="22"/>
          <w:szCs w:val="22"/>
        </w:rPr>
        <w:t xml:space="preserve">NHS Greater Glasgow and Clyde, </w:t>
      </w:r>
      <w:r w:rsidRPr="00C01689">
        <w:rPr>
          <w:rFonts w:asciiTheme="minorHAnsi" w:hAnsiTheme="minorHAnsi"/>
          <w:sz w:val="22"/>
          <w:szCs w:val="22"/>
        </w:rPr>
        <w:t>West House</w:t>
      </w:r>
      <w:r>
        <w:rPr>
          <w:rFonts w:asciiTheme="minorHAnsi" w:hAnsiTheme="minorHAnsi"/>
          <w:sz w:val="22"/>
          <w:szCs w:val="22"/>
        </w:rPr>
        <w:t xml:space="preserve">, </w:t>
      </w:r>
      <w:r w:rsidRPr="00C01689">
        <w:rPr>
          <w:rFonts w:asciiTheme="minorHAnsi" w:hAnsiTheme="minorHAnsi"/>
          <w:sz w:val="22"/>
          <w:szCs w:val="22"/>
        </w:rPr>
        <w:t>Gartnavel Royal Hospital Campus</w:t>
      </w:r>
      <w:r>
        <w:rPr>
          <w:rFonts w:asciiTheme="minorHAnsi" w:hAnsiTheme="minorHAnsi"/>
          <w:sz w:val="22"/>
          <w:szCs w:val="22"/>
        </w:rPr>
        <w:t xml:space="preserve">, </w:t>
      </w:r>
      <w:r w:rsidRPr="00C01689">
        <w:rPr>
          <w:rFonts w:asciiTheme="minorHAnsi" w:hAnsiTheme="minorHAnsi"/>
          <w:sz w:val="22"/>
          <w:szCs w:val="22"/>
        </w:rPr>
        <w:t>1055 Great Western Road</w:t>
      </w:r>
      <w:r>
        <w:rPr>
          <w:rFonts w:asciiTheme="minorHAnsi" w:hAnsiTheme="minorHAnsi"/>
          <w:sz w:val="22"/>
          <w:szCs w:val="22"/>
        </w:rPr>
        <w:t xml:space="preserve">, </w:t>
      </w:r>
      <w:r w:rsidRPr="00C01689">
        <w:rPr>
          <w:rFonts w:asciiTheme="minorHAnsi" w:hAnsiTheme="minorHAnsi"/>
          <w:sz w:val="22"/>
          <w:szCs w:val="22"/>
        </w:rPr>
        <w:t>Glasgow</w:t>
      </w:r>
      <w:r>
        <w:rPr>
          <w:rFonts w:asciiTheme="minorHAnsi" w:hAnsiTheme="minorHAnsi"/>
          <w:sz w:val="22"/>
          <w:szCs w:val="22"/>
        </w:rPr>
        <w:t xml:space="preserve">, </w:t>
      </w:r>
      <w:r w:rsidRPr="00C01689">
        <w:rPr>
          <w:rFonts w:asciiTheme="minorHAnsi" w:hAnsiTheme="minorHAnsi"/>
          <w:sz w:val="22"/>
          <w:szCs w:val="22"/>
        </w:rPr>
        <w:t>G12 0XH</w:t>
      </w:r>
      <w:r>
        <w:rPr>
          <w:rFonts w:asciiTheme="minorHAnsi" w:hAnsiTheme="minorHAnsi"/>
          <w:sz w:val="22"/>
          <w:szCs w:val="22"/>
        </w:rPr>
        <w:t xml:space="preserve">. </w:t>
      </w:r>
    </w:p>
    <w:p w14:paraId="3C39696C" w14:textId="77777777" w:rsidR="00F5752F" w:rsidRDefault="00030E74" w:rsidP="00F5752F">
      <w:pPr>
        <w:pStyle w:val="BodyText1"/>
        <w:numPr>
          <w:ilvl w:val="0"/>
          <w:numId w:val="9"/>
        </w:numPr>
        <w:ind w:left="284" w:hanging="284"/>
        <w:rPr>
          <w:rFonts w:asciiTheme="minorHAnsi" w:hAnsiTheme="minorHAnsi"/>
          <w:sz w:val="22"/>
          <w:szCs w:val="22"/>
        </w:rPr>
      </w:pPr>
      <w:r w:rsidRPr="00030E74">
        <w:rPr>
          <w:rFonts w:asciiTheme="minorHAnsi" w:hAnsiTheme="minorHAnsi"/>
          <w:sz w:val="22"/>
          <w:szCs w:val="22"/>
        </w:rPr>
        <w:t>National Records of Scotland, Ladywell House, Ladywell Road, Edinburgh, Scotland, EH12 7TF</w:t>
      </w:r>
      <w:r>
        <w:rPr>
          <w:rFonts w:asciiTheme="minorHAnsi" w:hAnsiTheme="minorHAnsi"/>
          <w:sz w:val="22"/>
          <w:szCs w:val="22"/>
        </w:rPr>
        <w:t xml:space="preserve">. </w:t>
      </w:r>
    </w:p>
    <w:p w14:paraId="71BEF447" w14:textId="018E22B0" w:rsidR="00C01689" w:rsidRPr="00F5752F" w:rsidRDefault="00F5752F" w:rsidP="00F5752F">
      <w:pPr>
        <w:pStyle w:val="BodyText1"/>
        <w:numPr>
          <w:ilvl w:val="0"/>
          <w:numId w:val="9"/>
        </w:numPr>
        <w:ind w:left="284" w:hanging="284"/>
        <w:rPr>
          <w:rFonts w:asciiTheme="minorHAnsi" w:hAnsiTheme="minorHAnsi"/>
          <w:sz w:val="22"/>
          <w:szCs w:val="22"/>
        </w:rPr>
      </w:pPr>
      <w:r w:rsidRPr="00F5752F">
        <w:rPr>
          <w:rFonts w:asciiTheme="minorHAnsi" w:hAnsiTheme="minorHAnsi"/>
          <w:sz w:val="22"/>
          <w:szCs w:val="22"/>
        </w:rPr>
        <w:t>Information Services Division (ISD), NHS National Services Scotland, Gyle Square, 1 South Gyle Cresc, Edinburgh EH12 9EB</w:t>
      </w:r>
    </w:p>
    <w:p w14:paraId="45AE3543" w14:textId="77777777" w:rsidR="00C01689" w:rsidRDefault="00C01689" w:rsidP="00C01689">
      <w:pPr>
        <w:pStyle w:val="BodyText1"/>
        <w:rPr>
          <w:rFonts w:asciiTheme="minorHAnsi" w:hAnsiTheme="minorHAnsi"/>
          <w:sz w:val="22"/>
          <w:szCs w:val="22"/>
        </w:rPr>
      </w:pPr>
    </w:p>
    <w:p w14:paraId="473E33B7" w14:textId="77777777" w:rsidR="00C01689" w:rsidRDefault="00C01689">
      <w:pPr>
        <w:spacing w:after="0" w:line="240" w:lineRule="auto"/>
        <w:rPr>
          <w:rFonts w:asciiTheme="minorHAnsi" w:eastAsiaTheme="minorHAnsi" w:hAnsiTheme="minorHAnsi" w:cs="Arial"/>
          <w:sz w:val="22"/>
          <w:lang w:eastAsia="en-GB"/>
        </w:rPr>
      </w:pPr>
      <w:r>
        <w:rPr>
          <w:rFonts w:asciiTheme="minorHAnsi" w:hAnsiTheme="minorHAnsi"/>
          <w:sz w:val="22"/>
        </w:rPr>
        <w:br w:type="page"/>
      </w:r>
    </w:p>
    <w:p w14:paraId="3852CE4B"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Abstract</w:t>
      </w:r>
    </w:p>
    <w:p w14:paraId="5BC0F2C7" w14:textId="77777777" w:rsidR="00C01689" w:rsidRDefault="00C01689" w:rsidP="00C01689">
      <w:pPr>
        <w:pStyle w:val="BodyText1"/>
        <w:rPr>
          <w:rFonts w:asciiTheme="minorHAnsi" w:hAnsiTheme="minorHAnsi"/>
          <w:sz w:val="22"/>
          <w:szCs w:val="22"/>
        </w:rPr>
      </w:pPr>
    </w:p>
    <w:p w14:paraId="142EACD7" w14:textId="1F9F0229" w:rsidR="00C01689" w:rsidRPr="00E728F7" w:rsidRDefault="00682A29" w:rsidP="00C01689">
      <w:pPr>
        <w:pStyle w:val="BodyText1"/>
        <w:rPr>
          <w:rFonts w:asciiTheme="minorHAnsi" w:hAnsiTheme="minorHAnsi"/>
          <w:b/>
          <w:sz w:val="22"/>
          <w:szCs w:val="22"/>
        </w:rPr>
      </w:pPr>
      <w:r>
        <w:rPr>
          <w:rFonts w:asciiTheme="minorHAnsi" w:hAnsiTheme="minorHAnsi"/>
          <w:b/>
          <w:sz w:val="22"/>
          <w:szCs w:val="22"/>
        </w:rPr>
        <w:t>Objective</w:t>
      </w:r>
    </w:p>
    <w:p w14:paraId="52554520" w14:textId="448C24B1" w:rsidR="00682A29" w:rsidRDefault="00682A29" w:rsidP="00C01689">
      <w:pPr>
        <w:pStyle w:val="BodyText1"/>
        <w:rPr>
          <w:rFonts w:asciiTheme="minorHAnsi" w:hAnsiTheme="minorHAnsi"/>
          <w:sz w:val="22"/>
          <w:szCs w:val="22"/>
        </w:rPr>
      </w:pPr>
      <w:r>
        <w:rPr>
          <w:rFonts w:asciiTheme="minorHAnsi" w:hAnsiTheme="minorHAnsi"/>
          <w:sz w:val="22"/>
          <w:szCs w:val="22"/>
        </w:rPr>
        <w:t>Gains in life expectancy have faltered in several high</w:t>
      </w:r>
      <w:r w:rsidR="001145D8">
        <w:rPr>
          <w:rFonts w:asciiTheme="minorHAnsi" w:hAnsiTheme="minorHAnsi"/>
          <w:sz w:val="22"/>
          <w:szCs w:val="22"/>
        </w:rPr>
        <w:t>-</w:t>
      </w:r>
      <w:r>
        <w:rPr>
          <w:rFonts w:asciiTheme="minorHAnsi" w:hAnsiTheme="minorHAnsi"/>
          <w:sz w:val="22"/>
          <w:szCs w:val="22"/>
        </w:rPr>
        <w:t>income countries in recent years. We aim t</w:t>
      </w:r>
      <w:r w:rsidR="00AC24FF" w:rsidRPr="00AC24FF">
        <w:rPr>
          <w:rFonts w:asciiTheme="minorHAnsi" w:hAnsiTheme="minorHAnsi"/>
          <w:sz w:val="22"/>
          <w:szCs w:val="22"/>
        </w:rPr>
        <w:t xml:space="preserve">o compare </w:t>
      </w:r>
      <w:r>
        <w:rPr>
          <w:rFonts w:asciiTheme="minorHAnsi" w:hAnsiTheme="minorHAnsi"/>
          <w:sz w:val="22"/>
          <w:szCs w:val="22"/>
        </w:rPr>
        <w:t>life expectancy</w:t>
      </w:r>
      <w:r w:rsidR="00AC24FF" w:rsidRPr="00AC24FF">
        <w:rPr>
          <w:rFonts w:asciiTheme="minorHAnsi" w:hAnsiTheme="minorHAnsi"/>
          <w:sz w:val="22"/>
          <w:szCs w:val="22"/>
        </w:rPr>
        <w:t xml:space="preserve"> trend</w:t>
      </w:r>
      <w:r>
        <w:rPr>
          <w:rFonts w:asciiTheme="minorHAnsi" w:hAnsiTheme="minorHAnsi"/>
          <w:sz w:val="22"/>
          <w:szCs w:val="22"/>
        </w:rPr>
        <w:t>s</w:t>
      </w:r>
      <w:r w:rsidR="00D06666">
        <w:rPr>
          <w:rFonts w:asciiTheme="minorHAnsi" w:hAnsiTheme="minorHAnsi"/>
          <w:sz w:val="22"/>
          <w:szCs w:val="22"/>
        </w:rPr>
        <w:t xml:space="preserve"> in Scotland</w:t>
      </w:r>
      <w:r w:rsidR="00AC24FF" w:rsidRPr="00AC24FF">
        <w:rPr>
          <w:rFonts w:asciiTheme="minorHAnsi" w:hAnsiTheme="minorHAnsi"/>
          <w:sz w:val="22"/>
          <w:szCs w:val="22"/>
        </w:rPr>
        <w:t xml:space="preserve"> to those seen internationally</w:t>
      </w:r>
      <w:r w:rsidR="00D06666">
        <w:rPr>
          <w:rFonts w:asciiTheme="minorHAnsi" w:hAnsiTheme="minorHAnsi"/>
          <w:sz w:val="22"/>
          <w:szCs w:val="22"/>
        </w:rPr>
        <w:t xml:space="preserve">, and to assess the </w:t>
      </w:r>
      <w:r w:rsidR="00F4188C">
        <w:rPr>
          <w:rFonts w:asciiTheme="minorHAnsi" w:hAnsiTheme="minorHAnsi"/>
          <w:sz w:val="22"/>
          <w:szCs w:val="22"/>
        </w:rPr>
        <w:t xml:space="preserve">timing of </w:t>
      </w:r>
      <w:r>
        <w:rPr>
          <w:rFonts w:asciiTheme="minorHAnsi" w:hAnsiTheme="minorHAnsi"/>
          <w:sz w:val="22"/>
          <w:szCs w:val="22"/>
        </w:rPr>
        <w:t xml:space="preserve">any recent </w:t>
      </w:r>
      <w:r w:rsidR="00D06666">
        <w:rPr>
          <w:rFonts w:asciiTheme="minorHAnsi" w:hAnsiTheme="minorHAnsi"/>
          <w:sz w:val="22"/>
          <w:szCs w:val="22"/>
        </w:rPr>
        <w:t>changes in</w:t>
      </w:r>
      <w:r w:rsidR="00F4188C">
        <w:rPr>
          <w:rFonts w:asciiTheme="minorHAnsi" w:hAnsiTheme="minorHAnsi"/>
          <w:sz w:val="22"/>
          <w:szCs w:val="22"/>
        </w:rPr>
        <w:t xml:space="preserve"> mortality</w:t>
      </w:r>
      <w:r>
        <w:rPr>
          <w:rFonts w:asciiTheme="minorHAnsi" w:hAnsiTheme="minorHAnsi"/>
          <w:sz w:val="22"/>
          <w:szCs w:val="22"/>
        </w:rPr>
        <w:t xml:space="preserve"> trends</w:t>
      </w:r>
      <w:r w:rsidR="00F4188C">
        <w:rPr>
          <w:rFonts w:asciiTheme="minorHAnsi" w:hAnsiTheme="minorHAnsi"/>
          <w:sz w:val="22"/>
          <w:szCs w:val="22"/>
        </w:rPr>
        <w:t>.</w:t>
      </w:r>
    </w:p>
    <w:p w14:paraId="22710A56" w14:textId="77777777" w:rsidR="00682A29" w:rsidRDefault="00682A29" w:rsidP="00C01689">
      <w:pPr>
        <w:pStyle w:val="BodyText1"/>
        <w:rPr>
          <w:rFonts w:asciiTheme="minorHAnsi" w:hAnsiTheme="minorHAnsi"/>
          <w:sz w:val="22"/>
          <w:szCs w:val="22"/>
        </w:rPr>
      </w:pPr>
    </w:p>
    <w:p w14:paraId="65A64BE6" w14:textId="77777777" w:rsidR="00682A29" w:rsidRPr="00682A29" w:rsidRDefault="00682A29" w:rsidP="00C01689">
      <w:pPr>
        <w:pStyle w:val="BodyText1"/>
        <w:rPr>
          <w:rFonts w:asciiTheme="minorHAnsi" w:hAnsiTheme="minorHAnsi"/>
          <w:b/>
          <w:sz w:val="22"/>
          <w:szCs w:val="22"/>
        </w:rPr>
      </w:pPr>
      <w:r w:rsidRPr="00682A29">
        <w:rPr>
          <w:rFonts w:asciiTheme="minorHAnsi" w:hAnsiTheme="minorHAnsi"/>
          <w:b/>
          <w:sz w:val="22"/>
          <w:szCs w:val="22"/>
        </w:rPr>
        <w:t>Setting</w:t>
      </w:r>
    </w:p>
    <w:p w14:paraId="45F4DC71" w14:textId="7CD2A9E6" w:rsidR="00AC24FF" w:rsidRDefault="000712F8" w:rsidP="000712F8">
      <w:pPr>
        <w:pStyle w:val="BodyText1"/>
        <w:rPr>
          <w:rFonts w:asciiTheme="minorHAnsi" w:hAnsiTheme="minorHAnsi"/>
          <w:sz w:val="22"/>
          <w:szCs w:val="22"/>
        </w:rPr>
      </w:pPr>
      <w:r>
        <w:rPr>
          <w:rFonts w:asciiTheme="minorHAnsi" w:hAnsiTheme="minorHAnsi"/>
          <w:sz w:val="22"/>
          <w:szCs w:val="22"/>
        </w:rPr>
        <w:t xml:space="preserve">Austria, </w:t>
      </w:r>
      <w:r w:rsidRPr="000712F8">
        <w:rPr>
          <w:rFonts w:asciiTheme="minorHAnsi" w:hAnsiTheme="minorHAnsi"/>
          <w:sz w:val="22"/>
          <w:szCs w:val="22"/>
        </w:rPr>
        <w:t>Croatia</w:t>
      </w:r>
      <w:r>
        <w:rPr>
          <w:rFonts w:asciiTheme="minorHAnsi" w:hAnsiTheme="minorHAnsi"/>
          <w:sz w:val="22"/>
          <w:szCs w:val="22"/>
        </w:rPr>
        <w:t xml:space="preserve">, Czech Republic, </w:t>
      </w:r>
      <w:r w:rsidRPr="000712F8">
        <w:rPr>
          <w:rFonts w:asciiTheme="minorHAnsi" w:hAnsiTheme="minorHAnsi"/>
          <w:sz w:val="22"/>
          <w:szCs w:val="22"/>
        </w:rPr>
        <w:t>Denmark</w:t>
      </w:r>
      <w:r>
        <w:rPr>
          <w:rFonts w:asciiTheme="minorHAnsi" w:hAnsiTheme="minorHAnsi"/>
          <w:sz w:val="22"/>
          <w:szCs w:val="22"/>
        </w:rPr>
        <w:t xml:space="preserve">, </w:t>
      </w:r>
      <w:r w:rsidRPr="000712F8">
        <w:rPr>
          <w:rFonts w:asciiTheme="minorHAnsi" w:hAnsiTheme="minorHAnsi"/>
          <w:sz w:val="22"/>
          <w:szCs w:val="22"/>
        </w:rPr>
        <w:t>England &amp; Wales</w:t>
      </w:r>
      <w:r>
        <w:rPr>
          <w:rFonts w:asciiTheme="minorHAnsi" w:hAnsiTheme="minorHAnsi"/>
          <w:sz w:val="22"/>
          <w:szCs w:val="22"/>
        </w:rPr>
        <w:t xml:space="preserve">, </w:t>
      </w:r>
      <w:r w:rsidRPr="000712F8">
        <w:rPr>
          <w:rFonts w:asciiTheme="minorHAnsi" w:hAnsiTheme="minorHAnsi"/>
          <w:sz w:val="22"/>
          <w:szCs w:val="22"/>
        </w:rPr>
        <w:t>Estonia</w:t>
      </w:r>
      <w:r>
        <w:rPr>
          <w:rFonts w:asciiTheme="minorHAnsi" w:hAnsiTheme="minorHAnsi"/>
          <w:sz w:val="22"/>
          <w:szCs w:val="22"/>
        </w:rPr>
        <w:t xml:space="preserve">, </w:t>
      </w:r>
      <w:r w:rsidRPr="000712F8">
        <w:rPr>
          <w:rFonts w:asciiTheme="minorHAnsi" w:hAnsiTheme="minorHAnsi"/>
          <w:sz w:val="22"/>
          <w:szCs w:val="22"/>
        </w:rPr>
        <w:t>France</w:t>
      </w:r>
      <w:r>
        <w:rPr>
          <w:rFonts w:asciiTheme="minorHAnsi" w:hAnsiTheme="minorHAnsi"/>
          <w:sz w:val="22"/>
          <w:szCs w:val="22"/>
        </w:rPr>
        <w:t xml:space="preserve">, </w:t>
      </w:r>
      <w:r w:rsidRPr="000712F8">
        <w:rPr>
          <w:rFonts w:asciiTheme="minorHAnsi" w:hAnsiTheme="minorHAnsi"/>
          <w:sz w:val="22"/>
          <w:szCs w:val="22"/>
        </w:rPr>
        <w:t>Germany</w:t>
      </w:r>
      <w:r>
        <w:rPr>
          <w:rFonts w:asciiTheme="minorHAnsi" w:hAnsiTheme="minorHAnsi"/>
          <w:sz w:val="22"/>
          <w:szCs w:val="22"/>
        </w:rPr>
        <w:t xml:space="preserve">, </w:t>
      </w:r>
      <w:r w:rsidRPr="000712F8">
        <w:rPr>
          <w:rFonts w:asciiTheme="minorHAnsi" w:hAnsiTheme="minorHAnsi"/>
          <w:sz w:val="22"/>
          <w:szCs w:val="22"/>
        </w:rPr>
        <w:t>Hungary</w:t>
      </w:r>
      <w:r>
        <w:rPr>
          <w:rFonts w:asciiTheme="minorHAnsi" w:hAnsiTheme="minorHAnsi"/>
          <w:sz w:val="22"/>
          <w:szCs w:val="22"/>
        </w:rPr>
        <w:t xml:space="preserve">, </w:t>
      </w:r>
      <w:r w:rsidRPr="000712F8">
        <w:rPr>
          <w:rFonts w:asciiTheme="minorHAnsi" w:hAnsiTheme="minorHAnsi"/>
          <w:sz w:val="22"/>
          <w:szCs w:val="22"/>
        </w:rPr>
        <w:t>Iceland</w:t>
      </w:r>
      <w:r>
        <w:rPr>
          <w:rFonts w:asciiTheme="minorHAnsi" w:hAnsiTheme="minorHAnsi"/>
          <w:sz w:val="22"/>
          <w:szCs w:val="22"/>
        </w:rPr>
        <w:t xml:space="preserve">, </w:t>
      </w:r>
      <w:r w:rsidRPr="000712F8">
        <w:rPr>
          <w:rFonts w:asciiTheme="minorHAnsi" w:hAnsiTheme="minorHAnsi"/>
          <w:sz w:val="22"/>
          <w:szCs w:val="22"/>
        </w:rPr>
        <w:t>Israel</w:t>
      </w:r>
      <w:r>
        <w:rPr>
          <w:rFonts w:asciiTheme="minorHAnsi" w:hAnsiTheme="minorHAnsi"/>
          <w:sz w:val="22"/>
          <w:szCs w:val="22"/>
        </w:rPr>
        <w:t xml:space="preserve">, </w:t>
      </w:r>
      <w:r w:rsidRPr="000712F8">
        <w:rPr>
          <w:rFonts w:asciiTheme="minorHAnsi" w:hAnsiTheme="minorHAnsi"/>
          <w:sz w:val="22"/>
          <w:szCs w:val="22"/>
        </w:rPr>
        <w:t>Japan</w:t>
      </w:r>
      <w:r>
        <w:rPr>
          <w:rFonts w:asciiTheme="minorHAnsi" w:hAnsiTheme="minorHAnsi"/>
          <w:sz w:val="22"/>
          <w:szCs w:val="22"/>
        </w:rPr>
        <w:t xml:space="preserve">, </w:t>
      </w:r>
      <w:r w:rsidRPr="000712F8">
        <w:rPr>
          <w:rFonts w:asciiTheme="minorHAnsi" w:hAnsiTheme="minorHAnsi"/>
          <w:sz w:val="22"/>
          <w:szCs w:val="22"/>
        </w:rPr>
        <w:t>Korea</w:t>
      </w:r>
      <w:r>
        <w:rPr>
          <w:rFonts w:asciiTheme="minorHAnsi" w:hAnsiTheme="minorHAnsi"/>
          <w:sz w:val="22"/>
          <w:szCs w:val="22"/>
        </w:rPr>
        <w:t xml:space="preserve">, </w:t>
      </w:r>
      <w:r w:rsidRPr="000712F8">
        <w:rPr>
          <w:rFonts w:asciiTheme="minorHAnsi" w:hAnsiTheme="minorHAnsi"/>
          <w:sz w:val="22"/>
          <w:szCs w:val="22"/>
        </w:rPr>
        <w:t>Latvia</w:t>
      </w:r>
      <w:r>
        <w:rPr>
          <w:rFonts w:asciiTheme="minorHAnsi" w:hAnsiTheme="minorHAnsi"/>
          <w:sz w:val="22"/>
          <w:szCs w:val="22"/>
        </w:rPr>
        <w:t xml:space="preserve">, </w:t>
      </w:r>
      <w:r w:rsidRPr="000712F8">
        <w:rPr>
          <w:rFonts w:asciiTheme="minorHAnsi" w:hAnsiTheme="minorHAnsi"/>
          <w:sz w:val="22"/>
          <w:szCs w:val="22"/>
        </w:rPr>
        <w:t>Lithuania</w:t>
      </w:r>
      <w:r>
        <w:rPr>
          <w:rFonts w:asciiTheme="minorHAnsi" w:hAnsiTheme="minorHAnsi"/>
          <w:sz w:val="22"/>
          <w:szCs w:val="22"/>
        </w:rPr>
        <w:t xml:space="preserve">, </w:t>
      </w:r>
      <w:r w:rsidRPr="000712F8">
        <w:rPr>
          <w:rFonts w:asciiTheme="minorHAnsi" w:hAnsiTheme="minorHAnsi"/>
          <w:sz w:val="22"/>
          <w:szCs w:val="22"/>
        </w:rPr>
        <w:t>Netherlands</w:t>
      </w:r>
      <w:r>
        <w:rPr>
          <w:rFonts w:asciiTheme="minorHAnsi" w:hAnsiTheme="minorHAnsi"/>
          <w:sz w:val="22"/>
          <w:szCs w:val="22"/>
        </w:rPr>
        <w:t xml:space="preserve">, </w:t>
      </w:r>
      <w:r w:rsidRPr="000712F8">
        <w:rPr>
          <w:rFonts w:asciiTheme="minorHAnsi" w:hAnsiTheme="minorHAnsi"/>
          <w:sz w:val="22"/>
          <w:szCs w:val="22"/>
        </w:rPr>
        <w:t>Northern Ireland</w:t>
      </w:r>
      <w:r>
        <w:rPr>
          <w:rFonts w:asciiTheme="minorHAnsi" w:hAnsiTheme="minorHAnsi"/>
          <w:sz w:val="22"/>
          <w:szCs w:val="22"/>
        </w:rPr>
        <w:t xml:space="preserve">, </w:t>
      </w:r>
      <w:r w:rsidRPr="000712F8">
        <w:rPr>
          <w:rFonts w:asciiTheme="minorHAnsi" w:hAnsiTheme="minorHAnsi"/>
          <w:sz w:val="22"/>
          <w:szCs w:val="22"/>
        </w:rPr>
        <w:t>Poland</w:t>
      </w:r>
      <w:r>
        <w:rPr>
          <w:rFonts w:asciiTheme="minorHAnsi" w:hAnsiTheme="minorHAnsi"/>
          <w:sz w:val="22"/>
          <w:szCs w:val="22"/>
        </w:rPr>
        <w:t xml:space="preserve">, </w:t>
      </w:r>
      <w:r w:rsidRPr="000712F8">
        <w:rPr>
          <w:rFonts w:asciiTheme="minorHAnsi" w:hAnsiTheme="minorHAnsi"/>
          <w:sz w:val="22"/>
          <w:szCs w:val="22"/>
        </w:rPr>
        <w:t>Scotland</w:t>
      </w:r>
      <w:r>
        <w:rPr>
          <w:rFonts w:asciiTheme="minorHAnsi" w:hAnsiTheme="minorHAnsi"/>
          <w:sz w:val="22"/>
          <w:szCs w:val="22"/>
        </w:rPr>
        <w:t xml:space="preserve">, </w:t>
      </w:r>
      <w:r w:rsidRPr="000712F8">
        <w:rPr>
          <w:rFonts w:asciiTheme="minorHAnsi" w:hAnsiTheme="minorHAnsi"/>
          <w:sz w:val="22"/>
          <w:szCs w:val="22"/>
        </w:rPr>
        <w:t>Slovakia</w:t>
      </w:r>
      <w:r>
        <w:rPr>
          <w:rFonts w:asciiTheme="minorHAnsi" w:hAnsiTheme="minorHAnsi"/>
          <w:sz w:val="22"/>
          <w:szCs w:val="22"/>
        </w:rPr>
        <w:t xml:space="preserve">, </w:t>
      </w:r>
      <w:r w:rsidRPr="000712F8">
        <w:rPr>
          <w:rFonts w:asciiTheme="minorHAnsi" w:hAnsiTheme="minorHAnsi"/>
          <w:sz w:val="22"/>
          <w:szCs w:val="22"/>
        </w:rPr>
        <w:t>Spain</w:t>
      </w:r>
      <w:r>
        <w:rPr>
          <w:rFonts w:asciiTheme="minorHAnsi" w:hAnsiTheme="minorHAnsi"/>
          <w:sz w:val="22"/>
          <w:szCs w:val="22"/>
        </w:rPr>
        <w:t xml:space="preserve">, </w:t>
      </w:r>
      <w:r w:rsidRPr="000712F8">
        <w:rPr>
          <w:rFonts w:asciiTheme="minorHAnsi" w:hAnsiTheme="minorHAnsi"/>
          <w:sz w:val="22"/>
          <w:szCs w:val="22"/>
        </w:rPr>
        <w:t>Sweden</w:t>
      </w:r>
      <w:r>
        <w:rPr>
          <w:rFonts w:asciiTheme="minorHAnsi" w:hAnsiTheme="minorHAnsi"/>
          <w:sz w:val="22"/>
          <w:szCs w:val="22"/>
        </w:rPr>
        <w:t xml:space="preserve">, </w:t>
      </w:r>
      <w:r w:rsidRPr="000712F8">
        <w:rPr>
          <w:rFonts w:asciiTheme="minorHAnsi" w:hAnsiTheme="minorHAnsi"/>
          <w:sz w:val="22"/>
          <w:szCs w:val="22"/>
        </w:rPr>
        <w:t>Switzerland</w:t>
      </w:r>
      <w:r>
        <w:rPr>
          <w:rFonts w:asciiTheme="minorHAnsi" w:hAnsiTheme="minorHAnsi"/>
          <w:sz w:val="22"/>
          <w:szCs w:val="22"/>
        </w:rPr>
        <w:t xml:space="preserve">, </w:t>
      </w:r>
      <w:r w:rsidRPr="000712F8">
        <w:rPr>
          <w:rFonts w:asciiTheme="minorHAnsi" w:hAnsiTheme="minorHAnsi"/>
          <w:sz w:val="22"/>
          <w:szCs w:val="22"/>
        </w:rPr>
        <w:t>USA</w:t>
      </w:r>
      <w:r>
        <w:rPr>
          <w:rFonts w:asciiTheme="minorHAnsi" w:hAnsiTheme="minorHAnsi"/>
          <w:sz w:val="22"/>
          <w:szCs w:val="22"/>
        </w:rPr>
        <w:t>.</w:t>
      </w:r>
    </w:p>
    <w:p w14:paraId="4FA80B9F" w14:textId="77777777" w:rsidR="000712F8" w:rsidRDefault="000712F8" w:rsidP="000712F8">
      <w:pPr>
        <w:pStyle w:val="BodyText1"/>
        <w:rPr>
          <w:rFonts w:asciiTheme="minorHAnsi" w:hAnsiTheme="minorHAnsi"/>
          <w:sz w:val="22"/>
          <w:szCs w:val="22"/>
        </w:rPr>
      </w:pPr>
    </w:p>
    <w:p w14:paraId="5DB9A7B3"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Methods</w:t>
      </w:r>
    </w:p>
    <w:p w14:paraId="36637743" w14:textId="6C3BA7BA" w:rsidR="00C01689" w:rsidRDefault="00E728F7" w:rsidP="00C01689">
      <w:pPr>
        <w:pStyle w:val="BodyText1"/>
        <w:rPr>
          <w:rFonts w:asciiTheme="minorHAnsi" w:hAnsiTheme="minorHAnsi"/>
          <w:sz w:val="22"/>
          <w:szCs w:val="22"/>
        </w:rPr>
      </w:pPr>
      <w:r>
        <w:rPr>
          <w:rFonts w:asciiTheme="minorHAnsi" w:hAnsiTheme="minorHAnsi"/>
          <w:sz w:val="22"/>
          <w:szCs w:val="22"/>
        </w:rPr>
        <w:t xml:space="preserve">We used </w:t>
      </w:r>
      <w:r w:rsidR="00125C55">
        <w:rPr>
          <w:rFonts w:asciiTheme="minorHAnsi" w:hAnsiTheme="minorHAnsi"/>
          <w:sz w:val="22"/>
          <w:szCs w:val="22"/>
        </w:rPr>
        <w:t>life expectancy</w:t>
      </w:r>
      <w:r>
        <w:rPr>
          <w:rFonts w:asciiTheme="minorHAnsi" w:hAnsiTheme="minorHAnsi"/>
          <w:sz w:val="22"/>
          <w:szCs w:val="22"/>
        </w:rPr>
        <w:t xml:space="preserve"> data from the Human Mortality Database (HMD) to calculate the mean </w:t>
      </w:r>
      <w:r w:rsidR="00125C55">
        <w:rPr>
          <w:rFonts w:asciiTheme="minorHAnsi" w:hAnsiTheme="minorHAnsi"/>
          <w:sz w:val="22"/>
          <w:szCs w:val="22"/>
        </w:rPr>
        <w:t>annual</w:t>
      </w:r>
      <w:r>
        <w:rPr>
          <w:rFonts w:asciiTheme="minorHAnsi" w:hAnsiTheme="minorHAnsi"/>
          <w:sz w:val="22"/>
          <w:szCs w:val="22"/>
        </w:rPr>
        <w:t xml:space="preserve"> lif</w:t>
      </w:r>
      <w:r w:rsidR="00D06666">
        <w:rPr>
          <w:rFonts w:asciiTheme="minorHAnsi" w:hAnsiTheme="minorHAnsi"/>
          <w:sz w:val="22"/>
          <w:szCs w:val="22"/>
        </w:rPr>
        <w:t xml:space="preserve">e expectancy change for </w:t>
      </w:r>
      <w:r w:rsidR="00CD6ACB">
        <w:rPr>
          <w:rFonts w:asciiTheme="minorHAnsi" w:hAnsiTheme="minorHAnsi"/>
          <w:sz w:val="22"/>
          <w:szCs w:val="22"/>
        </w:rPr>
        <w:t>24</w:t>
      </w:r>
      <w:r w:rsidR="00D06666">
        <w:rPr>
          <w:rFonts w:asciiTheme="minorHAnsi" w:hAnsiTheme="minorHAnsi"/>
          <w:sz w:val="22"/>
          <w:szCs w:val="22"/>
        </w:rPr>
        <w:t xml:space="preserve"> high-</w:t>
      </w:r>
      <w:r>
        <w:rPr>
          <w:rFonts w:asciiTheme="minorHAnsi" w:hAnsiTheme="minorHAnsi"/>
          <w:sz w:val="22"/>
          <w:szCs w:val="22"/>
        </w:rPr>
        <w:t>income countries over five</w:t>
      </w:r>
      <w:r w:rsidR="00652077">
        <w:rPr>
          <w:rFonts w:asciiTheme="minorHAnsi" w:hAnsiTheme="minorHAnsi"/>
          <w:sz w:val="22"/>
          <w:szCs w:val="22"/>
        </w:rPr>
        <w:t>-</w:t>
      </w:r>
      <w:r>
        <w:rPr>
          <w:rFonts w:asciiTheme="minorHAnsi" w:hAnsiTheme="minorHAnsi"/>
          <w:sz w:val="22"/>
          <w:szCs w:val="22"/>
        </w:rPr>
        <w:t>year periods between 1992 and 2016</w:t>
      </w:r>
      <w:r w:rsidR="00125C55">
        <w:rPr>
          <w:rFonts w:asciiTheme="minorHAnsi" w:hAnsiTheme="minorHAnsi"/>
          <w:sz w:val="22"/>
          <w:szCs w:val="22"/>
        </w:rPr>
        <w:t>, and t</w:t>
      </w:r>
      <w:r w:rsidR="00652077">
        <w:rPr>
          <w:rFonts w:asciiTheme="minorHAnsi" w:hAnsiTheme="minorHAnsi"/>
          <w:sz w:val="22"/>
          <w:szCs w:val="22"/>
        </w:rPr>
        <w:t>he change for Scotland for five-</w:t>
      </w:r>
      <w:r w:rsidR="00125C55">
        <w:rPr>
          <w:rFonts w:asciiTheme="minorHAnsi" w:hAnsiTheme="minorHAnsi"/>
          <w:sz w:val="22"/>
          <w:szCs w:val="22"/>
        </w:rPr>
        <w:t xml:space="preserve">year periods from 1857-2016. </w:t>
      </w:r>
      <w:r>
        <w:rPr>
          <w:rFonts w:asciiTheme="minorHAnsi" w:hAnsiTheme="minorHAnsi"/>
          <w:sz w:val="22"/>
          <w:szCs w:val="22"/>
        </w:rPr>
        <w:t xml:space="preserve"> </w:t>
      </w:r>
      <w:r w:rsidR="00E951F2">
        <w:rPr>
          <w:rFonts w:asciiTheme="minorHAnsi" w:hAnsiTheme="minorHAnsi"/>
          <w:sz w:val="22"/>
          <w:szCs w:val="22"/>
        </w:rPr>
        <w:t>O</w:t>
      </w:r>
      <w:r>
        <w:rPr>
          <w:rFonts w:asciiTheme="minorHAnsi" w:hAnsiTheme="minorHAnsi"/>
          <w:sz w:val="22"/>
          <w:szCs w:val="22"/>
        </w:rPr>
        <w:t>ne- and two-break segmented regression model</w:t>
      </w:r>
      <w:r w:rsidR="00E951F2">
        <w:rPr>
          <w:rFonts w:asciiTheme="minorHAnsi" w:hAnsiTheme="minorHAnsi"/>
          <w:sz w:val="22"/>
          <w:szCs w:val="22"/>
        </w:rPr>
        <w:t>s were</w:t>
      </w:r>
      <w:r w:rsidR="00FC2CF9">
        <w:rPr>
          <w:rFonts w:asciiTheme="minorHAnsi" w:hAnsiTheme="minorHAnsi"/>
          <w:sz w:val="22"/>
          <w:szCs w:val="22"/>
        </w:rPr>
        <w:t xml:space="preserve"> applied to mortality data from </w:t>
      </w:r>
      <w:r w:rsidR="00FC2CF9" w:rsidRPr="00E728F7">
        <w:rPr>
          <w:rFonts w:asciiTheme="minorHAnsi" w:hAnsiTheme="minorHAnsi"/>
          <w:sz w:val="22"/>
          <w:szCs w:val="22"/>
        </w:rPr>
        <w:t>National Records of Scotland (NRS</w:t>
      </w:r>
      <w:r w:rsidR="00FC2CF9">
        <w:rPr>
          <w:rFonts w:asciiTheme="minorHAnsi" w:hAnsiTheme="minorHAnsi"/>
          <w:sz w:val="22"/>
          <w:szCs w:val="22"/>
        </w:rPr>
        <w:t xml:space="preserve">) </w:t>
      </w:r>
      <w:r>
        <w:rPr>
          <w:rFonts w:asciiTheme="minorHAnsi" w:hAnsiTheme="minorHAnsi"/>
          <w:sz w:val="22"/>
          <w:szCs w:val="22"/>
        </w:rPr>
        <w:t xml:space="preserve">to </w:t>
      </w:r>
      <w:r w:rsidR="00E951F2">
        <w:rPr>
          <w:rFonts w:asciiTheme="minorHAnsi" w:hAnsiTheme="minorHAnsi"/>
          <w:sz w:val="22"/>
          <w:szCs w:val="22"/>
        </w:rPr>
        <w:t>identify</w:t>
      </w:r>
      <w:r>
        <w:rPr>
          <w:rFonts w:asciiTheme="minorHAnsi" w:hAnsiTheme="minorHAnsi"/>
          <w:sz w:val="22"/>
          <w:szCs w:val="22"/>
        </w:rPr>
        <w:t xml:space="preserve"> turning point</w:t>
      </w:r>
      <w:r w:rsidR="00E951F2">
        <w:rPr>
          <w:rFonts w:asciiTheme="minorHAnsi" w:hAnsiTheme="minorHAnsi"/>
          <w:sz w:val="22"/>
          <w:szCs w:val="22"/>
        </w:rPr>
        <w:t>s</w:t>
      </w:r>
      <w:r>
        <w:rPr>
          <w:rFonts w:asciiTheme="minorHAnsi" w:hAnsiTheme="minorHAnsi"/>
          <w:sz w:val="22"/>
          <w:szCs w:val="22"/>
        </w:rPr>
        <w:t xml:space="preserve"> in age-standardised mortality trends between 1990 and 2018. </w:t>
      </w:r>
    </w:p>
    <w:p w14:paraId="20E31B23" w14:textId="77777777" w:rsidR="00C01689" w:rsidRDefault="00C01689" w:rsidP="00C01689">
      <w:pPr>
        <w:pStyle w:val="BodyText1"/>
        <w:rPr>
          <w:rFonts w:asciiTheme="minorHAnsi" w:hAnsiTheme="minorHAnsi"/>
          <w:sz w:val="22"/>
          <w:szCs w:val="22"/>
        </w:rPr>
      </w:pPr>
    </w:p>
    <w:p w14:paraId="4394C05E"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Results</w:t>
      </w:r>
    </w:p>
    <w:p w14:paraId="3CA4A7E5" w14:textId="185A05C8" w:rsidR="00C01689" w:rsidRDefault="00D06666" w:rsidP="00C01689">
      <w:pPr>
        <w:pStyle w:val="BodyText1"/>
        <w:rPr>
          <w:rFonts w:asciiTheme="minorHAnsi" w:hAnsiTheme="minorHAnsi"/>
          <w:sz w:val="22"/>
          <w:szCs w:val="22"/>
        </w:rPr>
      </w:pPr>
      <w:r>
        <w:rPr>
          <w:rFonts w:asciiTheme="minorHAnsi" w:hAnsiTheme="minorHAnsi"/>
          <w:sz w:val="22"/>
          <w:szCs w:val="22"/>
        </w:rPr>
        <w:t>In 2012-</w:t>
      </w:r>
      <w:r w:rsidR="00E728F7" w:rsidRPr="00E728F7">
        <w:rPr>
          <w:rFonts w:asciiTheme="minorHAnsi" w:hAnsiTheme="minorHAnsi"/>
          <w:sz w:val="22"/>
          <w:szCs w:val="22"/>
        </w:rPr>
        <w:t xml:space="preserve">2016 </w:t>
      </w:r>
      <w:r>
        <w:rPr>
          <w:rFonts w:asciiTheme="minorHAnsi" w:hAnsiTheme="minorHAnsi"/>
          <w:sz w:val="22"/>
          <w:szCs w:val="22"/>
        </w:rPr>
        <w:t>life expectancies</w:t>
      </w:r>
      <w:r w:rsidR="00E24C80">
        <w:rPr>
          <w:rFonts w:asciiTheme="minorHAnsi" w:hAnsiTheme="minorHAnsi"/>
          <w:sz w:val="22"/>
          <w:szCs w:val="22"/>
        </w:rPr>
        <w:t xml:space="preserve"> in Scotland</w:t>
      </w:r>
      <w:r>
        <w:rPr>
          <w:rFonts w:asciiTheme="minorHAnsi" w:hAnsiTheme="minorHAnsi"/>
          <w:sz w:val="22"/>
          <w:szCs w:val="22"/>
        </w:rPr>
        <w:t xml:space="preserve"> increased by </w:t>
      </w:r>
      <w:r w:rsidR="00E728F7" w:rsidRPr="00E728F7">
        <w:rPr>
          <w:rFonts w:asciiTheme="minorHAnsi" w:hAnsiTheme="minorHAnsi"/>
          <w:sz w:val="22"/>
          <w:szCs w:val="22"/>
        </w:rPr>
        <w:t xml:space="preserve">2.5 weeks/year for </w:t>
      </w:r>
      <w:r>
        <w:rPr>
          <w:rFonts w:asciiTheme="minorHAnsi" w:hAnsiTheme="minorHAnsi"/>
          <w:sz w:val="22"/>
          <w:szCs w:val="22"/>
        </w:rPr>
        <w:t>females</w:t>
      </w:r>
      <w:r w:rsidR="00E728F7" w:rsidRPr="00E728F7">
        <w:rPr>
          <w:rFonts w:asciiTheme="minorHAnsi" w:hAnsiTheme="minorHAnsi"/>
          <w:sz w:val="22"/>
          <w:szCs w:val="22"/>
        </w:rPr>
        <w:t xml:space="preserve"> and 4.5 weeks for </w:t>
      </w:r>
      <w:r>
        <w:rPr>
          <w:rFonts w:asciiTheme="minorHAnsi" w:hAnsiTheme="minorHAnsi"/>
          <w:sz w:val="22"/>
          <w:szCs w:val="22"/>
        </w:rPr>
        <w:t>males</w:t>
      </w:r>
      <w:r w:rsidR="00E24C80">
        <w:rPr>
          <w:rFonts w:asciiTheme="minorHAnsi" w:hAnsiTheme="minorHAnsi"/>
          <w:sz w:val="22"/>
          <w:szCs w:val="22"/>
        </w:rPr>
        <w:t>, the smallest gains of any period since the early 1970s</w:t>
      </w:r>
      <w:r w:rsidR="00E951F2">
        <w:rPr>
          <w:rFonts w:asciiTheme="minorHAnsi" w:hAnsiTheme="minorHAnsi"/>
          <w:sz w:val="22"/>
          <w:szCs w:val="22"/>
        </w:rPr>
        <w:t>.</w:t>
      </w:r>
      <w:r w:rsidR="001145D8">
        <w:rPr>
          <w:rFonts w:asciiTheme="minorHAnsi" w:hAnsiTheme="minorHAnsi"/>
          <w:sz w:val="22"/>
          <w:szCs w:val="22"/>
        </w:rPr>
        <w:t xml:space="preserve"> </w:t>
      </w:r>
      <w:r w:rsidR="001145D8" w:rsidRPr="00B81617">
        <w:rPr>
          <w:rFonts w:asciiTheme="minorHAnsi" w:hAnsiTheme="minorHAnsi"/>
          <w:sz w:val="22"/>
          <w:szCs w:val="22"/>
          <w:highlight w:val="yellow"/>
        </w:rPr>
        <w:t xml:space="preserve">The smallest </w:t>
      </w:r>
      <w:r w:rsidR="00985D0E" w:rsidRPr="00B81617">
        <w:rPr>
          <w:rFonts w:asciiTheme="minorHAnsi" w:hAnsiTheme="minorHAnsi"/>
          <w:sz w:val="22"/>
          <w:szCs w:val="22"/>
          <w:highlight w:val="yellow"/>
        </w:rPr>
        <w:t>improvements</w:t>
      </w:r>
      <w:r w:rsidR="001145D8" w:rsidRPr="00B81617">
        <w:rPr>
          <w:rFonts w:asciiTheme="minorHAnsi" w:hAnsiTheme="minorHAnsi"/>
          <w:sz w:val="22"/>
          <w:szCs w:val="22"/>
          <w:highlight w:val="yellow"/>
        </w:rPr>
        <w:t xml:space="preserve"> in life expectancy in 2012-2016</w:t>
      </w:r>
      <w:r w:rsidR="00985D0E" w:rsidRPr="00B81617">
        <w:rPr>
          <w:rFonts w:asciiTheme="minorHAnsi" w:hAnsiTheme="minorHAnsi"/>
          <w:sz w:val="22"/>
          <w:szCs w:val="22"/>
          <w:highlight w:val="yellow"/>
        </w:rPr>
        <w:t xml:space="preserve"> were seen</w:t>
      </w:r>
      <w:r w:rsidR="001145D8" w:rsidRPr="00B81617">
        <w:rPr>
          <w:rFonts w:asciiTheme="minorHAnsi" w:hAnsiTheme="minorHAnsi"/>
          <w:sz w:val="22"/>
          <w:szCs w:val="22"/>
          <w:highlight w:val="yellow"/>
        </w:rPr>
        <w:t xml:space="preserve"> among females in Northern Ireland, Iceland, England &amp; Wales, USA, and Scotland, and among males in Iceland, USA, England &amp; Wales, Scotland and Germany. Japan, Korea, and countries of eastern Europe have seen substantial gains </w:t>
      </w:r>
      <w:r w:rsidR="00985D0E" w:rsidRPr="00B81617">
        <w:rPr>
          <w:rFonts w:asciiTheme="minorHAnsi" w:hAnsiTheme="minorHAnsi"/>
          <w:sz w:val="22"/>
          <w:szCs w:val="22"/>
          <w:highlight w:val="yellow"/>
        </w:rPr>
        <w:t>in the same period.</w:t>
      </w:r>
      <w:r w:rsidR="001145D8">
        <w:rPr>
          <w:rFonts w:asciiTheme="minorHAnsi" w:hAnsiTheme="minorHAnsi"/>
          <w:sz w:val="22"/>
          <w:szCs w:val="22"/>
        </w:rPr>
        <w:t xml:space="preserve"> </w:t>
      </w:r>
      <w:r w:rsidR="00A51550">
        <w:rPr>
          <w:rFonts w:asciiTheme="minorHAnsi" w:hAnsiTheme="minorHAnsi"/>
          <w:sz w:val="22"/>
          <w:szCs w:val="22"/>
        </w:rPr>
        <w:t>T</w:t>
      </w:r>
      <w:r w:rsidR="00C4703F">
        <w:rPr>
          <w:rFonts w:asciiTheme="minorHAnsi" w:hAnsiTheme="minorHAnsi"/>
          <w:sz w:val="22"/>
          <w:szCs w:val="22"/>
        </w:rPr>
        <w:t xml:space="preserve">he </w:t>
      </w:r>
      <w:r w:rsidR="00682A29">
        <w:rPr>
          <w:rFonts w:asciiTheme="minorHAnsi" w:hAnsiTheme="minorHAnsi"/>
          <w:sz w:val="22"/>
          <w:szCs w:val="22"/>
        </w:rPr>
        <w:t>best estimate of when mortality rates change</w:t>
      </w:r>
      <w:r w:rsidR="00E951F2">
        <w:rPr>
          <w:rFonts w:asciiTheme="minorHAnsi" w:hAnsiTheme="minorHAnsi"/>
          <w:sz w:val="22"/>
          <w:szCs w:val="22"/>
        </w:rPr>
        <w:t>d</w:t>
      </w:r>
      <w:r w:rsidR="00682A29">
        <w:rPr>
          <w:rFonts w:asciiTheme="minorHAnsi" w:hAnsiTheme="minorHAnsi"/>
          <w:sz w:val="22"/>
          <w:szCs w:val="22"/>
        </w:rPr>
        <w:t xml:space="preserve"> to a slower rate of improvement in Scotland</w:t>
      </w:r>
      <w:r w:rsidR="00FC2CF9">
        <w:rPr>
          <w:rFonts w:asciiTheme="minorHAnsi" w:hAnsiTheme="minorHAnsi"/>
          <w:sz w:val="22"/>
          <w:szCs w:val="22"/>
        </w:rPr>
        <w:t xml:space="preserve"> </w:t>
      </w:r>
      <w:r w:rsidR="00E951F2">
        <w:rPr>
          <w:rFonts w:asciiTheme="minorHAnsi" w:hAnsiTheme="minorHAnsi"/>
          <w:sz w:val="22"/>
          <w:szCs w:val="22"/>
        </w:rPr>
        <w:t>was</w:t>
      </w:r>
      <w:r>
        <w:rPr>
          <w:rFonts w:asciiTheme="minorHAnsi" w:hAnsiTheme="minorHAnsi"/>
          <w:sz w:val="22"/>
          <w:szCs w:val="22"/>
        </w:rPr>
        <w:t xml:space="preserve"> the year to </w:t>
      </w:r>
      <w:r w:rsidR="00A51550">
        <w:rPr>
          <w:rFonts w:asciiTheme="minorHAnsi" w:hAnsiTheme="minorHAnsi"/>
          <w:sz w:val="22"/>
          <w:szCs w:val="22"/>
        </w:rPr>
        <w:t xml:space="preserve">2012 </w:t>
      </w:r>
      <w:r>
        <w:rPr>
          <w:rFonts w:asciiTheme="minorHAnsi" w:hAnsiTheme="minorHAnsi"/>
          <w:sz w:val="22"/>
          <w:szCs w:val="22"/>
        </w:rPr>
        <w:t xml:space="preserve">Q4 </w:t>
      </w:r>
      <w:r w:rsidR="00A51550">
        <w:rPr>
          <w:rFonts w:asciiTheme="minorHAnsi" w:hAnsiTheme="minorHAnsi"/>
          <w:sz w:val="22"/>
          <w:szCs w:val="22"/>
        </w:rPr>
        <w:t xml:space="preserve">for </w:t>
      </w:r>
      <w:r>
        <w:rPr>
          <w:rFonts w:asciiTheme="minorHAnsi" w:hAnsiTheme="minorHAnsi"/>
          <w:sz w:val="22"/>
          <w:szCs w:val="22"/>
        </w:rPr>
        <w:t>males</w:t>
      </w:r>
      <w:r w:rsidR="00A51550">
        <w:rPr>
          <w:rFonts w:asciiTheme="minorHAnsi" w:hAnsiTheme="minorHAnsi"/>
          <w:sz w:val="22"/>
          <w:szCs w:val="22"/>
        </w:rPr>
        <w:t xml:space="preserve"> and </w:t>
      </w:r>
      <w:r>
        <w:rPr>
          <w:rFonts w:asciiTheme="minorHAnsi" w:hAnsiTheme="minorHAnsi"/>
          <w:sz w:val="22"/>
          <w:szCs w:val="22"/>
        </w:rPr>
        <w:t xml:space="preserve">the year to </w:t>
      </w:r>
      <w:r w:rsidR="00FC2CF9">
        <w:rPr>
          <w:rFonts w:asciiTheme="minorHAnsi" w:hAnsiTheme="minorHAnsi"/>
          <w:sz w:val="22"/>
          <w:szCs w:val="22"/>
        </w:rPr>
        <w:t xml:space="preserve">2014 </w:t>
      </w:r>
      <w:r>
        <w:rPr>
          <w:rFonts w:asciiTheme="minorHAnsi" w:hAnsiTheme="minorHAnsi"/>
          <w:sz w:val="22"/>
          <w:szCs w:val="22"/>
        </w:rPr>
        <w:t xml:space="preserve">Q2 </w:t>
      </w:r>
      <w:r w:rsidR="00A51550">
        <w:rPr>
          <w:rFonts w:asciiTheme="minorHAnsi" w:hAnsiTheme="minorHAnsi"/>
          <w:sz w:val="22"/>
          <w:szCs w:val="22"/>
        </w:rPr>
        <w:t xml:space="preserve">for </w:t>
      </w:r>
      <w:r>
        <w:rPr>
          <w:rFonts w:asciiTheme="minorHAnsi" w:hAnsiTheme="minorHAnsi"/>
          <w:sz w:val="22"/>
          <w:szCs w:val="22"/>
        </w:rPr>
        <w:t>females</w:t>
      </w:r>
      <w:r w:rsidR="00A51550">
        <w:rPr>
          <w:rFonts w:asciiTheme="minorHAnsi" w:hAnsiTheme="minorHAnsi"/>
          <w:sz w:val="22"/>
          <w:szCs w:val="22"/>
        </w:rPr>
        <w:t>.</w:t>
      </w:r>
      <w:r w:rsidR="00FC2CF9">
        <w:rPr>
          <w:rFonts w:asciiTheme="minorHAnsi" w:hAnsiTheme="minorHAnsi"/>
          <w:sz w:val="22"/>
          <w:szCs w:val="22"/>
        </w:rPr>
        <w:t xml:space="preserve"> </w:t>
      </w:r>
    </w:p>
    <w:p w14:paraId="13C9DC8D" w14:textId="77777777" w:rsidR="00C01689" w:rsidRDefault="00C01689" w:rsidP="00C01689">
      <w:pPr>
        <w:pStyle w:val="BodyText1"/>
        <w:rPr>
          <w:rFonts w:asciiTheme="minorHAnsi" w:hAnsiTheme="minorHAnsi"/>
          <w:sz w:val="22"/>
          <w:szCs w:val="22"/>
        </w:rPr>
      </w:pPr>
    </w:p>
    <w:p w14:paraId="421ED754" w14:textId="77777777" w:rsidR="00C01689" w:rsidRPr="002C5000" w:rsidRDefault="00C01689" w:rsidP="00C01689">
      <w:pPr>
        <w:pStyle w:val="BodyText1"/>
        <w:rPr>
          <w:rFonts w:asciiTheme="minorHAnsi" w:hAnsiTheme="minorHAnsi"/>
          <w:b/>
          <w:sz w:val="22"/>
          <w:szCs w:val="22"/>
        </w:rPr>
      </w:pPr>
      <w:r w:rsidRPr="002C5000">
        <w:rPr>
          <w:rFonts w:asciiTheme="minorHAnsi" w:hAnsiTheme="minorHAnsi"/>
          <w:b/>
          <w:sz w:val="22"/>
          <w:szCs w:val="22"/>
        </w:rPr>
        <w:t>Conclusion</w:t>
      </w:r>
    </w:p>
    <w:p w14:paraId="34377DA5" w14:textId="3FA9E0C3" w:rsidR="00C01689" w:rsidRDefault="00E728F7" w:rsidP="00C01689">
      <w:pPr>
        <w:pStyle w:val="BodyText1"/>
        <w:rPr>
          <w:rFonts w:asciiTheme="minorHAnsi" w:hAnsiTheme="minorHAnsi"/>
          <w:sz w:val="22"/>
          <w:szCs w:val="22"/>
        </w:rPr>
      </w:pPr>
      <w:r>
        <w:rPr>
          <w:rFonts w:asciiTheme="minorHAnsi" w:hAnsiTheme="minorHAnsi"/>
          <w:sz w:val="22"/>
          <w:szCs w:val="22"/>
        </w:rPr>
        <w:t>Life expectancy improvement has stalled across many</w:t>
      </w:r>
      <w:r w:rsidR="00A51550">
        <w:rPr>
          <w:rFonts w:asciiTheme="minorHAnsi" w:hAnsiTheme="minorHAnsi"/>
          <w:sz w:val="22"/>
          <w:szCs w:val="22"/>
        </w:rPr>
        <w:t>, but not all,</w:t>
      </w:r>
      <w:r>
        <w:rPr>
          <w:rFonts w:asciiTheme="minorHAnsi" w:hAnsiTheme="minorHAnsi"/>
          <w:sz w:val="22"/>
          <w:szCs w:val="22"/>
        </w:rPr>
        <w:t xml:space="preserve"> high income countries. </w:t>
      </w:r>
      <w:r w:rsidRPr="00E728F7">
        <w:rPr>
          <w:rFonts w:asciiTheme="minorHAnsi" w:hAnsiTheme="minorHAnsi"/>
          <w:sz w:val="22"/>
          <w:szCs w:val="22"/>
        </w:rPr>
        <w:t xml:space="preserve">The </w:t>
      </w:r>
      <w:r>
        <w:rPr>
          <w:rFonts w:asciiTheme="minorHAnsi" w:hAnsiTheme="minorHAnsi"/>
          <w:sz w:val="22"/>
          <w:szCs w:val="22"/>
        </w:rPr>
        <w:t xml:space="preserve">recent </w:t>
      </w:r>
      <w:r w:rsidRPr="00E728F7">
        <w:rPr>
          <w:rFonts w:asciiTheme="minorHAnsi" w:hAnsiTheme="minorHAnsi"/>
          <w:sz w:val="22"/>
          <w:szCs w:val="22"/>
        </w:rPr>
        <w:t xml:space="preserve">change in </w:t>
      </w:r>
      <w:r>
        <w:rPr>
          <w:rFonts w:asciiTheme="minorHAnsi" w:hAnsiTheme="minorHAnsi"/>
          <w:sz w:val="22"/>
          <w:szCs w:val="22"/>
        </w:rPr>
        <w:t xml:space="preserve">the </w:t>
      </w:r>
      <w:r w:rsidRPr="00E728F7">
        <w:rPr>
          <w:rFonts w:asciiTheme="minorHAnsi" w:hAnsiTheme="minorHAnsi"/>
          <w:sz w:val="22"/>
          <w:szCs w:val="22"/>
        </w:rPr>
        <w:t xml:space="preserve">mortality trend in Scotland occurred </w:t>
      </w:r>
      <w:r w:rsidR="00FC2CF9">
        <w:rPr>
          <w:rFonts w:asciiTheme="minorHAnsi" w:hAnsiTheme="minorHAnsi"/>
          <w:sz w:val="22"/>
          <w:szCs w:val="22"/>
        </w:rPr>
        <w:t>within the period 2</w:t>
      </w:r>
      <w:r w:rsidR="00D06666">
        <w:rPr>
          <w:rFonts w:asciiTheme="minorHAnsi" w:hAnsiTheme="minorHAnsi"/>
          <w:sz w:val="22"/>
          <w:szCs w:val="22"/>
        </w:rPr>
        <w:t>012-2014</w:t>
      </w:r>
      <w:r w:rsidRPr="00E728F7">
        <w:rPr>
          <w:rFonts w:asciiTheme="minorHAnsi" w:hAnsiTheme="minorHAnsi"/>
          <w:sz w:val="22"/>
          <w:szCs w:val="22"/>
        </w:rPr>
        <w:t xml:space="preserve">. Further research is required to </w:t>
      </w:r>
      <w:r>
        <w:rPr>
          <w:rFonts w:asciiTheme="minorHAnsi" w:hAnsiTheme="minorHAnsi"/>
          <w:sz w:val="22"/>
          <w:szCs w:val="22"/>
        </w:rPr>
        <w:t xml:space="preserve">understand </w:t>
      </w:r>
      <w:r w:rsidRPr="00E728F7">
        <w:rPr>
          <w:rFonts w:asciiTheme="minorHAnsi" w:hAnsiTheme="minorHAnsi"/>
          <w:sz w:val="22"/>
          <w:szCs w:val="22"/>
        </w:rPr>
        <w:t xml:space="preserve">these trends, but governments </w:t>
      </w:r>
      <w:r w:rsidR="00FC2CF9">
        <w:rPr>
          <w:rFonts w:asciiTheme="minorHAnsi" w:hAnsiTheme="minorHAnsi"/>
          <w:sz w:val="22"/>
          <w:szCs w:val="22"/>
        </w:rPr>
        <w:t>must also take timely action on plausible contributors</w:t>
      </w:r>
      <w:r w:rsidRPr="00E728F7">
        <w:rPr>
          <w:rFonts w:asciiTheme="minorHAnsi" w:hAnsiTheme="minorHAnsi"/>
          <w:sz w:val="22"/>
          <w:szCs w:val="22"/>
        </w:rPr>
        <w:t>.</w:t>
      </w:r>
    </w:p>
    <w:p w14:paraId="0BF85DD2" w14:textId="77777777" w:rsidR="00FC2CF9" w:rsidRDefault="00FC2CF9" w:rsidP="00C01689">
      <w:pPr>
        <w:pStyle w:val="BodyText1"/>
        <w:rPr>
          <w:rFonts w:asciiTheme="minorHAnsi" w:hAnsiTheme="minorHAnsi"/>
          <w:sz w:val="22"/>
          <w:szCs w:val="22"/>
        </w:rPr>
      </w:pPr>
    </w:p>
    <w:p w14:paraId="4FDBEB65" w14:textId="77777777" w:rsidR="00C01689" w:rsidRDefault="00C01689" w:rsidP="00C01689">
      <w:pPr>
        <w:pStyle w:val="BodyText1"/>
        <w:rPr>
          <w:rFonts w:asciiTheme="minorHAnsi" w:hAnsiTheme="minorHAnsi"/>
          <w:sz w:val="22"/>
          <w:szCs w:val="22"/>
        </w:rPr>
      </w:pPr>
    </w:p>
    <w:p w14:paraId="42E27455" w14:textId="77777777" w:rsidR="00C01689" w:rsidRPr="00C01689" w:rsidRDefault="00C01689" w:rsidP="00C01689">
      <w:pPr>
        <w:pStyle w:val="BodyText1"/>
        <w:rPr>
          <w:rFonts w:asciiTheme="minorHAnsi" w:hAnsiTheme="minorHAnsi"/>
          <w:b/>
          <w:sz w:val="22"/>
          <w:szCs w:val="22"/>
        </w:rPr>
      </w:pPr>
      <w:r w:rsidRPr="00C01689">
        <w:rPr>
          <w:rFonts w:asciiTheme="minorHAnsi" w:hAnsiTheme="minorHAnsi"/>
          <w:b/>
          <w:sz w:val="22"/>
          <w:szCs w:val="22"/>
        </w:rPr>
        <w:t>Key Words</w:t>
      </w:r>
    </w:p>
    <w:p w14:paraId="0495B746" w14:textId="77777777" w:rsidR="00C01689" w:rsidRDefault="00C01689" w:rsidP="00C01689">
      <w:pPr>
        <w:pStyle w:val="BodyText1"/>
        <w:rPr>
          <w:rFonts w:asciiTheme="minorHAnsi" w:hAnsiTheme="minorHAnsi"/>
          <w:sz w:val="22"/>
          <w:szCs w:val="22"/>
        </w:rPr>
      </w:pPr>
    </w:p>
    <w:p w14:paraId="7EA4BC76" w14:textId="0C072A1B" w:rsidR="002C5000" w:rsidRDefault="002C5000" w:rsidP="00C01689">
      <w:pPr>
        <w:pStyle w:val="BodyText1"/>
        <w:rPr>
          <w:rFonts w:asciiTheme="minorHAnsi" w:hAnsiTheme="minorHAnsi"/>
          <w:sz w:val="22"/>
          <w:szCs w:val="22"/>
        </w:rPr>
      </w:pPr>
      <w:r>
        <w:rPr>
          <w:rFonts w:asciiTheme="minorHAnsi" w:hAnsiTheme="minorHAnsi"/>
          <w:sz w:val="22"/>
          <w:szCs w:val="22"/>
        </w:rPr>
        <w:t>Mortality, Lif</w:t>
      </w:r>
      <w:r w:rsidR="00CD6ACB">
        <w:rPr>
          <w:rFonts w:asciiTheme="minorHAnsi" w:hAnsiTheme="minorHAnsi"/>
          <w:sz w:val="22"/>
          <w:szCs w:val="22"/>
        </w:rPr>
        <w:t xml:space="preserve">e expectancy, Scotland, Europe, International, </w:t>
      </w:r>
      <w:r>
        <w:rPr>
          <w:rFonts w:asciiTheme="minorHAnsi" w:hAnsiTheme="minorHAnsi"/>
          <w:sz w:val="22"/>
          <w:szCs w:val="22"/>
        </w:rPr>
        <w:t xml:space="preserve">trend, austerity, influenza. </w:t>
      </w:r>
    </w:p>
    <w:p w14:paraId="10DEF860" w14:textId="77777777" w:rsidR="00C4703F" w:rsidRDefault="00C4703F">
      <w:pPr>
        <w:spacing w:after="0" w:line="240" w:lineRule="auto"/>
        <w:rPr>
          <w:rFonts w:asciiTheme="minorHAnsi" w:eastAsiaTheme="minorHAnsi" w:hAnsiTheme="minorHAnsi" w:cs="Arial"/>
          <w:sz w:val="22"/>
          <w:lang w:eastAsia="en-GB"/>
        </w:rPr>
      </w:pPr>
      <w:r>
        <w:rPr>
          <w:rFonts w:asciiTheme="minorHAnsi" w:hAnsiTheme="minorHAnsi"/>
          <w:sz w:val="22"/>
        </w:rPr>
        <w:br w:type="page"/>
      </w:r>
    </w:p>
    <w:p w14:paraId="54EB37F1" w14:textId="77777777" w:rsidR="00C4703F" w:rsidRDefault="00C4703F" w:rsidP="00C01689">
      <w:pPr>
        <w:pStyle w:val="BodyText1"/>
        <w:rPr>
          <w:rFonts w:asciiTheme="minorHAnsi" w:hAnsiTheme="minorHAnsi"/>
          <w:sz w:val="22"/>
          <w:szCs w:val="22"/>
        </w:rPr>
      </w:pPr>
    </w:p>
    <w:p w14:paraId="5ECDF3D0" w14:textId="77777777" w:rsidR="00C01689" w:rsidRDefault="00C01689" w:rsidP="00C01689">
      <w:pPr>
        <w:pStyle w:val="BodyText1"/>
        <w:rPr>
          <w:rFonts w:asciiTheme="minorHAnsi" w:hAnsiTheme="minorHAnsi"/>
          <w:sz w:val="22"/>
          <w:szCs w:val="22"/>
        </w:rPr>
      </w:pPr>
    </w:p>
    <w:tbl>
      <w:tblPr>
        <w:tblStyle w:val="TableGrid"/>
        <w:tblW w:w="0" w:type="auto"/>
        <w:tblLook w:val="04A0" w:firstRow="1" w:lastRow="0" w:firstColumn="1" w:lastColumn="0" w:noHBand="0" w:noVBand="1"/>
      </w:tblPr>
      <w:tblGrid>
        <w:gridCol w:w="8296"/>
      </w:tblGrid>
      <w:tr w:rsidR="00C01689" w14:paraId="4D518D50" w14:textId="77777777" w:rsidTr="00682A29">
        <w:tc>
          <w:tcPr>
            <w:tcW w:w="8296" w:type="dxa"/>
          </w:tcPr>
          <w:p w14:paraId="1E0F558C" w14:textId="116A576B" w:rsidR="00C01689" w:rsidRPr="00C01689" w:rsidRDefault="00682A29" w:rsidP="00C01689">
            <w:pPr>
              <w:pStyle w:val="BodyText1"/>
              <w:rPr>
                <w:rFonts w:asciiTheme="minorHAnsi" w:hAnsiTheme="minorHAnsi"/>
                <w:b/>
                <w:sz w:val="22"/>
                <w:szCs w:val="22"/>
              </w:rPr>
            </w:pPr>
            <w:r>
              <w:rPr>
                <w:rFonts w:asciiTheme="minorHAnsi" w:hAnsiTheme="minorHAnsi"/>
                <w:b/>
                <w:sz w:val="22"/>
                <w:szCs w:val="22"/>
              </w:rPr>
              <w:t>Strengths and limitations of this study</w:t>
            </w:r>
          </w:p>
        </w:tc>
      </w:tr>
      <w:tr w:rsidR="00C01689" w14:paraId="76CBC125" w14:textId="77777777" w:rsidTr="004A101F">
        <w:trPr>
          <w:trHeight w:val="1873"/>
        </w:trPr>
        <w:tc>
          <w:tcPr>
            <w:tcW w:w="8296" w:type="dxa"/>
          </w:tcPr>
          <w:p w14:paraId="4961A2CA" w14:textId="41AEFB05" w:rsidR="004A101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The use of</w:t>
            </w:r>
            <w:r w:rsidRPr="004A101F">
              <w:rPr>
                <w:rFonts w:asciiTheme="minorHAnsi" w:hAnsiTheme="minorHAnsi"/>
                <w:sz w:val="22"/>
                <w:szCs w:val="22"/>
              </w:rPr>
              <w:t xml:space="preserve"> five-year time periods for comparison </w:t>
            </w:r>
            <w:r>
              <w:rPr>
                <w:rFonts w:asciiTheme="minorHAnsi" w:hAnsiTheme="minorHAnsi"/>
                <w:sz w:val="22"/>
                <w:szCs w:val="22"/>
              </w:rPr>
              <w:t xml:space="preserve">of life expectancy trends </w:t>
            </w:r>
            <w:r w:rsidRPr="004A101F">
              <w:rPr>
                <w:rFonts w:asciiTheme="minorHAnsi" w:hAnsiTheme="minorHAnsi"/>
                <w:sz w:val="22"/>
                <w:szCs w:val="22"/>
              </w:rPr>
              <w:t>reduce</w:t>
            </w:r>
            <w:r>
              <w:rPr>
                <w:rFonts w:asciiTheme="minorHAnsi" w:hAnsiTheme="minorHAnsi"/>
                <w:sz w:val="22"/>
                <w:szCs w:val="22"/>
              </w:rPr>
              <w:t>s</w:t>
            </w:r>
            <w:r w:rsidRPr="004A101F">
              <w:rPr>
                <w:rFonts w:asciiTheme="minorHAnsi" w:hAnsiTheme="minorHAnsi"/>
                <w:sz w:val="22"/>
                <w:szCs w:val="22"/>
              </w:rPr>
              <w:t xml:space="preserve"> the influence of year-to-year vari</w:t>
            </w:r>
            <w:r>
              <w:rPr>
                <w:rFonts w:asciiTheme="minorHAnsi" w:hAnsiTheme="minorHAnsi"/>
                <w:sz w:val="22"/>
                <w:szCs w:val="22"/>
              </w:rPr>
              <w:t>ation on observations.</w:t>
            </w:r>
          </w:p>
          <w:p w14:paraId="253B0464" w14:textId="00DD4775" w:rsidR="004A101F" w:rsidRDefault="00652077" w:rsidP="004A101F">
            <w:pPr>
              <w:pStyle w:val="BodyText1"/>
              <w:numPr>
                <w:ilvl w:val="0"/>
                <w:numId w:val="19"/>
              </w:numPr>
              <w:rPr>
                <w:rFonts w:asciiTheme="minorHAnsi" w:hAnsiTheme="minorHAnsi"/>
                <w:sz w:val="22"/>
                <w:szCs w:val="22"/>
              </w:rPr>
            </w:pPr>
            <w:r>
              <w:rPr>
                <w:rFonts w:asciiTheme="minorHAnsi" w:hAnsiTheme="minorHAnsi"/>
                <w:sz w:val="22"/>
                <w:szCs w:val="22"/>
              </w:rPr>
              <w:t>Examining long-term trends</w:t>
            </w:r>
            <w:r w:rsidR="004A101F">
              <w:rPr>
                <w:rFonts w:asciiTheme="minorHAnsi" w:hAnsiTheme="minorHAnsi"/>
                <w:sz w:val="22"/>
                <w:szCs w:val="22"/>
              </w:rPr>
              <w:t xml:space="preserve"> addresses </w:t>
            </w:r>
            <w:r w:rsidR="004A101F" w:rsidRPr="004A101F">
              <w:rPr>
                <w:rFonts w:asciiTheme="minorHAnsi" w:hAnsiTheme="minorHAnsi"/>
                <w:sz w:val="22"/>
                <w:szCs w:val="22"/>
              </w:rPr>
              <w:t>concerns that</w:t>
            </w:r>
            <w:r>
              <w:rPr>
                <w:rFonts w:asciiTheme="minorHAnsi" w:hAnsiTheme="minorHAnsi"/>
                <w:sz w:val="22"/>
                <w:szCs w:val="22"/>
              </w:rPr>
              <w:t xml:space="preserve"> recent</w:t>
            </w:r>
            <w:r w:rsidR="004A101F" w:rsidRPr="004A101F">
              <w:rPr>
                <w:rFonts w:asciiTheme="minorHAnsi" w:hAnsiTheme="minorHAnsi"/>
                <w:sz w:val="22"/>
                <w:szCs w:val="22"/>
              </w:rPr>
              <w:t xml:space="preserve"> life expectancy stalling may be over-emphasised due to </w:t>
            </w:r>
            <w:r w:rsidR="0067785F">
              <w:rPr>
                <w:rFonts w:asciiTheme="minorHAnsi" w:hAnsiTheme="minorHAnsi"/>
                <w:sz w:val="22"/>
                <w:szCs w:val="22"/>
              </w:rPr>
              <w:t xml:space="preserve">the </w:t>
            </w:r>
            <w:r w:rsidR="004A101F" w:rsidRPr="004A101F">
              <w:rPr>
                <w:rFonts w:asciiTheme="minorHAnsi" w:hAnsiTheme="minorHAnsi"/>
                <w:sz w:val="22"/>
                <w:szCs w:val="22"/>
              </w:rPr>
              <w:t>notably large gains in the immediate</w:t>
            </w:r>
            <w:r w:rsidR="0067785F">
              <w:rPr>
                <w:rFonts w:asciiTheme="minorHAnsi" w:hAnsiTheme="minorHAnsi"/>
                <w:sz w:val="22"/>
                <w:szCs w:val="22"/>
              </w:rPr>
              <w:t>ly</w:t>
            </w:r>
            <w:r w:rsidR="004A101F" w:rsidRPr="004A101F">
              <w:rPr>
                <w:rFonts w:asciiTheme="minorHAnsi" w:hAnsiTheme="minorHAnsi"/>
                <w:sz w:val="22"/>
                <w:szCs w:val="22"/>
              </w:rPr>
              <w:t xml:space="preserve"> preceding period. </w:t>
            </w:r>
          </w:p>
          <w:p w14:paraId="188783D3" w14:textId="7061A236" w:rsidR="00C4703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The i</w:t>
            </w:r>
            <w:r w:rsidRPr="004A101F">
              <w:rPr>
                <w:rFonts w:asciiTheme="minorHAnsi" w:hAnsiTheme="minorHAnsi"/>
                <w:sz w:val="22"/>
                <w:szCs w:val="22"/>
              </w:rPr>
              <w:t xml:space="preserve">nternational </w:t>
            </w:r>
            <w:r>
              <w:rPr>
                <w:rFonts w:asciiTheme="minorHAnsi" w:hAnsiTheme="minorHAnsi"/>
                <w:sz w:val="22"/>
                <w:szCs w:val="22"/>
              </w:rPr>
              <w:t>comparison was</w:t>
            </w:r>
            <w:r w:rsidRPr="004A101F">
              <w:rPr>
                <w:rFonts w:asciiTheme="minorHAnsi" w:hAnsiTheme="minorHAnsi"/>
                <w:sz w:val="22"/>
                <w:szCs w:val="22"/>
              </w:rPr>
              <w:t xml:space="preserve"> </w:t>
            </w:r>
            <w:r>
              <w:rPr>
                <w:rFonts w:asciiTheme="minorHAnsi" w:hAnsiTheme="minorHAnsi"/>
                <w:sz w:val="22"/>
                <w:szCs w:val="22"/>
              </w:rPr>
              <w:t xml:space="preserve">limited </w:t>
            </w:r>
            <w:r w:rsidR="00D6270A">
              <w:rPr>
                <w:rFonts w:asciiTheme="minorHAnsi" w:hAnsiTheme="minorHAnsi"/>
                <w:sz w:val="22"/>
                <w:szCs w:val="22"/>
              </w:rPr>
              <w:t>to the 24 high-income countries for which data were readily available for the relevant period</w:t>
            </w:r>
            <w:r>
              <w:rPr>
                <w:rFonts w:asciiTheme="minorHAnsi" w:hAnsiTheme="minorHAnsi"/>
                <w:sz w:val="22"/>
                <w:szCs w:val="22"/>
              </w:rPr>
              <w:t xml:space="preserve">. </w:t>
            </w:r>
          </w:p>
          <w:p w14:paraId="035F36F3" w14:textId="7CD86C0D" w:rsidR="004A101F" w:rsidRPr="004A101F" w:rsidRDefault="004A101F" w:rsidP="004A101F">
            <w:pPr>
              <w:pStyle w:val="BodyText1"/>
              <w:numPr>
                <w:ilvl w:val="0"/>
                <w:numId w:val="19"/>
              </w:numPr>
              <w:rPr>
                <w:rFonts w:asciiTheme="minorHAnsi" w:hAnsiTheme="minorHAnsi"/>
                <w:sz w:val="22"/>
                <w:szCs w:val="22"/>
              </w:rPr>
            </w:pPr>
            <w:r>
              <w:rPr>
                <w:rFonts w:asciiTheme="minorHAnsi" w:hAnsiTheme="minorHAnsi"/>
                <w:sz w:val="22"/>
                <w:szCs w:val="22"/>
              </w:rPr>
              <w:t xml:space="preserve">Analysis of trend data will always be sensitive to the period selected, however segmented regression of the full period of mortality rates available offers an objective method of identifying </w:t>
            </w:r>
            <w:r w:rsidR="00E951F2">
              <w:rPr>
                <w:rFonts w:asciiTheme="minorHAnsi" w:hAnsiTheme="minorHAnsi"/>
                <w:sz w:val="22"/>
                <w:szCs w:val="22"/>
              </w:rPr>
              <w:t xml:space="preserve">the timing of </w:t>
            </w:r>
            <w:r>
              <w:rPr>
                <w:rFonts w:asciiTheme="minorHAnsi" w:hAnsiTheme="minorHAnsi"/>
                <w:sz w:val="22"/>
                <w:szCs w:val="22"/>
              </w:rPr>
              <w:t xml:space="preserve">a change in trend. </w:t>
            </w:r>
          </w:p>
        </w:tc>
      </w:tr>
    </w:tbl>
    <w:p w14:paraId="62D079E9" w14:textId="77777777" w:rsidR="00C01689" w:rsidRDefault="00C01689">
      <w:pPr>
        <w:spacing w:after="0" w:line="240" w:lineRule="auto"/>
        <w:rPr>
          <w:rFonts w:asciiTheme="minorHAnsi" w:eastAsiaTheme="minorHAnsi" w:hAnsiTheme="minorHAnsi" w:cs="Arial"/>
          <w:b/>
          <w:sz w:val="22"/>
          <w:lang w:eastAsia="en-GB"/>
        </w:rPr>
      </w:pPr>
      <w:r>
        <w:rPr>
          <w:rFonts w:asciiTheme="minorHAnsi" w:hAnsiTheme="minorHAnsi"/>
          <w:b/>
          <w:sz w:val="22"/>
        </w:rPr>
        <w:br w:type="page"/>
      </w:r>
    </w:p>
    <w:p w14:paraId="72E1D893"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Background</w:t>
      </w:r>
    </w:p>
    <w:p w14:paraId="5D3E860C" w14:textId="77777777" w:rsidR="00C01689" w:rsidRDefault="00C01689" w:rsidP="00C01689">
      <w:pPr>
        <w:pStyle w:val="BodyText1"/>
        <w:rPr>
          <w:rFonts w:asciiTheme="minorHAnsi" w:hAnsiTheme="minorHAnsi"/>
          <w:sz w:val="22"/>
          <w:szCs w:val="22"/>
        </w:rPr>
      </w:pPr>
    </w:p>
    <w:p w14:paraId="42A963EF" w14:textId="50EA12E0" w:rsidR="008527EF" w:rsidRDefault="008527EF" w:rsidP="00C01689">
      <w:pPr>
        <w:pStyle w:val="BodyText1"/>
        <w:rPr>
          <w:rFonts w:asciiTheme="minorHAnsi" w:hAnsiTheme="minorHAnsi"/>
          <w:sz w:val="22"/>
          <w:szCs w:val="22"/>
        </w:rPr>
      </w:pPr>
      <w:r>
        <w:rPr>
          <w:rFonts w:asciiTheme="minorHAnsi" w:hAnsiTheme="minorHAnsi"/>
          <w:sz w:val="22"/>
          <w:szCs w:val="22"/>
        </w:rPr>
        <w:t xml:space="preserve">Mortality rates have steadily declined, and life expectancy </w:t>
      </w:r>
      <w:r w:rsidR="00D9169A">
        <w:rPr>
          <w:rFonts w:asciiTheme="minorHAnsi" w:hAnsiTheme="minorHAnsi"/>
          <w:sz w:val="22"/>
          <w:szCs w:val="22"/>
        </w:rPr>
        <w:t>has</w:t>
      </w:r>
      <w:r>
        <w:rPr>
          <w:rFonts w:asciiTheme="minorHAnsi" w:hAnsiTheme="minorHAnsi"/>
          <w:sz w:val="22"/>
          <w:szCs w:val="22"/>
        </w:rPr>
        <w:t xml:space="preserve"> improved, </w:t>
      </w:r>
      <w:r w:rsidR="00DA1F47">
        <w:rPr>
          <w:rFonts w:asciiTheme="minorHAnsi" w:hAnsiTheme="minorHAnsi"/>
          <w:sz w:val="22"/>
          <w:szCs w:val="22"/>
        </w:rPr>
        <w:t xml:space="preserve">in </w:t>
      </w:r>
      <w:r>
        <w:rPr>
          <w:rFonts w:asciiTheme="minorHAnsi" w:hAnsiTheme="minorHAnsi"/>
          <w:sz w:val="22"/>
          <w:szCs w:val="22"/>
        </w:rPr>
        <w:t>most high</w:t>
      </w:r>
      <w:r w:rsidR="00D06666">
        <w:rPr>
          <w:rFonts w:asciiTheme="minorHAnsi" w:hAnsiTheme="minorHAnsi"/>
          <w:sz w:val="22"/>
          <w:szCs w:val="22"/>
        </w:rPr>
        <w:t>-</w:t>
      </w:r>
      <w:r>
        <w:rPr>
          <w:rFonts w:asciiTheme="minorHAnsi" w:hAnsiTheme="minorHAnsi"/>
          <w:sz w:val="22"/>
          <w:szCs w:val="22"/>
        </w:rPr>
        <w:t>income countries since 1945.</w:t>
      </w:r>
      <w:bookmarkStart w:id="1" w:name="_Ref530131452"/>
      <w:r w:rsidR="004D4C12">
        <w:rPr>
          <w:rStyle w:val="EndnoteReference"/>
          <w:rFonts w:asciiTheme="minorHAnsi" w:hAnsiTheme="minorHAnsi"/>
          <w:sz w:val="22"/>
          <w:szCs w:val="22"/>
        </w:rPr>
        <w:endnoteReference w:id="2"/>
      </w:r>
      <w:bookmarkEnd w:id="1"/>
      <w:r w:rsidR="004D4C12">
        <w:rPr>
          <w:rFonts w:asciiTheme="minorHAnsi" w:hAnsiTheme="minorHAnsi"/>
          <w:sz w:val="22"/>
          <w:szCs w:val="22"/>
          <w:vertAlign w:val="superscript"/>
        </w:rPr>
        <w:t xml:space="preserve"> </w:t>
      </w:r>
      <w:r w:rsidR="004D4C12">
        <w:rPr>
          <w:rStyle w:val="EndnoteReference"/>
          <w:rFonts w:asciiTheme="minorHAnsi" w:hAnsiTheme="minorHAnsi"/>
          <w:sz w:val="22"/>
          <w:szCs w:val="22"/>
        </w:rPr>
        <w:endnoteReference w:id="3"/>
      </w:r>
      <w:r>
        <w:rPr>
          <w:rFonts w:asciiTheme="minorHAnsi" w:hAnsiTheme="minorHAnsi"/>
          <w:sz w:val="22"/>
          <w:szCs w:val="22"/>
        </w:rPr>
        <w:t xml:space="preserve"> There have been</w:t>
      </w:r>
      <w:r w:rsidR="007E4807">
        <w:rPr>
          <w:rFonts w:asciiTheme="minorHAnsi" w:hAnsiTheme="minorHAnsi"/>
          <w:sz w:val="22"/>
          <w:szCs w:val="22"/>
        </w:rPr>
        <w:t xml:space="preserve"> previous</w:t>
      </w:r>
      <w:r>
        <w:rPr>
          <w:rFonts w:asciiTheme="minorHAnsi" w:hAnsiTheme="minorHAnsi"/>
          <w:sz w:val="22"/>
          <w:szCs w:val="22"/>
        </w:rPr>
        <w:t xml:space="preserve"> exceptions to this general trend, including the countries of </w:t>
      </w:r>
      <w:r w:rsidR="00EE0C00">
        <w:rPr>
          <w:rFonts w:asciiTheme="minorHAnsi" w:hAnsiTheme="minorHAnsi"/>
          <w:sz w:val="22"/>
          <w:szCs w:val="22"/>
        </w:rPr>
        <w:t>Eas</w:t>
      </w:r>
      <w:r w:rsidR="00AC24FF">
        <w:rPr>
          <w:rFonts w:asciiTheme="minorHAnsi" w:hAnsiTheme="minorHAnsi"/>
          <w:sz w:val="22"/>
          <w:szCs w:val="22"/>
        </w:rPr>
        <w:t>tern Europe during the 1990s</w:t>
      </w:r>
      <w:r w:rsidR="00123ADC">
        <w:rPr>
          <w:rFonts w:asciiTheme="minorHAnsi" w:hAnsiTheme="minorHAnsi"/>
          <w:sz w:val="22"/>
          <w:szCs w:val="22"/>
        </w:rPr>
        <w:t>.</w:t>
      </w:r>
      <w:r w:rsidR="00125C55" w:rsidRPr="00941DD7">
        <w:rPr>
          <w:rFonts w:asciiTheme="minorHAnsi" w:hAnsiTheme="minorHAnsi"/>
          <w:sz w:val="22"/>
          <w:vertAlign w:val="superscript"/>
        </w:rPr>
        <w:fldChar w:fldCharType="begin"/>
      </w:r>
      <w:r w:rsidR="00125C55" w:rsidRPr="00941DD7">
        <w:rPr>
          <w:rFonts w:asciiTheme="minorHAnsi" w:hAnsiTheme="minorHAnsi"/>
          <w:sz w:val="22"/>
          <w:vertAlign w:val="superscript"/>
        </w:rPr>
        <w:instrText xml:space="preserve"> NOTEREF _Ref530131452 \h  \* MERGEFORMAT </w:instrText>
      </w:r>
      <w:r w:rsidR="00125C55" w:rsidRPr="00941DD7">
        <w:rPr>
          <w:rFonts w:asciiTheme="minorHAnsi" w:hAnsiTheme="minorHAnsi"/>
          <w:sz w:val="22"/>
          <w:vertAlign w:val="superscript"/>
        </w:rPr>
      </w:r>
      <w:r w:rsidR="00125C55"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1</w:t>
      </w:r>
      <w:r w:rsidR="00125C55" w:rsidRPr="00941DD7">
        <w:rPr>
          <w:rFonts w:asciiTheme="minorHAnsi" w:hAnsiTheme="minorHAnsi"/>
          <w:sz w:val="22"/>
          <w:vertAlign w:val="superscript"/>
        </w:rPr>
        <w:fldChar w:fldCharType="end"/>
      </w:r>
      <w:r w:rsidR="00123ADC">
        <w:rPr>
          <w:rFonts w:asciiTheme="minorHAnsi" w:hAnsiTheme="minorHAnsi"/>
          <w:sz w:val="22"/>
          <w:szCs w:val="22"/>
          <w:vertAlign w:val="superscript"/>
        </w:rPr>
        <w:t xml:space="preserve"> </w:t>
      </w:r>
      <w:r w:rsidR="00966306">
        <w:rPr>
          <w:rStyle w:val="EndnoteReference"/>
          <w:rFonts w:asciiTheme="minorHAnsi" w:hAnsiTheme="minorHAnsi"/>
          <w:sz w:val="22"/>
          <w:szCs w:val="22"/>
        </w:rPr>
        <w:endnoteReference w:id="4"/>
      </w:r>
      <w:r w:rsidR="00D06666">
        <w:rPr>
          <w:rFonts w:asciiTheme="minorHAnsi" w:hAnsiTheme="minorHAnsi"/>
          <w:sz w:val="22"/>
          <w:szCs w:val="22"/>
        </w:rPr>
        <w:t xml:space="preserve"> R</w:t>
      </w:r>
      <w:r w:rsidR="000745F6">
        <w:rPr>
          <w:rFonts w:asciiTheme="minorHAnsi" w:hAnsiTheme="minorHAnsi"/>
          <w:sz w:val="22"/>
          <w:szCs w:val="22"/>
        </w:rPr>
        <w:t>ecently</w:t>
      </w:r>
      <w:r w:rsidR="003D60FF">
        <w:rPr>
          <w:rFonts w:asciiTheme="minorHAnsi" w:hAnsiTheme="minorHAnsi"/>
          <w:sz w:val="22"/>
          <w:szCs w:val="22"/>
        </w:rPr>
        <w:t xml:space="preserve"> there </w:t>
      </w:r>
      <w:r w:rsidR="007E4807">
        <w:rPr>
          <w:rFonts w:asciiTheme="minorHAnsi" w:hAnsiTheme="minorHAnsi"/>
          <w:sz w:val="22"/>
          <w:szCs w:val="22"/>
        </w:rPr>
        <w:t xml:space="preserve">have </w:t>
      </w:r>
      <w:r w:rsidR="003D60FF">
        <w:rPr>
          <w:rFonts w:asciiTheme="minorHAnsi" w:hAnsiTheme="minorHAnsi"/>
          <w:sz w:val="22"/>
          <w:szCs w:val="22"/>
        </w:rPr>
        <w:t xml:space="preserve">been a series of reports </w:t>
      </w:r>
      <w:r w:rsidR="00E951F2">
        <w:rPr>
          <w:rFonts w:asciiTheme="minorHAnsi" w:hAnsiTheme="minorHAnsi"/>
          <w:sz w:val="22"/>
          <w:szCs w:val="22"/>
        </w:rPr>
        <w:t xml:space="preserve">suggesting </w:t>
      </w:r>
      <w:r w:rsidR="00030E74">
        <w:rPr>
          <w:rFonts w:asciiTheme="minorHAnsi" w:hAnsiTheme="minorHAnsi"/>
          <w:sz w:val="22"/>
          <w:szCs w:val="22"/>
        </w:rPr>
        <w:t>that</w:t>
      </w:r>
      <w:r w:rsidR="003D60FF">
        <w:rPr>
          <w:rFonts w:asciiTheme="minorHAnsi" w:hAnsiTheme="minorHAnsi"/>
          <w:sz w:val="22"/>
          <w:szCs w:val="22"/>
        </w:rPr>
        <w:t xml:space="preserve"> </w:t>
      </w:r>
      <w:r w:rsidR="00D06666">
        <w:rPr>
          <w:rFonts w:asciiTheme="minorHAnsi" w:hAnsiTheme="minorHAnsi"/>
          <w:sz w:val="22"/>
          <w:szCs w:val="22"/>
        </w:rPr>
        <w:t xml:space="preserve">mortality improvements </w:t>
      </w:r>
      <w:r w:rsidR="00030E74">
        <w:rPr>
          <w:rFonts w:asciiTheme="minorHAnsi" w:hAnsiTheme="minorHAnsi"/>
          <w:sz w:val="22"/>
          <w:szCs w:val="22"/>
        </w:rPr>
        <w:t xml:space="preserve">are </w:t>
      </w:r>
      <w:r w:rsidR="000745F6">
        <w:rPr>
          <w:rFonts w:asciiTheme="minorHAnsi" w:hAnsiTheme="minorHAnsi"/>
          <w:sz w:val="22"/>
          <w:szCs w:val="22"/>
        </w:rPr>
        <w:t xml:space="preserve">now </w:t>
      </w:r>
      <w:r w:rsidR="003D60FF">
        <w:rPr>
          <w:rFonts w:asciiTheme="minorHAnsi" w:hAnsiTheme="minorHAnsi"/>
          <w:sz w:val="22"/>
          <w:szCs w:val="22"/>
        </w:rPr>
        <w:t xml:space="preserve">faltering, or even </w:t>
      </w:r>
      <w:r w:rsidR="00D06666">
        <w:rPr>
          <w:rFonts w:asciiTheme="minorHAnsi" w:hAnsiTheme="minorHAnsi"/>
          <w:sz w:val="22"/>
          <w:szCs w:val="22"/>
        </w:rPr>
        <w:t>reversing, for the USA, the UK</w:t>
      </w:r>
      <w:r w:rsidR="003D60FF">
        <w:rPr>
          <w:rFonts w:asciiTheme="minorHAnsi" w:hAnsiTheme="minorHAnsi"/>
          <w:sz w:val="22"/>
          <w:szCs w:val="22"/>
        </w:rPr>
        <w:t xml:space="preserve">, and </w:t>
      </w:r>
      <w:r w:rsidR="006E7462">
        <w:rPr>
          <w:rFonts w:asciiTheme="minorHAnsi" w:hAnsiTheme="minorHAnsi"/>
          <w:sz w:val="22"/>
          <w:szCs w:val="22"/>
        </w:rPr>
        <w:t>much</w:t>
      </w:r>
      <w:r w:rsidR="003D60FF">
        <w:rPr>
          <w:rFonts w:asciiTheme="minorHAnsi" w:hAnsiTheme="minorHAnsi"/>
          <w:sz w:val="22"/>
          <w:szCs w:val="22"/>
        </w:rPr>
        <w:t xml:space="preserve"> of conti</w:t>
      </w:r>
      <w:r w:rsidR="00D06666">
        <w:rPr>
          <w:rFonts w:asciiTheme="minorHAnsi" w:hAnsiTheme="minorHAnsi"/>
          <w:sz w:val="22"/>
          <w:szCs w:val="22"/>
        </w:rPr>
        <w:t>nental Europe, since around 2011</w:t>
      </w:r>
      <w:r w:rsidR="003D60FF" w:rsidRPr="00966306">
        <w:rPr>
          <w:rFonts w:asciiTheme="minorHAnsi" w:hAnsiTheme="minorHAnsi"/>
          <w:sz w:val="22"/>
          <w:szCs w:val="22"/>
        </w:rPr>
        <w:t>.</w:t>
      </w:r>
      <w:bookmarkStart w:id="2" w:name="_Ref530131701"/>
      <w:r w:rsidR="004D4C12" w:rsidRPr="00966306">
        <w:rPr>
          <w:rStyle w:val="EndnoteReference"/>
          <w:rFonts w:asciiTheme="minorHAnsi" w:hAnsiTheme="minorHAnsi"/>
          <w:sz w:val="22"/>
          <w:szCs w:val="22"/>
        </w:rPr>
        <w:endnoteReference w:id="5"/>
      </w:r>
      <w:bookmarkStart w:id="3" w:name="_Ref530397664"/>
      <w:bookmarkEnd w:id="2"/>
      <w:r w:rsidR="00966306" w:rsidRPr="00966306">
        <w:rPr>
          <w:rStyle w:val="EndnoteReference"/>
          <w:rFonts w:asciiTheme="minorHAnsi" w:hAnsiTheme="minorHAnsi"/>
          <w:vanish/>
          <w:sz w:val="22"/>
          <w:szCs w:val="22"/>
        </w:rPr>
        <w:endnoteReference w:id="6"/>
      </w:r>
      <w:bookmarkEnd w:id="3"/>
      <w:r w:rsidR="00966306">
        <w:rPr>
          <w:rFonts w:asciiTheme="minorHAnsi" w:hAnsiTheme="minorHAnsi"/>
          <w:sz w:val="22"/>
          <w:szCs w:val="22"/>
          <w:vertAlign w:val="superscript"/>
        </w:rPr>
        <w:t>-</w:t>
      </w:r>
      <w:bookmarkStart w:id="4" w:name="_Ref530397666"/>
      <w:r w:rsidR="00966306" w:rsidRPr="00966306">
        <w:rPr>
          <w:rStyle w:val="EndnoteReference"/>
          <w:rFonts w:asciiTheme="minorHAnsi" w:hAnsiTheme="minorHAnsi"/>
          <w:sz w:val="22"/>
          <w:szCs w:val="22"/>
        </w:rPr>
        <w:endnoteReference w:id="7"/>
      </w:r>
      <w:bookmarkEnd w:id="4"/>
      <w:r w:rsidR="00EE0C00">
        <w:rPr>
          <w:rFonts w:asciiTheme="minorHAnsi" w:hAnsiTheme="minorHAnsi"/>
          <w:sz w:val="22"/>
          <w:szCs w:val="22"/>
        </w:rPr>
        <w:t xml:space="preserve"> </w:t>
      </w:r>
    </w:p>
    <w:p w14:paraId="776B9F0A" w14:textId="77777777" w:rsidR="003D60FF" w:rsidRDefault="003D60FF" w:rsidP="00C01689">
      <w:pPr>
        <w:pStyle w:val="BodyText1"/>
        <w:rPr>
          <w:rFonts w:asciiTheme="minorHAnsi" w:hAnsiTheme="minorHAnsi"/>
          <w:sz w:val="22"/>
          <w:szCs w:val="22"/>
        </w:rPr>
      </w:pPr>
    </w:p>
    <w:p w14:paraId="05461CC6" w14:textId="4DDE4328" w:rsidR="001C3F38" w:rsidRPr="00D06666" w:rsidRDefault="00546CD5" w:rsidP="00C01689">
      <w:pPr>
        <w:pStyle w:val="BodyText1"/>
        <w:rPr>
          <w:rFonts w:asciiTheme="minorHAnsi" w:hAnsiTheme="minorHAnsi"/>
          <w:sz w:val="22"/>
          <w:szCs w:val="22"/>
          <w:vertAlign w:val="superscript"/>
        </w:rPr>
      </w:pPr>
      <w:r>
        <w:rPr>
          <w:rFonts w:asciiTheme="minorHAnsi" w:hAnsiTheme="minorHAnsi"/>
          <w:sz w:val="22"/>
          <w:szCs w:val="22"/>
        </w:rPr>
        <w:t>Contextualising current mortality trends within those that have been observed pr</w:t>
      </w:r>
      <w:r w:rsidR="00D06666">
        <w:rPr>
          <w:rFonts w:asciiTheme="minorHAnsi" w:hAnsiTheme="minorHAnsi"/>
          <w:sz w:val="22"/>
          <w:szCs w:val="22"/>
        </w:rPr>
        <w:t>eviously and internationally can support a</w:t>
      </w:r>
      <w:r>
        <w:rPr>
          <w:rFonts w:asciiTheme="minorHAnsi" w:hAnsiTheme="minorHAnsi"/>
          <w:sz w:val="22"/>
          <w:szCs w:val="22"/>
        </w:rPr>
        <w:t xml:space="preserve"> proportionate public health </w:t>
      </w:r>
      <w:r w:rsidR="00D06666">
        <w:rPr>
          <w:rFonts w:asciiTheme="minorHAnsi" w:hAnsiTheme="minorHAnsi"/>
          <w:sz w:val="22"/>
          <w:szCs w:val="22"/>
        </w:rPr>
        <w:t xml:space="preserve">response, and identify comparator countries or periods to assist </w:t>
      </w:r>
      <w:r w:rsidR="0047173A">
        <w:rPr>
          <w:rFonts w:asciiTheme="minorHAnsi" w:hAnsiTheme="minorHAnsi"/>
          <w:sz w:val="22"/>
          <w:szCs w:val="22"/>
        </w:rPr>
        <w:t xml:space="preserve">future </w:t>
      </w:r>
      <w:r w:rsidR="00D06666">
        <w:rPr>
          <w:rFonts w:asciiTheme="minorHAnsi" w:hAnsiTheme="minorHAnsi"/>
          <w:sz w:val="22"/>
          <w:szCs w:val="22"/>
        </w:rPr>
        <w:t xml:space="preserve">investigation of causal hypotheses. </w:t>
      </w:r>
      <w:r w:rsidR="00265062">
        <w:rPr>
          <w:rFonts w:asciiTheme="minorHAnsi" w:hAnsiTheme="minorHAnsi"/>
          <w:sz w:val="22"/>
          <w:szCs w:val="22"/>
        </w:rPr>
        <w:t xml:space="preserve">International comparison of changes in life expectancy </w:t>
      </w:r>
      <w:r w:rsidR="005B4F44">
        <w:rPr>
          <w:rFonts w:asciiTheme="minorHAnsi" w:hAnsiTheme="minorHAnsi"/>
          <w:sz w:val="22"/>
          <w:szCs w:val="22"/>
        </w:rPr>
        <w:t xml:space="preserve">across a single year (2014 to 2015) found that </w:t>
      </w:r>
      <w:r w:rsidR="00C4002B">
        <w:rPr>
          <w:rFonts w:asciiTheme="minorHAnsi" w:hAnsiTheme="minorHAnsi"/>
          <w:sz w:val="22"/>
          <w:szCs w:val="22"/>
        </w:rPr>
        <w:t>life expectancy declined in 8 out of 18 high-income countries, including the UK</w:t>
      </w:r>
      <w:r w:rsidR="002F0D86" w:rsidRPr="00941DD7">
        <w:rPr>
          <w:rFonts w:asciiTheme="minorHAnsi" w:hAnsiTheme="minorHAnsi"/>
          <w:sz w:val="22"/>
          <w:szCs w:val="22"/>
        </w:rPr>
        <w:t>.</w:t>
      </w:r>
      <w:r w:rsidR="00125C55" w:rsidRPr="00941DD7">
        <w:rPr>
          <w:rFonts w:asciiTheme="minorHAnsi" w:hAnsiTheme="minorHAnsi"/>
          <w:sz w:val="22"/>
          <w:vertAlign w:val="superscript"/>
        </w:rPr>
        <w:fldChar w:fldCharType="begin"/>
      </w:r>
      <w:r w:rsidR="00125C55" w:rsidRPr="00941DD7">
        <w:rPr>
          <w:rFonts w:asciiTheme="minorHAnsi" w:hAnsiTheme="minorHAnsi"/>
          <w:sz w:val="22"/>
          <w:vertAlign w:val="superscript"/>
        </w:rPr>
        <w:instrText xml:space="preserve"> NOTEREF _Ref530131701 \h  \* MERGEFORMAT </w:instrText>
      </w:r>
      <w:r w:rsidR="00125C55" w:rsidRPr="00941DD7">
        <w:rPr>
          <w:rFonts w:asciiTheme="minorHAnsi" w:hAnsiTheme="minorHAnsi"/>
          <w:sz w:val="22"/>
          <w:vertAlign w:val="superscript"/>
        </w:rPr>
      </w:r>
      <w:r w:rsidR="00125C55"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4</w:t>
      </w:r>
      <w:r w:rsidR="00125C55" w:rsidRPr="00941DD7">
        <w:rPr>
          <w:rFonts w:asciiTheme="minorHAnsi" w:hAnsiTheme="minorHAnsi"/>
          <w:sz w:val="22"/>
          <w:vertAlign w:val="superscript"/>
        </w:rPr>
        <w:fldChar w:fldCharType="end"/>
      </w:r>
      <w:r w:rsidR="002F0D86" w:rsidRPr="00966306">
        <w:rPr>
          <w:rFonts w:asciiTheme="minorHAnsi" w:hAnsiTheme="minorHAnsi"/>
          <w:sz w:val="22"/>
          <w:szCs w:val="22"/>
          <w:vertAlign w:val="superscript"/>
        </w:rPr>
        <w:t xml:space="preserve"> </w:t>
      </w:r>
      <w:r w:rsidR="009136F0">
        <w:rPr>
          <w:rFonts w:asciiTheme="minorHAnsi" w:hAnsiTheme="minorHAnsi"/>
          <w:sz w:val="22"/>
          <w:szCs w:val="22"/>
        </w:rPr>
        <w:t>However, the short-run trends in m</w:t>
      </w:r>
      <w:r w:rsidR="00C4171C">
        <w:rPr>
          <w:rFonts w:asciiTheme="minorHAnsi" w:hAnsiTheme="minorHAnsi"/>
          <w:sz w:val="22"/>
          <w:szCs w:val="22"/>
        </w:rPr>
        <w:t xml:space="preserve">ortality </w:t>
      </w:r>
      <w:r w:rsidR="00D06666">
        <w:rPr>
          <w:rFonts w:asciiTheme="minorHAnsi" w:hAnsiTheme="minorHAnsi"/>
          <w:sz w:val="22"/>
          <w:szCs w:val="22"/>
        </w:rPr>
        <w:t>data</w:t>
      </w:r>
      <w:r w:rsidR="00C4171C">
        <w:rPr>
          <w:rFonts w:asciiTheme="minorHAnsi" w:hAnsiTheme="minorHAnsi"/>
          <w:sz w:val="22"/>
          <w:szCs w:val="22"/>
        </w:rPr>
        <w:t>, even at national level, c</w:t>
      </w:r>
      <w:r w:rsidR="00D06666">
        <w:rPr>
          <w:rFonts w:asciiTheme="minorHAnsi" w:hAnsiTheme="minorHAnsi"/>
          <w:sz w:val="22"/>
          <w:szCs w:val="22"/>
        </w:rPr>
        <w:t>an vary substantially from year-</w:t>
      </w:r>
      <w:r w:rsidR="00C4171C">
        <w:rPr>
          <w:rFonts w:asciiTheme="minorHAnsi" w:hAnsiTheme="minorHAnsi"/>
          <w:sz w:val="22"/>
          <w:szCs w:val="22"/>
        </w:rPr>
        <w:t>to</w:t>
      </w:r>
      <w:r w:rsidR="00D06666">
        <w:rPr>
          <w:rFonts w:asciiTheme="minorHAnsi" w:hAnsiTheme="minorHAnsi"/>
          <w:sz w:val="22"/>
          <w:szCs w:val="22"/>
        </w:rPr>
        <w:t>-</w:t>
      </w:r>
      <w:r w:rsidR="00C4171C">
        <w:rPr>
          <w:rFonts w:asciiTheme="minorHAnsi" w:hAnsiTheme="minorHAnsi"/>
          <w:sz w:val="22"/>
          <w:szCs w:val="22"/>
        </w:rPr>
        <w:t xml:space="preserve">year and </w:t>
      </w:r>
      <w:r w:rsidR="00D06666">
        <w:rPr>
          <w:rFonts w:asciiTheme="minorHAnsi" w:hAnsiTheme="minorHAnsi"/>
          <w:sz w:val="22"/>
          <w:szCs w:val="22"/>
        </w:rPr>
        <w:t>observations may</w:t>
      </w:r>
      <w:r w:rsidR="00C4171C">
        <w:rPr>
          <w:rFonts w:asciiTheme="minorHAnsi" w:hAnsiTheme="minorHAnsi"/>
          <w:sz w:val="22"/>
          <w:szCs w:val="22"/>
        </w:rPr>
        <w:t xml:space="preserve"> be </w:t>
      </w:r>
      <w:r w:rsidR="00D06666">
        <w:rPr>
          <w:rFonts w:asciiTheme="minorHAnsi" w:hAnsiTheme="minorHAnsi"/>
          <w:sz w:val="22"/>
          <w:szCs w:val="22"/>
        </w:rPr>
        <w:t>therefore by</w:t>
      </w:r>
      <w:r w:rsidR="00C4171C">
        <w:rPr>
          <w:rFonts w:asciiTheme="minorHAnsi" w:hAnsiTheme="minorHAnsi"/>
          <w:sz w:val="22"/>
          <w:szCs w:val="22"/>
        </w:rPr>
        <w:t xml:space="preserve"> sensitive to the comparison period.</w:t>
      </w:r>
      <w:bookmarkStart w:id="5" w:name="_Ref530397680"/>
      <w:r w:rsidR="00966306">
        <w:rPr>
          <w:rStyle w:val="EndnoteReference"/>
          <w:rFonts w:asciiTheme="minorHAnsi" w:hAnsiTheme="minorHAnsi"/>
          <w:sz w:val="22"/>
          <w:szCs w:val="22"/>
        </w:rPr>
        <w:endnoteReference w:id="8"/>
      </w:r>
      <w:bookmarkEnd w:id="5"/>
      <w:r w:rsidR="00C4171C">
        <w:rPr>
          <w:rFonts w:asciiTheme="minorHAnsi" w:hAnsiTheme="minorHAnsi"/>
          <w:sz w:val="22"/>
          <w:szCs w:val="22"/>
        </w:rPr>
        <w:t xml:space="preserve"> </w:t>
      </w:r>
      <w:r w:rsidR="00D06666">
        <w:rPr>
          <w:rFonts w:asciiTheme="minorHAnsi" w:hAnsiTheme="minorHAnsi"/>
          <w:sz w:val="22"/>
          <w:szCs w:val="22"/>
        </w:rPr>
        <w:t>Comparison of the most recent six years to the preceding six years found that, of 20 countries, the UK had had the largest life expectancy slow-down for females, and the second largest for males.</w:t>
      </w:r>
      <w:r w:rsidR="00123ADC">
        <w:rPr>
          <w:rStyle w:val="EndnoteReference"/>
          <w:rFonts w:asciiTheme="minorHAnsi" w:hAnsiTheme="minorHAnsi"/>
          <w:sz w:val="22"/>
          <w:szCs w:val="22"/>
        </w:rPr>
        <w:endnoteReference w:id="9"/>
      </w:r>
      <w:r w:rsidR="0047173A">
        <w:rPr>
          <w:rFonts w:asciiTheme="minorHAnsi" w:hAnsiTheme="minorHAnsi"/>
          <w:sz w:val="22"/>
          <w:szCs w:val="22"/>
        </w:rPr>
        <w:t xml:space="preserve"> This however, does not allow identification of which period was exceptional: the previous gains or </w:t>
      </w:r>
      <w:r w:rsidR="00305888">
        <w:rPr>
          <w:rFonts w:asciiTheme="minorHAnsi" w:hAnsiTheme="minorHAnsi"/>
          <w:sz w:val="22"/>
          <w:szCs w:val="22"/>
        </w:rPr>
        <w:t xml:space="preserve">the </w:t>
      </w:r>
      <w:r w:rsidR="0047173A">
        <w:rPr>
          <w:rFonts w:asciiTheme="minorHAnsi" w:hAnsiTheme="minorHAnsi"/>
          <w:sz w:val="22"/>
          <w:szCs w:val="22"/>
        </w:rPr>
        <w:t xml:space="preserve">current slow-down. </w:t>
      </w:r>
    </w:p>
    <w:p w14:paraId="4B2C2FA2" w14:textId="77777777" w:rsidR="00D06666" w:rsidRDefault="00D06666" w:rsidP="00C01689">
      <w:pPr>
        <w:pStyle w:val="BodyText1"/>
        <w:rPr>
          <w:rFonts w:asciiTheme="minorHAnsi" w:hAnsiTheme="minorHAnsi"/>
          <w:sz w:val="22"/>
          <w:szCs w:val="22"/>
        </w:rPr>
      </w:pPr>
    </w:p>
    <w:p w14:paraId="6DCA8868" w14:textId="1415E6BF" w:rsidR="002F0D86" w:rsidRDefault="0047173A" w:rsidP="00C01689">
      <w:pPr>
        <w:pStyle w:val="BodyText1"/>
        <w:rPr>
          <w:rFonts w:asciiTheme="minorHAnsi" w:hAnsiTheme="minorHAnsi"/>
          <w:sz w:val="22"/>
          <w:highlight w:val="red"/>
          <w:vertAlign w:val="superscript"/>
        </w:rPr>
      </w:pPr>
      <w:r>
        <w:rPr>
          <w:rFonts w:asciiTheme="minorHAnsi" w:hAnsiTheme="minorHAnsi"/>
          <w:sz w:val="22"/>
          <w:szCs w:val="22"/>
        </w:rPr>
        <w:t xml:space="preserve">Among the UK countries </w:t>
      </w:r>
      <w:r w:rsidR="00D06666">
        <w:rPr>
          <w:rFonts w:asciiTheme="minorHAnsi" w:hAnsiTheme="minorHAnsi"/>
          <w:sz w:val="22"/>
          <w:szCs w:val="22"/>
        </w:rPr>
        <w:t xml:space="preserve">Scotland has the lowest life expectancy, with a period life expectancy at birth </w:t>
      </w:r>
      <w:r w:rsidR="00E951F2">
        <w:rPr>
          <w:rFonts w:asciiTheme="minorHAnsi" w:hAnsiTheme="minorHAnsi"/>
          <w:sz w:val="22"/>
          <w:szCs w:val="22"/>
        </w:rPr>
        <w:t xml:space="preserve">in 2015-2017 which was </w:t>
      </w:r>
      <w:r w:rsidR="00D06666">
        <w:rPr>
          <w:rFonts w:asciiTheme="minorHAnsi" w:hAnsiTheme="minorHAnsi"/>
          <w:sz w:val="22"/>
          <w:szCs w:val="22"/>
        </w:rPr>
        <w:t>2 years lower for women</w:t>
      </w:r>
      <w:r w:rsidR="00E24C80">
        <w:rPr>
          <w:rFonts w:asciiTheme="minorHAnsi" w:hAnsiTheme="minorHAnsi"/>
          <w:sz w:val="22"/>
          <w:szCs w:val="22"/>
        </w:rPr>
        <w:t>,</w:t>
      </w:r>
      <w:r w:rsidR="00D06666">
        <w:rPr>
          <w:rFonts w:asciiTheme="minorHAnsi" w:hAnsiTheme="minorHAnsi"/>
          <w:sz w:val="22"/>
          <w:szCs w:val="22"/>
        </w:rPr>
        <w:t xml:space="preserve"> and 2.5 years lower for men than that observed in England.</w:t>
      </w:r>
      <w:r w:rsidR="00D06666">
        <w:rPr>
          <w:rStyle w:val="EndnoteReference"/>
          <w:rFonts w:asciiTheme="minorHAnsi" w:hAnsiTheme="minorHAnsi"/>
          <w:sz w:val="22"/>
          <w:szCs w:val="22"/>
        </w:rPr>
        <w:endnoteReference w:id="10"/>
      </w:r>
      <w:r w:rsidR="00D06666">
        <w:rPr>
          <w:rFonts w:asciiTheme="minorHAnsi" w:hAnsiTheme="minorHAnsi"/>
          <w:sz w:val="22"/>
          <w:szCs w:val="22"/>
        </w:rPr>
        <w:t xml:space="preserve"> Analysis by the UK Office for National Statistics (ONS) found that a slowdown in mortality rates has been seen in all four UK countries in 2011</w:t>
      </w:r>
      <w:r>
        <w:rPr>
          <w:rFonts w:asciiTheme="minorHAnsi" w:hAnsiTheme="minorHAnsi"/>
          <w:sz w:val="22"/>
          <w:szCs w:val="22"/>
        </w:rPr>
        <w:t>-2016 compared to 2006-2011, but</w:t>
      </w:r>
      <w:r w:rsidR="00D06666">
        <w:rPr>
          <w:rFonts w:asciiTheme="minorHAnsi" w:hAnsiTheme="minorHAnsi"/>
          <w:sz w:val="22"/>
          <w:szCs w:val="22"/>
        </w:rPr>
        <w:t xml:space="preserve"> that Scotland experienced the least stalling for women, and second least after Northern Ireland for men</w:t>
      </w:r>
      <w:r w:rsidR="00D06666" w:rsidRPr="00941DD7">
        <w:rPr>
          <w:rFonts w:asciiTheme="minorHAnsi" w:hAnsiTheme="minorHAnsi"/>
          <w:sz w:val="22"/>
          <w:szCs w:val="22"/>
        </w:rPr>
        <w:t>.</w:t>
      </w:r>
      <w:r w:rsidR="00D06666" w:rsidRPr="00941DD7">
        <w:rPr>
          <w:rFonts w:asciiTheme="minorHAnsi" w:hAnsiTheme="minorHAnsi"/>
          <w:sz w:val="22"/>
          <w:vertAlign w:val="superscript"/>
        </w:rPr>
        <w:fldChar w:fldCharType="begin"/>
      </w:r>
      <w:r w:rsidR="00D06666" w:rsidRPr="00941DD7">
        <w:rPr>
          <w:rFonts w:asciiTheme="minorHAnsi" w:hAnsiTheme="minorHAnsi"/>
          <w:sz w:val="22"/>
          <w:vertAlign w:val="superscript"/>
        </w:rPr>
        <w:instrText xml:space="preserve"> NOTEREF _Ref530397666 \h  \* MERGEFORMAT </w:instrText>
      </w:r>
      <w:r w:rsidR="00D06666" w:rsidRPr="00941DD7">
        <w:rPr>
          <w:rFonts w:asciiTheme="minorHAnsi" w:hAnsiTheme="minorHAnsi"/>
          <w:sz w:val="22"/>
          <w:vertAlign w:val="superscript"/>
        </w:rPr>
      </w:r>
      <w:r w:rsidR="00D06666"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6</w:t>
      </w:r>
      <w:r w:rsidR="00D06666" w:rsidRPr="00941DD7">
        <w:rPr>
          <w:rFonts w:asciiTheme="minorHAnsi" w:hAnsiTheme="minorHAnsi"/>
          <w:sz w:val="22"/>
          <w:vertAlign w:val="superscript"/>
        </w:rPr>
        <w:fldChar w:fldCharType="end"/>
      </w:r>
    </w:p>
    <w:p w14:paraId="68A8286E" w14:textId="77777777" w:rsidR="00D06666" w:rsidRDefault="00D06666" w:rsidP="00C01689">
      <w:pPr>
        <w:pStyle w:val="BodyText1"/>
        <w:rPr>
          <w:rFonts w:asciiTheme="minorHAnsi" w:hAnsiTheme="minorHAnsi"/>
          <w:sz w:val="22"/>
          <w:szCs w:val="22"/>
        </w:rPr>
      </w:pPr>
    </w:p>
    <w:p w14:paraId="7532239F" w14:textId="6097EAA0" w:rsidR="008527EF" w:rsidRDefault="001C3F38" w:rsidP="008527EF">
      <w:pPr>
        <w:pStyle w:val="BodyText1"/>
        <w:rPr>
          <w:rFonts w:asciiTheme="minorHAnsi" w:hAnsiTheme="minorHAnsi"/>
          <w:sz w:val="22"/>
          <w:szCs w:val="22"/>
        </w:rPr>
      </w:pPr>
      <w:r>
        <w:rPr>
          <w:rFonts w:asciiTheme="minorHAnsi" w:hAnsiTheme="minorHAnsi"/>
          <w:sz w:val="22"/>
          <w:szCs w:val="22"/>
        </w:rPr>
        <w:t xml:space="preserve">Several hypotheses have been proposed to explain </w:t>
      </w:r>
      <w:r w:rsidR="0047173A">
        <w:rPr>
          <w:rFonts w:asciiTheme="minorHAnsi" w:hAnsiTheme="minorHAnsi"/>
          <w:sz w:val="22"/>
          <w:szCs w:val="22"/>
        </w:rPr>
        <w:t>recent</w:t>
      </w:r>
      <w:r>
        <w:rPr>
          <w:rFonts w:asciiTheme="minorHAnsi" w:hAnsiTheme="minorHAnsi"/>
          <w:sz w:val="22"/>
          <w:szCs w:val="22"/>
        </w:rPr>
        <w:t xml:space="preserve"> change</w:t>
      </w:r>
      <w:r w:rsidR="009136F0">
        <w:rPr>
          <w:rFonts w:asciiTheme="minorHAnsi" w:hAnsiTheme="minorHAnsi"/>
          <w:sz w:val="22"/>
          <w:szCs w:val="22"/>
        </w:rPr>
        <w:t>s</w:t>
      </w:r>
      <w:r>
        <w:rPr>
          <w:rFonts w:asciiTheme="minorHAnsi" w:hAnsiTheme="minorHAnsi"/>
          <w:sz w:val="22"/>
          <w:szCs w:val="22"/>
        </w:rPr>
        <w:t xml:space="preserve"> in </w:t>
      </w:r>
      <w:r w:rsidR="00DA1F47">
        <w:rPr>
          <w:rFonts w:asciiTheme="minorHAnsi" w:hAnsiTheme="minorHAnsi"/>
          <w:sz w:val="22"/>
          <w:szCs w:val="22"/>
        </w:rPr>
        <w:t xml:space="preserve">life expectancy </w:t>
      </w:r>
      <w:r>
        <w:rPr>
          <w:rFonts w:asciiTheme="minorHAnsi" w:hAnsiTheme="minorHAnsi"/>
          <w:sz w:val="22"/>
          <w:szCs w:val="22"/>
        </w:rPr>
        <w:t>trends.</w:t>
      </w:r>
      <w:r w:rsidR="000F1FFF">
        <w:rPr>
          <w:rFonts w:asciiTheme="minorHAnsi" w:hAnsiTheme="minorHAnsi"/>
          <w:sz w:val="22"/>
          <w:szCs w:val="22"/>
        </w:rPr>
        <w:t xml:space="preserve"> </w:t>
      </w:r>
      <w:r w:rsidR="00720A61">
        <w:rPr>
          <w:rFonts w:asciiTheme="minorHAnsi" w:hAnsiTheme="minorHAnsi"/>
          <w:sz w:val="22"/>
          <w:szCs w:val="22"/>
        </w:rPr>
        <w:t xml:space="preserve">Cohort </w:t>
      </w:r>
      <w:r w:rsidR="002152CF">
        <w:rPr>
          <w:rFonts w:asciiTheme="minorHAnsi" w:hAnsiTheme="minorHAnsi"/>
          <w:sz w:val="22"/>
          <w:szCs w:val="22"/>
        </w:rPr>
        <w:t xml:space="preserve">effects, whereby a particular generation is at </w:t>
      </w:r>
      <w:r w:rsidR="00DA1F47">
        <w:rPr>
          <w:rFonts w:asciiTheme="minorHAnsi" w:hAnsiTheme="minorHAnsi"/>
          <w:sz w:val="22"/>
          <w:szCs w:val="22"/>
        </w:rPr>
        <w:t xml:space="preserve">a </w:t>
      </w:r>
      <w:r w:rsidR="002152CF">
        <w:rPr>
          <w:rFonts w:asciiTheme="minorHAnsi" w:hAnsiTheme="minorHAnsi"/>
          <w:sz w:val="22"/>
          <w:szCs w:val="22"/>
        </w:rPr>
        <w:t>higher risk of mortality, may be important if that generation is now reaching an age where it contributes more to overall mortality and life expectancy. Other possibilities are that there is an interaction between period effects (such as policy changes or infectious disease epidemics) and vulnerabilities within a cohort such that mortality for that group increases. This has been observed for specific causes of death in Scotland and the USA (for suicide, drug-related deaths and alcohol).</w:t>
      </w:r>
      <w:r w:rsidR="00252569">
        <w:rPr>
          <w:rStyle w:val="EndnoteReference"/>
          <w:rFonts w:asciiTheme="minorHAnsi" w:hAnsiTheme="minorHAnsi"/>
          <w:sz w:val="22"/>
          <w:szCs w:val="22"/>
        </w:rPr>
        <w:endnoteReference w:id="11"/>
      </w:r>
      <w:r w:rsidR="00DF336A" w:rsidRPr="00DF336A">
        <w:rPr>
          <w:rStyle w:val="EndnoteReference"/>
          <w:rFonts w:asciiTheme="minorHAnsi" w:hAnsiTheme="minorHAnsi"/>
          <w:vanish/>
          <w:sz w:val="22"/>
          <w:szCs w:val="22"/>
        </w:rPr>
        <w:endnoteReference w:id="12"/>
      </w:r>
      <w:r w:rsidR="00DF336A" w:rsidRPr="00DF336A">
        <w:rPr>
          <w:rStyle w:val="EndnoteReference"/>
          <w:rFonts w:asciiTheme="minorHAnsi" w:hAnsiTheme="minorHAnsi"/>
          <w:vanish/>
          <w:sz w:val="22"/>
          <w:szCs w:val="22"/>
        </w:rPr>
        <w:endnoteReference w:id="13"/>
      </w:r>
      <w:r w:rsidR="00DF336A" w:rsidRPr="00DF336A">
        <w:rPr>
          <w:rFonts w:asciiTheme="minorHAnsi" w:hAnsiTheme="minorHAnsi"/>
          <w:sz w:val="22"/>
          <w:szCs w:val="22"/>
          <w:vertAlign w:val="superscript"/>
        </w:rPr>
        <w:t>-</w:t>
      </w:r>
      <w:r w:rsidR="00DF336A">
        <w:rPr>
          <w:rStyle w:val="EndnoteReference"/>
          <w:rFonts w:asciiTheme="minorHAnsi" w:hAnsiTheme="minorHAnsi"/>
          <w:sz w:val="22"/>
          <w:szCs w:val="22"/>
        </w:rPr>
        <w:endnoteReference w:id="14"/>
      </w:r>
      <w:r w:rsidR="002152CF">
        <w:rPr>
          <w:rFonts w:asciiTheme="minorHAnsi" w:hAnsiTheme="minorHAnsi"/>
          <w:sz w:val="22"/>
          <w:szCs w:val="22"/>
        </w:rPr>
        <w:t xml:space="preserve"> </w:t>
      </w:r>
    </w:p>
    <w:p w14:paraId="54500C67" w14:textId="77777777" w:rsidR="0047173A" w:rsidRDefault="0047173A" w:rsidP="008527EF">
      <w:pPr>
        <w:pStyle w:val="BodyText1"/>
        <w:rPr>
          <w:rFonts w:asciiTheme="minorHAnsi" w:hAnsiTheme="minorHAnsi"/>
          <w:sz w:val="22"/>
          <w:szCs w:val="22"/>
        </w:rPr>
      </w:pPr>
    </w:p>
    <w:p w14:paraId="0AF3BDEB" w14:textId="6D18601B" w:rsidR="0047173A" w:rsidRDefault="00652077" w:rsidP="0047173A">
      <w:pPr>
        <w:pStyle w:val="BodyText1"/>
        <w:rPr>
          <w:rFonts w:asciiTheme="minorHAnsi" w:hAnsiTheme="minorHAnsi"/>
          <w:sz w:val="22"/>
          <w:szCs w:val="22"/>
        </w:rPr>
      </w:pPr>
      <w:r>
        <w:rPr>
          <w:rFonts w:asciiTheme="minorHAnsi" w:hAnsiTheme="minorHAnsi"/>
          <w:sz w:val="22"/>
          <w:szCs w:val="22"/>
        </w:rPr>
        <w:t>There has been an apparent</w:t>
      </w:r>
      <w:r w:rsidR="0047173A">
        <w:rPr>
          <w:rFonts w:asciiTheme="minorHAnsi" w:hAnsiTheme="minorHAnsi"/>
          <w:sz w:val="22"/>
          <w:szCs w:val="22"/>
        </w:rPr>
        <w:t xml:space="preserve"> polarisation of the debate regarding causes of recent </w:t>
      </w:r>
      <w:r>
        <w:rPr>
          <w:rFonts w:asciiTheme="minorHAnsi" w:hAnsiTheme="minorHAnsi"/>
          <w:sz w:val="22"/>
          <w:szCs w:val="22"/>
        </w:rPr>
        <w:t xml:space="preserve">adverse </w:t>
      </w:r>
      <w:r w:rsidR="0047173A">
        <w:rPr>
          <w:rFonts w:asciiTheme="minorHAnsi" w:hAnsiTheme="minorHAnsi"/>
          <w:sz w:val="22"/>
          <w:szCs w:val="22"/>
        </w:rPr>
        <w:t>mortality trends</w:t>
      </w:r>
      <w:r w:rsidR="00E24C80">
        <w:rPr>
          <w:rFonts w:asciiTheme="minorHAnsi" w:hAnsiTheme="minorHAnsi"/>
          <w:sz w:val="22"/>
          <w:szCs w:val="22"/>
        </w:rPr>
        <w:t>, between explanations emphasising influenza, and thos</w:t>
      </w:r>
      <w:r w:rsidR="007B058F">
        <w:rPr>
          <w:rFonts w:asciiTheme="minorHAnsi" w:hAnsiTheme="minorHAnsi"/>
          <w:sz w:val="22"/>
          <w:szCs w:val="22"/>
        </w:rPr>
        <w:t xml:space="preserve">e concerned with the impacts of </w:t>
      </w:r>
      <w:r>
        <w:rPr>
          <w:rFonts w:asciiTheme="minorHAnsi" w:hAnsiTheme="minorHAnsi"/>
          <w:sz w:val="22"/>
          <w:szCs w:val="22"/>
        </w:rPr>
        <w:t>austerity. It</w:t>
      </w:r>
      <w:r w:rsidR="0047173A">
        <w:rPr>
          <w:rFonts w:asciiTheme="minorHAnsi" w:hAnsiTheme="minorHAnsi"/>
          <w:sz w:val="22"/>
          <w:szCs w:val="22"/>
        </w:rPr>
        <w:t xml:space="preserve"> may be</w:t>
      </w:r>
      <w:r>
        <w:rPr>
          <w:rFonts w:asciiTheme="minorHAnsi" w:hAnsiTheme="minorHAnsi"/>
          <w:sz w:val="22"/>
          <w:szCs w:val="22"/>
        </w:rPr>
        <w:t xml:space="preserve"> that this split is in part</w:t>
      </w:r>
      <w:r w:rsidR="0047173A">
        <w:rPr>
          <w:rFonts w:asciiTheme="minorHAnsi" w:hAnsiTheme="minorHAnsi"/>
          <w:sz w:val="22"/>
          <w:szCs w:val="22"/>
        </w:rPr>
        <w:t xml:space="preserve"> attributable to studies seeking the answers to different questions (for example </w:t>
      </w:r>
      <w:r w:rsidR="00E24C80">
        <w:rPr>
          <w:rFonts w:asciiTheme="minorHAnsi" w:hAnsiTheme="minorHAnsi"/>
          <w:sz w:val="22"/>
          <w:szCs w:val="22"/>
        </w:rPr>
        <w:t xml:space="preserve">the </w:t>
      </w:r>
      <w:r w:rsidR="0047173A">
        <w:rPr>
          <w:rFonts w:asciiTheme="minorHAnsi" w:hAnsiTheme="minorHAnsi"/>
          <w:sz w:val="22"/>
          <w:szCs w:val="22"/>
        </w:rPr>
        <w:t xml:space="preserve">causes of high numbers of deaths in short periods of time versus stalling of overall life expectancy over longer periods) and in variable comparator, or baseline, periods employed. Causal investigation would be strengthened by clear description of the nature, </w:t>
      </w:r>
      <w:r w:rsidR="00E24C80">
        <w:rPr>
          <w:rFonts w:asciiTheme="minorHAnsi" w:hAnsiTheme="minorHAnsi"/>
          <w:sz w:val="22"/>
          <w:szCs w:val="22"/>
        </w:rPr>
        <w:t xml:space="preserve">scale </w:t>
      </w:r>
      <w:r w:rsidR="0047173A">
        <w:rPr>
          <w:rFonts w:asciiTheme="minorHAnsi" w:hAnsiTheme="minorHAnsi"/>
          <w:sz w:val="22"/>
          <w:szCs w:val="22"/>
        </w:rPr>
        <w:t xml:space="preserve">and </w:t>
      </w:r>
      <w:r w:rsidR="00E24C80">
        <w:rPr>
          <w:rFonts w:asciiTheme="minorHAnsi" w:hAnsiTheme="minorHAnsi"/>
          <w:sz w:val="22"/>
          <w:szCs w:val="22"/>
        </w:rPr>
        <w:t xml:space="preserve">timing </w:t>
      </w:r>
      <w:r w:rsidR="0047173A">
        <w:rPr>
          <w:rFonts w:asciiTheme="minorHAnsi" w:hAnsiTheme="minorHAnsi"/>
          <w:sz w:val="22"/>
          <w:szCs w:val="22"/>
        </w:rPr>
        <w:t xml:space="preserve">of the phenomenon we are seeking to explain. </w:t>
      </w:r>
    </w:p>
    <w:p w14:paraId="086C8353" w14:textId="77777777" w:rsidR="00A53A66" w:rsidRDefault="00A53A66" w:rsidP="00C01689">
      <w:pPr>
        <w:pStyle w:val="BodyText1"/>
        <w:rPr>
          <w:rFonts w:asciiTheme="minorHAnsi" w:hAnsiTheme="minorHAnsi"/>
          <w:sz w:val="22"/>
          <w:szCs w:val="22"/>
          <w:vertAlign w:val="superscript"/>
        </w:rPr>
      </w:pPr>
    </w:p>
    <w:p w14:paraId="417C33C0" w14:textId="2C6AD344" w:rsidR="00016FC7" w:rsidRDefault="008527EF" w:rsidP="00C01689">
      <w:pPr>
        <w:pStyle w:val="BodyText1"/>
        <w:rPr>
          <w:rFonts w:asciiTheme="minorHAnsi" w:hAnsiTheme="minorHAnsi"/>
          <w:sz w:val="22"/>
          <w:szCs w:val="22"/>
        </w:rPr>
      </w:pPr>
      <w:r>
        <w:rPr>
          <w:rFonts w:asciiTheme="minorHAnsi" w:hAnsiTheme="minorHAnsi"/>
          <w:sz w:val="22"/>
          <w:szCs w:val="22"/>
        </w:rPr>
        <w:t>This study aims to describe the nature, scale and timing of changes in mortality in Scotland, and to compare the</w:t>
      </w:r>
      <w:r w:rsidR="00E24C80">
        <w:rPr>
          <w:rFonts w:asciiTheme="minorHAnsi" w:hAnsiTheme="minorHAnsi"/>
          <w:sz w:val="22"/>
          <w:szCs w:val="22"/>
        </w:rPr>
        <w:t>se</w:t>
      </w:r>
      <w:r>
        <w:rPr>
          <w:rFonts w:asciiTheme="minorHAnsi" w:hAnsiTheme="minorHAnsi"/>
          <w:sz w:val="22"/>
          <w:szCs w:val="22"/>
        </w:rPr>
        <w:t xml:space="preserve"> to those seen internationally</w:t>
      </w:r>
      <w:r w:rsidR="001C3F38">
        <w:rPr>
          <w:rFonts w:asciiTheme="minorHAnsi" w:hAnsiTheme="minorHAnsi"/>
          <w:sz w:val="22"/>
          <w:szCs w:val="22"/>
        </w:rPr>
        <w:t>, as an early step in understanding the</w:t>
      </w:r>
      <w:r w:rsidR="00E24C80">
        <w:rPr>
          <w:rFonts w:asciiTheme="minorHAnsi" w:hAnsiTheme="minorHAnsi"/>
          <w:sz w:val="22"/>
          <w:szCs w:val="22"/>
        </w:rPr>
        <w:t>ir causes</w:t>
      </w:r>
      <w:r>
        <w:rPr>
          <w:rFonts w:asciiTheme="minorHAnsi" w:hAnsiTheme="minorHAnsi"/>
          <w:sz w:val="22"/>
          <w:szCs w:val="22"/>
        </w:rPr>
        <w:t xml:space="preserve">. </w:t>
      </w:r>
    </w:p>
    <w:p w14:paraId="6221FA80" w14:textId="77777777" w:rsidR="000F1FFF" w:rsidRDefault="000F1FFF" w:rsidP="00C01689">
      <w:pPr>
        <w:pStyle w:val="BodyText1"/>
        <w:rPr>
          <w:rFonts w:asciiTheme="minorHAnsi" w:hAnsiTheme="minorHAnsi"/>
          <w:b/>
          <w:sz w:val="28"/>
          <w:szCs w:val="28"/>
        </w:rPr>
      </w:pPr>
    </w:p>
    <w:p w14:paraId="0C3133E1" w14:textId="77777777" w:rsidR="00652077" w:rsidRDefault="00652077" w:rsidP="00C01689">
      <w:pPr>
        <w:pStyle w:val="BodyText1"/>
        <w:rPr>
          <w:rFonts w:asciiTheme="minorHAnsi" w:hAnsiTheme="minorHAnsi"/>
          <w:b/>
          <w:sz w:val="28"/>
          <w:szCs w:val="28"/>
        </w:rPr>
      </w:pPr>
    </w:p>
    <w:p w14:paraId="128D8299"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lastRenderedPageBreak/>
        <w:t>Methods</w:t>
      </w:r>
    </w:p>
    <w:p w14:paraId="59D7D955" w14:textId="77777777" w:rsidR="00030E74" w:rsidRDefault="00030E74" w:rsidP="00C01689">
      <w:pPr>
        <w:pStyle w:val="BodyText1"/>
        <w:rPr>
          <w:rFonts w:asciiTheme="minorHAnsi" w:hAnsiTheme="minorHAnsi"/>
          <w:b/>
          <w:sz w:val="22"/>
          <w:szCs w:val="22"/>
        </w:rPr>
      </w:pPr>
    </w:p>
    <w:p w14:paraId="48B98318" w14:textId="77777777" w:rsidR="00DE7C98" w:rsidRDefault="00384CBE" w:rsidP="00C01689">
      <w:pPr>
        <w:pStyle w:val="BodyText1"/>
        <w:rPr>
          <w:rFonts w:asciiTheme="minorHAnsi" w:hAnsiTheme="minorHAnsi"/>
          <w:sz w:val="22"/>
          <w:szCs w:val="22"/>
        </w:rPr>
      </w:pPr>
      <w:r>
        <w:rPr>
          <w:rFonts w:asciiTheme="minorHAnsi" w:hAnsiTheme="minorHAnsi"/>
          <w:sz w:val="22"/>
          <w:szCs w:val="22"/>
        </w:rPr>
        <w:t>We report our results in accordance with the RECORD guideline.</w:t>
      </w:r>
      <w:r>
        <w:rPr>
          <w:rStyle w:val="EndnoteReference"/>
          <w:rFonts w:asciiTheme="minorHAnsi" w:hAnsiTheme="minorHAnsi"/>
          <w:sz w:val="22"/>
          <w:szCs w:val="22"/>
        </w:rPr>
        <w:endnoteReference w:id="15"/>
      </w:r>
      <w:r>
        <w:rPr>
          <w:rFonts w:asciiTheme="minorHAnsi" w:hAnsiTheme="minorHAnsi"/>
          <w:sz w:val="22"/>
          <w:szCs w:val="22"/>
        </w:rPr>
        <w:t xml:space="preserve"> </w:t>
      </w:r>
    </w:p>
    <w:p w14:paraId="0FE71B2B" w14:textId="77777777" w:rsidR="00DE7C98" w:rsidRDefault="00DE7C98" w:rsidP="00C01689">
      <w:pPr>
        <w:pStyle w:val="BodyText1"/>
        <w:rPr>
          <w:rFonts w:asciiTheme="minorHAnsi" w:hAnsiTheme="minorHAnsi"/>
          <w:sz w:val="22"/>
          <w:szCs w:val="22"/>
        </w:rPr>
      </w:pPr>
    </w:p>
    <w:p w14:paraId="300A063B" w14:textId="536A1E1B" w:rsidR="00AF2006" w:rsidRPr="00AF2006" w:rsidRDefault="0047173A" w:rsidP="00C01689">
      <w:pPr>
        <w:pStyle w:val="BodyText1"/>
        <w:rPr>
          <w:rFonts w:asciiTheme="minorHAnsi" w:hAnsiTheme="minorHAnsi"/>
          <w:b/>
          <w:sz w:val="22"/>
          <w:szCs w:val="22"/>
        </w:rPr>
      </w:pPr>
      <w:r>
        <w:rPr>
          <w:rFonts w:asciiTheme="minorHAnsi" w:hAnsiTheme="minorHAnsi"/>
          <w:b/>
          <w:sz w:val="22"/>
          <w:szCs w:val="22"/>
        </w:rPr>
        <w:t>Data</w:t>
      </w:r>
    </w:p>
    <w:p w14:paraId="0B9DD576" w14:textId="1993A9A1" w:rsidR="00384CBE" w:rsidRDefault="00384CBE" w:rsidP="00C01689">
      <w:pPr>
        <w:pStyle w:val="BodyText1"/>
        <w:rPr>
          <w:rFonts w:asciiTheme="minorHAnsi" w:hAnsiTheme="minorHAnsi"/>
          <w:sz w:val="22"/>
          <w:szCs w:val="22"/>
        </w:rPr>
      </w:pPr>
      <w:r>
        <w:rPr>
          <w:rFonts w:asciiTheme="minorHAnsi" w:hAnsiTheme="minorHAnsi"/>
          <w:sz w:val="22"/>
          <w:szCs w:val="22"/>
        </w:rPr>
        <w:t xml:space="preserve">We used </w:t>
      </w:r>
      <w:r w:rsidR="00CA7940">
        <w:rPr>
          <w:rFonts w:asciiTheme="minorHAnsi" w:hAnsiTheme="minorHAnsi"/>
          <w:sz w:val="22"/>
          <w:szCs w:val="22"/>
        </w:rPr>
        <w:t xml:space="preserve">population </w:t>
      </w:r>
      <w:r>
        <w:rPr>
          <w:rFonts w:asciiTheme="minorHAnsi" w:hAnsiTheme="minorHAnsi"/>
          <w:sz w:val="22"/>
          <w:szCs w:val="22"/>
        </w:rPr>
        <w:t>data from the Human Mortality Database</w:t>
      </w:r>
      <w:r w:rsidR="00A67482">
        <w:rPr>
          <w:rFonts w:asciiTheme="minorHAnsi" w:hAnsiTheme="minorHAnsi"/>
          <w:sz w:val="22"/>
          <w:szCs w:val="22"/>
        </w:rPr>
        <w:t xml:space="preserve"> (HMD)</w:t>
      </w:r>
      <w:r>
        <w:rPr>
          <w:rStyle w:val="EndnoteReference"/>
          <w:rFonts w:asciiTheme="minorHAnsi" w:hAnsiTheme="minorHAnsi"/>
          <w:sz w:val="22"/>
          <w:szCs w:val="22"/>
        </w:rPr>
        <w:endnoteReference w:id="16"/>
      </w:r>
      <w:r>
        <w:rPr>
          <w:rFonts w:asciiTheme="minorHAnsi" w:hAnsiTheme="minorHAnsi"/>
          <w:sz w:val="22"/>
          <w:szCs w:val="22"/>
        </w:rPr>
        <w:t xml:space="preserve"> for </w:t>
      </w:r>
      <w:r w:rsidR="0047173A">
        <w:rPr>
          <w:rFonts w:asciiTheme="minorHAnsi" w:hAnsiTheme="minorHAnsi"/>
          <w:sz w:val="22"/>
          <w:szCs w:val="22"/>
        </w:rPr>
        <w:t>life expectancy</w:t>
      </w:r>
      <w:r>
        <w:rPr>
          <w:rFonts w:asciiTheme="minorHAnsi" w:hAnsiTheme="minorHAnsi"/>
          <w:sz w:val="22"/>
          <w:szCs w:val="22"/>
        </w:rPr>
        <w:t xml:space="preserve"> analyses</w:t>
      </w:r>
      <w:r w:rsidR="0047173A">
        <w:rPr>
          <w:rFonts w:asciiTheme="minorHAnsi" w:hAnsiTheme="minorHAnsi"/>
          <w:sz w:val="22"/>
          <w:szCs w:val="22"/>
        </w:rPr>
        <w:t>.</w:t>
      </w:r>
      <w:r>
        <w:rPr>
          <w:rFonts w:asciiTheme="minorHAnsi" w:hAnsiTheme="minorHAnsi"/>
          <w:sz w:val="22"/>
          <w:szCs w:val="22"/>
        </w:rPr>
        <w:t xml:space="preserve"> </w:t>
      </w:r>
      <w:r w:rsidR="00305888">
        <w:rPr>
          <w:rFonts w:asciiTheme="minorHAnsi" w:hAnsiTheme="minorHAnsi"/>
          <w:sz w:val="22"/>
          <w:szCs w:val="22"/>
        </w:rPr>
        <w:t>Segmented regression a</w:t>
      </w:r>
      <w:r w:rsidR="0047173A">
        <w:rPr>
          <w:rFonts w:asciiTheme="minorHAnsi" w:hAnsiTheme="minorHAnsi"/>
          <w:sz w:val="22"/>
          <w:szCs w:val="22"/>
        </w:rPr>
        <w:t xml:space="preserve">nalysis of age-standardised mortality rates </w:t>
      </w:r>
      <w:r>
        <w:rPr>
          <w:rFonts w:asciiTheme="minorHAnsi" w:hAnsiTheme="minorHAnsi"/>
          <w:sz w:val="22"/>
          <w:szCs w:val="22"/>
        </w:rPr>
        <w:t>used data held by National Records of Scotland</w:t>
      </w:r>
      <w:r w:rsidR="00E260D2">
        <w:rPr>
          <w:rFonts w:asciiTheme="minorHAnsi" w:hAnsiTheme="minorHAnsi"/>
          <w:sz w:val="22"/>
          <w:szCs w:val="22"/>
        </w:rPr>
        <w:t xml:space="preserve"> (NRS)</w:t>
      </w:r>
      <w:r>
        <w:rPr>
          <w:rFonts w:asciiTheme="minorHAnsi" w:hAnsiTheme="minorHAnsi"/>
          <w:sz w:val="22"/>
          <w:szCs w:val="22"/>
        </w:rPr>
        <w:t xml:space="preserve">. All analyses were undertaken for males and females separately. </w:t>
      </w:r>
    </w:p>
    <w:p w14:paraId="4112C30B" w14:textId="77777777" w:rsidR="00A67482" w:rsidRDefault="00A67482" w:rsidP="00C01689">
      <w:pPr>
        <w:pStyle w:val="BodyText1"/>
        <w:rPr>
          <w:rFonts w:asciiTheme="minorHAnsi" w:hAnsiTheme="minorHAnsi"/>
          <w:sz w:val="22"/>
          <w:szCs w:val="22"/>
        </w:rPr>
      </w:pPr>
    </w:p>
    <w:p w14:paraId="07D15929" w14:textId="1F31868D" w:rsidR="00AF2006" w:rsidRPr="00AF2006" w:rsidRDefault="0047173A" w:rsidP="00C01689">
      <w:pPr>
        <w:pStyle w:val="BodyText1"/>
        <w:rPr>
          <w:rFonts w:asciiTheme="minorHAnsi" w:hAnsiTheme="minorHAnsi"/>
          <w:b/>
          <w:sz w:val="22"/>
          <w:szCs w:val="22"/>
        </w:rPr>
      </w:pPr>
      <w:r>
        <w:rPr>
          <w:rFonts w:asciiTheme="minorHAnsi" w:hAnsiTheme="minorHAnsi"/>
          <w:b/>
          <w:sz w:val="22"/>
          <w:szCs w:val="22"/>
        </w:rPr>
        <w:t>Life expectancy: average annual change in five</w:t>
      </w:r>
      <w:r w:rsidR="00305888">
        <w:rPr>
          <w:rFonts w:asciiTheme="minorHAnsi" w:hAnsiTheme="minorHAnsi"/>
          <w:b/>
          <w:sz w:val="22"/>
          <w:szCs w:val="22"/>
        </w:rPr>
        <w:t>-</w:t>
      </w:r>
      <w:r>
        <w:rPr>
          <w:rFonts w:asciiTheme="minorHAnsi" w:hAnsiTheme="minorHAnsi"/>
          <w:b/>
          <w:sz w:val="22"/>
          <w:szCs w:val="22"/>
        </w:rPr>
        <w:t>year periods</w:t>
      </w:r>
    </w:p>
    <w:p w14:paraId="05563D69" w14:textId="036E97A5" w:rsidR="00AF2006" w:rsidRDefault="00A67482" w:rsidP="00AF2006">
      <w:pPr>
        <w:pStyle w:val="BodyText1"/>
        <w:rPr>
          <w:rFonts w:asciiTheme="minorHAnsi" w:hAnsiTheme="minorHAnsi"/>
          <w:sz w:val="22"/>
        </w:rPr>
      </w:pPr>
      <w:r>
        <w:rPr>
          <w:rFonts w:asciiTheme="minorHAnsi" w:hAnsiTheme="minorHAnsi"/>
          <w:sz w:val="22"/>
          <w:szCs w:val="22"/>
        </w:rPr>
        <w:t xml:space="preserve">Period life </w:t>
      </w:r>
      <w:r w:rsidR="00AF2006">
        <w:rPr>
          <w:rFonts w:asciiTheme="minorHAnsi" w:hAnsiTheme="minorHAnsi"/>
          <w:sz w:val="22"/>
          <w:szCs w:val="22"/>
        </w:rPr>
        <w:t xml:space="preserve">expectancy </w:t>
      </w:r>
      <w:r w:rsidR="00A52013">
        <w:rPr>
          <w:rFonts w:asciiTheme="minorHAnsi" w:hAnsiTheme="minorHAnsi"/>
          <w:sz w:val="22"/>
          <w:szCs w:val="22"/>
        </w:rPr>
        <w:t xml:space="preserve">figures </w:t>
      </w:r>
      <w:r w:rsidR="00AF2006">
        <w:rPr>
          <w:rFonts w:asciiTheme="minorHAnsi" w:hAnsiTheme="minorHAnsi"/>
          <w:sz w:val="22"/>
          <w:szCs w:val="22"/>
        </w:rPr>
        <w:t xml:space="preserve">for Scotland </w:t>
      </w:r>
      <w:r>
        <w:rPr>
          <w:rFonts w:asciiTheme="minorHAnsi" w:hAnsiTheme="minorHAnsi"/>
          <w:sz w:val="22"/>
          <w:szCs w:val="22"/>
        </w:rPr>
        <w:t xml:space="preserve">for each single year between 1855 and 2016 were extracted. </w:t>
      </w:r>
      <w:r w:rsidR="00DE7C98" w:rsidRPr="00D6270A">
        <w:rPr>
          <w:rFonts w:asciiTheme="minorHAnsi" w:hAnsiTheme="minorHAnsi"/>
          <w:sz w:val="22"/>
          <w:szCs w:val="22"/>
          <w:highlight w:val="yellow"/>
        </w:rPr>
        <w:t>For international comparisons</w:t>
      </w:r>
      <w:r w:rsidR="00AF2006" w:rsidRPr="00D6270A">
        <w:rPr>
          <w:rFonts w:asciiTheme="minorHAnsi" w:hAnsiTheme="minorHAnsi"/>
          <w:sz w:val="22"/>
          <w:szCs w:val="22"/>
          <w:highlight w:val="yellow"/>
        </w:rPr>
        <w:t>, data</w:t>
      </w:r>
      <w:r w:rsidR="00D6270A" w:rsidRPr="00D6270A">
        <w:rPr>
          <w:rFonts w:asciiTheme="minorHAnsi" w:hAnsiTheme="minorHAnsi"/>
          <w:sz w:val="22"/>
          <w:szCs w:val="22"/>
          <w:highlight w:val="yellow"/>
        </w:rPr>
        <w:t xml:space="preserve"> were obtained</w:t>
      </w:r>
      <w:r w:rsidR="00AF2006" w:rsidRPr="00D6270A">
        <w:rPr>
          <w:rFonts w:asciiTheme="minorHAnsi" w:hAnsiTheme="minorHAnsi"/>
          <w:sz w:val="22"/>
          <w:szCs w:val="22"/>
          <w:highlight w:val="yellow"/>
        </w:rPr>
        <w:t xml:space="preserve"> for all </w:t>
      </w:r>
      <w:r w:rsidR="00CD6ACB" w:rsidRPr="00D6270A">
        <w:rPr>
          <w:rFonts w:asciiTheme="minorHAnsi" w:hAnsiTheme="minorHAnsi"/>
          <w:sz w:val="22"/>
          <w:szCs w:val="22"/>
          <w:highlight w:val="yellow"/>
        </w:rPr>
        <w:t xml:space="preserve">high-income </w:t>
      </w:r>
      <w:r w:rsidR="00AF2006" w:rsidRPr="00D6270A">
        <w:rPr>
          <w:rFonts w:asciiTheme="minorHAnsi" w:hAnsiTheme="minorHAnsi"/>
          <w:sz w:val="22"/>
          <w:szCs w:val="22"/>
          <w:highlight w:val="yellow"/>
        </w:rPr>
        <w:t xml:space="preserve">countries </w:t>
      </w:r>
      <w:r w:rsidR="00D6270A" w:rsidRPr="00D6270A">
        <w:rPr>
          <w:rFonts w:asciiTheme="minorHAnsi" w:hAnsiTheme="minorHAnsi"/>
          <w:sz w:val="22"/>
          <w:szCs w:val="22"/>
          <w:highlight w:val="yellow"/>
        </w:rPr>
        <w:t>within the</w:t>
      </w:r>
      <w:r w:rsidR="00CD6ACB" w:rsidRPr="00D6270A">
        <w:rPr>
          <w:rFonts w:asciiTheme="minorHAnsi" w:hAnsiTheme="minorHAnsi"/>
          <w:sz w:val="22"/>
          <w:szCs w:val="22"/>
          <w:highlight w:val="yellow"/>
        </w:rPr>
        <w:t xml:space="preserve"> HMD</w:t>
      </w:r>
      <w:r w:rsidR="00AF2006" w:rsidRPr="00D6270A">
        <w:rPr>
          <w:rFonts w:asciiTheme="minorHAnsi" w:hAnsiTheme="minorHAnsi"/>
          <w:sz w:val="22"/>
          <w:highlight w:val="yellow"/>
        </w:rPr>
        <w:t xml:space="preserve"> </w:t>
      </w:r>
      <w:r w:rsidR="00D6270A" w:rsidRPr="00D6270A">
        <w:rPr>
          <w:rFonts w:asciiTheme="minorHAnsi" w:hAnsiTheme="minorHAnsi"/>
          <w:sz w:val="22"/>
          <w:highlight w:val="yellow"/>
        </w:rPr>
        <w:t>which included data for 2016,</w:t>
      </w:r>
      <w:r w:rsidR="00AF2006" w:rsidRPr="00D6270A">
        <w:rPr>
          <w:rFonts w:asciiTheme="minorHAnsi" w:hAnsiTheme="minorHAnsi"/>
          <w:sz w:val="22"/>
          <w:highlight w:val="yellow"/>
        </w:rPr>
        <w:t xml:space="preserve"> at the time of extraction</w:t>
      </w:r>
      <w:r w:rsidR="0047173A" w:rsidRPr="00D6270A">
        <w:rPr>
          <w:rStyle w:val="FootnoteReference"/>
          <w:highlight w:val="yellow"/>
        </w:rPr>
        <w:footnoteReference w:id="2"/>
      </w:r>
      <w:r w:rsidR="00AF2006" w:rsidRPr="00D6270A">
        <w:rPr>
          <w:rFonts w:asciiTheme="minorHAnsi" w:hAnsiTheme="minorHAnsi"/>
          <w:sz w:val="22"/>
          <w:highlight w:val="yellow"/>
        </w:rPr>
        <w:t>.</w:t>
      </w:r>
      <w:r w:rsidR="00AF2006">
        <w:rPr>
          <w:rFonts w:asciiTheme="minorHAnsi" w:hAnsiTheme="minorHAnsi"/>
          <w:sz w:val="22"/>
        </w:rPr>
        <w:t xml:space="preserve"> The mean annual change in life expectancy (in weeks) for five</w:t>
      </w:r>
      <w:r w:rsidR="00652077">
        <w:rPr>
          <w:rFonts w:asciiTheme="minorHAnsi" w:hAnsiTheme="minorHAnsi"/>
          <w:sz w:val="22"/>
        </w:rPr>
        <w:t>-</w:t>
      </w:r>
      <w:r w:rsidR="00AF2006">
        <w:rPr>
          <w:rFonts w:asciiTheme="minorHAnsi" w:hAnsiTheme="minorHAnsi"/>
          <w:sz w:val="22"/>
        </w:rPr>
        <w:t xml:space="preserve">year periods running back from 2016 </w:t>
      </w:r>
      <w:r w:rsidR="0047173A">
        <w:rPr>
          <w:rFonts w:asciiTheme="minorHAnsi" w:hAnsiTheme="minorHAnsi"/>
          <w:sz w:val="22"/>
        </w:rPr>
        <w:t>was</w:t>
      </w:r>
      <w:r w:rsidR="00AF2006">
        <w:rPr>
          <w:rFonts w:asciiTheme="minorHAnsi" w:hAnsiTheme="minorHAnsi"/>
          <w:sz w:val="22"/>
        </w:rPr>
        <w:t xml:space="preserve"> calculated for each country. A sensitivity analysis using rolling five-year time periods rather than set periods from 2016 backwards was also undertaken. </w:t>
      </w:r>
    </w:p>
    <w:p w14:paraId="587E8B82" w14:textId="77777777" w:rsidR="001E32DE" w:rsidRDefault="001E32DE" w:rsidP="00AF2006">
      <w:pPr>
        <w:pStyle w:val="BodyText1"/>
        <w:rPr>
          <w:rFonts w:asciiTheme="minorHAnsi" w:hAnsiTheme="minorHAnsi"/>
          <w:sz w:val="22"/>
        </w:rPr>
      </w:pPr>
    </w:p>
    <w:p w14:paraId="09BAD412" w14:textId="5DE1084A" w:rsidR="001E32DE" w:rsidRPr="00AF2006" w:rsidRDefault="0047173A" w:rsidP="001E32DE">
      <w:pPr>
        <w:pStyle w:val="BodyText1"/>
        <w:rPr>
          <w:rFonts w:asciiTheme="minorHAnsi" w:hAnsiTheme="minorHAnsi"/>
          <w:b/>
          <w:sz w:val="22"/>
        </w:rPr>
      </w:pPr>
      <w:r>
        <w:rPr>
          <w:rFonts w:asciiTheme="minorHAnsi" w:hAnsiTheme="minorHAnsi"/>
          <w:b/>
          <w:sz w:val="22"/>
        </w:rPr>
        <w:t>Age-standardised mortality rates: s</w:t>
      </w:r>
      <w:r w:rsidR="001E32DE" w:rsidRPr="00AF2006">
        <w:rPr>
          <w:rFonts w:asciiTheme="minorHAnsi" w:hAnsiTheme="minorHAnsi"/>
          <w:b/>
          <w:sz w:val="22"/>
        </w:rPr>
        <w:t>egmented regression</w:t>
      </w:r>
    </w:p>
    <w:p w14:paraId="19F32896" w14:textId="2E9018D4" w:rsidR="0047173A" w:rsidRDefault="00520497" w:rsidP="001E32DE">
      <w:pPr>
        <w:pStyle w:val="BodyText1"/>
        <w:rPr>
          <w:rFonts w:asciiTheme="minorHAnsi" w:hAnsiTheme="minorHAnsi"/>
          <w:sz w:val="22"/>
        </w:rPr>
      </w:pPr>
      <w:r w:rsidRPr="00520497">
        <w:rPr>
          <w:rFonts w:asciiTheme="minorHAnsi" w:hAnsiTheme="minorHAnsi"/>
          <w:sz w:val="22"/>
        </w:rPr>
        <w:t xml:space="preserve">We calculated </w:t>
      </w:r>
      <w:r w:rsidR="00C429D9">
        <w:rPr>
          <w:rFonts w:asciiTheme="minorHAnsi" w:hAnsiTheme="minorHAnsi"/>
          <w:sz w:val="22"/>
        </w:rPr>
        <w:t xml:space="preserve">directly </w:t>
      </w:r>
      <w:r w:rsidRPr="00520497">
        <w:rPr>
          <w:rFonts w:asciiTheme="minorHAnsi" w:hAnsiTheme="minorHAnsi"/>
          <w:sz w:val="22"/>
        </w:rPr>
        <w:t>age-standardised mortality rates</w:t>
      </w:r>
      <w:r w:rsidR="00B04874">
        <w:rPr>
          <w:rFonts w:asciiTheme="minorHAnsi" w:hAnsiTheme="minorHAnsi"/>
          <w:sz w:val="22"/>
        </w:rPr>
        <w:t xml:space="preserve"> per 100,000 population</w:t>
      </w:r>
      <w:r w:rsidRPr="00520497">
        <w:rPr>
          <w:rFonts w:asciiTheme="minorHAnsi" w:hAnsiTheme="minorHAnsi"/>
          <w:sz w:val="22"/>
        </w:rPr>
        <w:t xml:space="preserve"> for </w:t>
      </w:r>
      <w:r w:rsidR="007F3B5D">
        <w:rPr>
          <w:rFonts w:asciiTheme="minorHAnsi" w:hAnsiTheme="minorHAnsi"/>
          <w:sz w:val="22"/>
        </w:rPr>
        <w:t>rolling four-</w:t>
      </w:r>
      <w:r w:rsidRPr="00520497">
        <w:rPr>
          <w:rFonts w:asciiTheme="minorHAnsi" w:hAnsiTheme="minorHAnsi"/>
          <w:sz w:val="22"/>
        </w:rPr>
        <w:t xml:space="preserve">quarter </w:t>
      </w:r>
      <w:r w:rsidR="007F3B5D">
        <w:rPr>
          <w:rFonts w:asciiTheme="minorHAnsi" w:hAnsiTheme="minorHAnsi"/>
          <w:sz w:val="22"/>
        </w:rPr>
        <w:t>periods</w:t>
      </w:r>
      <w:r w:rsidRPr="00520497">
        <w:rPr>
          <w:rFonts w:asciiTheme="minorHAnsi" w:hAnsiTheme="minorHAnsi"/>
          <w:sz w:val="22"/>
        </w:rPr>
        <w:t xml:space="preserve"> for Scotland using the 2013 European Standard Population for the entire time period (Q</w:t>
      </w:r>
      <w:r w:rsidR="005C780D">
        <w:rPr>
          <w:rFonts w:asciiTheme="minorHAnsi" w:hAnsiTheme="minorHAnsi"/>
          <w:sz w:val="22"/>
        </w:rPr>
        <w:t>1</w:t>
      </w:r>
      <w:r w:rsidRPr="00520497">
        <w:rPr>
          <w:rFonts w:asciiTheme="minorHAnsi" w:hAnsiTheme="minorHAnsi"/>
          <w:sz w:val="22"/>
        </w:rPr>
        <w:t xml:space="preserve"> 1990 to Q2 2018</w:t>
      </w:r>
      <w:r w:rsidR="00C429D9">
        <w:rPr>
          <w:rFonts w:asciiTheme="minorHAnsi" w:hAnsiTheme="minorHAnsi"/>
          <w:sz w:val="22"/>
        </w:rPr>
        <w:t>)</w:t>
      </w:r>
      <w:r w:rsidRPr="00520497">
        <w:rPr>
          <w:rFonts w:asciiTheme="minorHAnsi" w:hAnsiTheme="minorHAnsi"/>
          <w:sz w:val="22"/>
        </w:rPr>
        <w:t xml:space="preserve">. </w:t>
      </w:r>
      <w:r w:rsidR="00E24C80">
        <w:rPr>
          <w:rFonts w:asciiTheme="minorHAnsi" w:hAnsiTheme="minorHAnsi"/>
          <w:sz w:val="22"/>
        </w:rPr>
        <w:t>Population estimates were calculated for each four-quarter period by interpolating the mid-year estimates.  Data points are labelled by their final quarter, so quarter 1 (Q1)</w:t>
      </w:r>
      <w:r w:rsidRPr="00520497">
        <w:rPr>
          <w:rFonts w:asciiTheme="minorHAnsi" w:hAnsiTheme="minorHAnsi"/>
          <w:sz w:val="22"/>
        </w:rPr>
        <w:t xml:space="preserve"> 2016 </w:t>
      </w:r>
      <w:r w:rsidR="0047173A">
        <w:rPr>
          <w:rFonts w:asciiTheme="minorHAnsi" w:hAnsiTheme="minorHAnsi"/>
          <w:sz w:val="22"/>
        </w:rPr>
        <w:t>represents</w:t>
      </w:r>
      <w:r w:rsidRPr="00520497">
        <w:rPr>
          <w:rFonts w:asciiTheme="minorHAnsi" w:hAnsiTheme="minorHAnsi"/>
          <w:sz w:val="22"/>
        </w:rPr>
        <w:t xml:space="preserve"> </w:t>
      </w:r>
      <w:r w:rsidR="00305888">
        <w:rPr>
          <w:rFonts w:asciiTheme="minorHAnsi" w:hAnsiTheme="minorHAnsi"/>
          <w:sz w:val="22"/>
        </w:rPr>
        <w:t>the mortality rate</w:t>
      </w:r>
      <w:r w:rsidRPr="00520497">
        <w:rPr>
          <w:rFonts w:asciiTheme="minorHAnsi" w:hAnsiTheme="minorHAnsi"/>
          <w:sz w:val="22"/>
        </w:rPr>
        <w:t xml:space="preserve"> for 2015 </w:t>
      </w:r>
      <w:r w:rsidR="00E24C80">
        <w:rPr>
          <w:rFonts w:asciiTheme="minorHAnsi" w:hAnsiTheme="minorHAnsi"/>
          <w:sz w:val="22"/>
        </w:rPr>
        <w:t>Q2, Q3 and Q</w:t>
      </w:r>
      <w:r w:rsidRPr="00520497">
        <w:rPr>
          <w:rFonts w:asciiTheme="minorHAnsi" w:hAnsiTheme="minorHAnsi"/>
          <w:sz w:val="22"/>
        </w:rPr>
        <w:t xml:space="preserve">4 </w:t>
      </w:r>
      <w:r w:rsidR="00305888">
        <w:rPr>
          <w:rFonts w:asciiTheme="minorHAnsi" w:hAnsiTheme="minorHAnsi"/>
          <w:sz w:val="22"/>
        </w:rPr>
        <w:t xml:space="preserve">combined </w:t>
      </w:r>
      <w:r w:rsidRPr="00520497">
        <w:rPr>
          <w:rFonts w:asciiTheme="minorHAnsi" w:hAnsiTheme="minorHAnsi"/>
          <w:sz w:val="22"/>
        </w:rPr>
        <w:t xml:space="preserve">with 2016 Q1. Quarterly-rolling rates were </w:t>
      </w:r>
      <w:r w:rsidR="005C780D">
        <w:rPr>
          <w:rFonts w:asciiTheme="minorHAnsi" w:hAnsiTheme="minorHAnsi"/>
          <w:sz w:val="22"/>
        </w:rPr>
        <w:t>used</w:t>
      </w:r>
      <w:r w:rsidRPr="00520497">
        <w:rPr>
          <w:rFonts w:asciiTheme="minorHAnsi" w:hAnsiTheme="minorHAnsi"/>
          <w:sz w:val="22"/>
        </w:rPr>
        <w:t xml:space="preserve"> in order to increase the number of data </w:t>
      </w:r>
      <w:r>
        <w:rPr>
          <w:rFonts w:asciiTheme="minorHAnsi" w:hAnsiTheme="minorHAnsi"/>
          <w:sz w:val="22"/>
        </w:rPr>
        <w:t xml:space="preserve">points available to the model. </w:t>
      </w:r>
    </w:p>
    <w:p w14:paraId="5F6661D9" w14:textId="388FA990" w:rsidR="00CA7940" w:rsidRDefault="00A52013" w:rsidP="001E32DE">
      <w:pPr>
        <w:pStyle w:val="BodyText1"/>
        <w:rPr>
          <w:rFonts w:asciiTheme="minorHAnsi" w:hAnsiTheme="minorHAnsi"/>
          <w:sz w:val="22"/>
        </w:rPr>
      </w:pPr>
      <w:r>
        <w:rPr>
          <w:rFonts w:asciiTheme="minorHAnsi" w:hAnsiTheme="minorHAnsi"/>
          <w:sz w:val="22"/>
        </w:rPr>
        <w:t>In order to identify the point in the time series at which a change in trend occurred, w</w:t>
      </w:r>
      <w:r w:rsidR="00520497" w:rsidRPr="00520497">
        <w:rPr>
          <w:rFonts w:asciiTheme="minorHAnsi" w:hAnsiTheme="minorHAnsi"/>
          <w:sz w:val="22"/>
        </w:rPr>
        <w:t>e undertook segmented regression in R</w:t>
      </w:r>
      <w:r w:rsidR="00123ADC">
        <w:rPr>
          <w:rStyle w:val="EndnoteReference"/>
          <w:rFonts w:asciiTheme="minorHAnsi" w:hAnsiTheme="minorHAnsi"/>
          <w:sz w:val="22"/>
        </w:rPr>
        <w:endnoteReference w:id="17"/>
      </w:r>
      <w:r w:rsidR="00520497" w:rsidRPr="00520497">
        <w:rPr>
          <w:rFonts w:asciiTheme="minorHAnsi" w:hAnsiTheme="minorHAnsi"/>
          <w:sz w:val="22"/>
        </w:rPr>
        <w:t xml:space="preserve"> using the ‘segmented’ package.</w:t>
      </w:r>
      <w:r w:rsidR="00520497">
        <w:rPr>
          <w:rStyle w:val="EndnoteReference"/>
          <w:rFonts w:asciiTheme="minorHAnsi" w:hAnsiTheme="minorHAnsi"/>
          <w:sz w:val="22"/>
        </w:rPr>
        <w:endnoteReference w:id="18"/>
      </w:r>
      <w:r w:rsidR="00520497" w:rsidRPr="00520497">
        <w:rPr>
          <w:rFonts w:asciiTheme="minorHAnsi" w:hAnsiTheme="minorHAnsi"/>
          <w:sz w:val="22"/>
        </w:rPr>
        <w:t xml:space="preserve"> </w:t>
      </w:r>
      <w:r>
        <w:rPr>
          <w:rFonts w:asciiTheme="minorHAnsi" w:hAnsiTheme="minorHAnsi"/>
          <w:sz w:val="22"/>
        </w:rPr>
        <w:t xml:space="preserve">We used </w:t>
      </w:r>
      <w:r w:rsidR="00520497" w:rsidRPr="00520497">
        <w:rPr>
          <w:rFonts w:asciiTheme="minorHAnsi" w:hAnsiTheme="minorHAnsi"/>
          <w:sz w:val="22"/>
        </w:rPr>
        <w:t>the Davies test</w:t>
      </w:r>
      <w:r w:rsidR="005C780D">
        <w:rPr>
          <w:rFonts w:asciiTheme="minorHAnsi" w:hAnsiTheme="minorHAnsi"/>
          <w:sz w:val="22"/>
        </w:rPr>
        <w:t xml:space="preserve"> </w:t>
      </w:r>
      <w:r w:rsidR="00E24C80">
        <w:rPr>
          <w:rFonts w:asciiTheme="minorHAnsi" w:hAnsiTheme="minorHAnsi"/>
          <w:sz w:val="22"/>
        </w:rPr>
        <w:t>for the existence and statistical</w:t>
      </w:r>
      <w:r w:rsidR="0047173A">
        <w:rPr>
          <w:rFonts w:asciiTheme="minorHAnsi" w:hAnsiTheme="minorHAnsi"/>
          <w:sz w:val="22"/>
        </w:rPr>
        <w:t xml:space="preserve"> significance of </w:t>
      </w:r>
      <w:r w:rsidR="00E24C80">
        <w:rPr>
          <w:rFonts w:asciiTheme="minorHAnsi" w:hAnsiTheme="minorHAnsi"/>
          <w:sz w:val="22"/>
        </w:rPr>
        <w:t>a breakpoint</w:t>
      </w:r>
      <w:r w:rsidR="0047173A">
        <w:rPr>
          <w:rFonts w:asciiTheme="minorHAnsi" w:hAnsiTheme="minorHAnsi"/>
          <w:sz w:val="22"/>
        </w:rPr>
        <w:t>.</w:t>
      </w:r>
      <w:r w:rsidR="00520497" w:rsidRPr="00520497">
        <w:rPr>
          <w:rFonts w:asciiTheme="minorHAnsi" w:hAnsiTheme="minorHAnsi"/>
          <w:sz w:val="22"/>
        </w:rPr>
        <w:t xml:space="preserve"> </w:t>
      </w:r>
      <w:r w:rsidR="0047173A">
        <w:rPr>
          <w:rFonts w:asciiTheme="minorHAnsi" w:hAnsiTheme="minorHAnsi"/>
          <w:sz w:val="22"/>
        </w:rPr>
        <w:t>We</w:t>
      </w:r>
      <w:r>
        <w:rPr>
          <w:rFonts w:asciiTheme="minorHAnsi" w:hAnsiTheme="minorHAnsi"/>
          <w:sz w:val="22"/>
        </w:rPr>
        <w:t xml:space="preserve"> used </w:t>
      </w:r>
      <w:r w:rsidR="00520497" w:rsidRPr="00520497">
        <w:rPr>
          <w:rFonts w:asciiTheme="minorHAnsi" w:hAnsiTheme="minorHAnsi"/>
          <w:sz w:val="22"/>
        </w:rPr>
        <w:t>the segmented test</w:t>
      </w:r>
      <w:r>
        <w:rPr>
          <w:rFonts w:asciiTheme="minorHAnsi" w:hAnsiTheme="minorHAnsi"/>
          <w:sz w:val="22"/>
        </w:rPr>
        <w:t>, which</w:t>
      </w:r>
      <w:r w:rsidR="00520497" w:rsidRPr="00520497">
        <w:rPr>
          <w:rFonts w:asciiTheme="minorHAnsi" w:hAnsiTheme="minorHAnsi"/>
          <w:sz w:val="22"/>
        </w:rPr>
        <w:t xml:space="preserve"> treats the </w:t>
      </w:r>
      <w:r w:rsidR="0047173A">
        <w:rPr>
          <w:rFonts w:asciiTheme="minorHAnsi" w:hAnsiTheme="minorHAnsi"/>
          <w:sz w:val="22"/>
        </w:rPr>
        <w:t>whole time series as continuous, to identify</w:t>
      </w:r>
      <w:r w:rsidR="00520497">
        <w:rPr>
          <w:rFonts w:asciiTheme="minorHAnsi" w:hAnsiTheme="minorHAnsi"/>
          <w:sz w:val="22"/>
        </w:rPr>
        <w:t xml:space="preserve"> the breakpoint </w:t>
      </w:r>
      <w:r w:rsidR="0047173A">
        <w:rPr>
          <w:rFonts w:asciiTheme="minorHAnsi" w:hAnsiTheme="minorHAnsi"/>
          <w:sz w:val="22"/>
        </w:rPr>
        <w:t>and</w:t>
      </w:r>
      <w:r w:rsidR="00520497" w:rsidRPr="00520497">
        <w:rPr>
          <w:rFonts w:asciiTheme="minorHAnsi" w:hAnsiTheme="minorHAnsi"/>
          <w:sz w:val="22"/>
        </w:rPr>
        <w:t xml:space="preserve"> standard error. The results of the segmented test were interpreted as identifying the quarterly data point within which the breakpoint fell. In this way a result of 2012.651 falls within quarter 3 of 2012, </w:t>
      </w:r>
      <w:r>
        <w:rPr>
          <w:rFonts w:asciiTheme="minorHAnsi" w:hAnsiTheme="minorHAnsi"/>
          <w:sz w:val="22"/>
        </w:rPr>
        <w:t xml:space="preserve">and </w:t>
      </w:r>
      <w:r w:rsidR="00520497" w:rsidRPr="00520497">
        <w:rPr>
          <w:rFonts w:asciiTheme="minorHAnsi" w:hAnsiTheme="minorHAnsi"/>
          <w:sz w:val="22"/>
        </w:rPr>
        <w:t xml:space="preserve">the data which correspond to this quarter represent the ‘year’ quarter 4 2011 to quarter 3 2012, hence </w:t>
      </w:r>
      <w:r w:rsidR="005C780D">
        <w:rPr>
          <w:rFonts w:asciiTheme="minorHAnsi" w:hAnsiTheme="minorHAnsi"/>
          <w:sz w:val="22"/>
        </w:rPr>
        <w:t>the</w:t>
      </w:r>
      <w:r w:rsidR="00520497" w:rsidRPr="00520497">
        <w:rPr>
          <w:rFonts w:asciiTheme="minorHAnsi" w:hAnsiTheme="minorHAnsi"/>
          <w:sz w:val="22"/>
        </w:rPr>
        <w:t xml:space="preserve"> </w:t>
      </w:r>
      <w:r w:rsidR="000C6E95">
        <w:rPr>
          <w:rFonts w:asciiTheme="minorHAnsi" w:hAnsiTheme="minorHAnsi"/>
          <w:sz w:val="22"/>
        </w:rPr>
        <w:t xml:space="preserve">year to </w:t>
      </w:r>
      <w:r w:rsidR="005C780D">
        <w:rPr>
          <w:rFonts w:asciiTheme="minorHAnsi" w:hAnsiTheme="minorHAnsi"/>
          <w:sz w:val="22"/>
        </w:rPr>
        <w:t>2012</w:t>
      </w:r>
      <w:r w:rsidR="000C6E95">
        <w:rPr>
          <w:rFonts w:asciiTheme="minorHAnsi" w:hAnsiTheme="minorHAnsi"/>
          <w:sz w:val="22"/>
        </w:rPr>
        <w:t xml:space="preserve"> Q3</w:t>
      </w:r>
      <w:r w:rsidR="005C780D">
        <w:rPr>
          <w:rFonts w:asciiTheme="minorHAnsi" w:hAnsiTheme="minorHAnsi"/>
          <w:sz w:val="22"/>
        </w:rPr>
        <w:t xml:space="preserve"> is</w:t>
      </w:r>
      <w:r w:rsidR="00520497" w:rsidRPr="00520497">
        <w:rPr>
          <w:rFonts w:asciiTheme="minorHAnsi" w:hAnsiTheme="minorHAnsi"/>
          <w:sz w:val="22"/>
        </w:rPr>
        <w:t xml:space="preserve"> interpre</w:t>
      </w:r>
      <w:r w:rsidR="00520497">
        <w:rPr>
          <w:rFonts w:asciiTheme="minorHAnsi" w:hAnsiTheme="minorHAnsi"/>
          <w:sz w:val="22"/>
        </w:rPr>
        <w:t>ted as</w:t>
      </w:r>
      <w:r w:rsidR="00305888">
        <w:rPr>
          <w:rFonts w:asciiTheme="minorHAnsi" w:hAnsiTheme="minorHAnsi"/>
          <w:sz w:val="22"/>
        </w:rPr>
        <w:t xml:space="preserve"> the</w:t>
      </w:r>
      <w:r w:rsidR="00520497">
        <w:rPr>
          <w:rFonts w:asciiTheme="minorHAnsi" w:hAnsiTheme="minorHAnsi"/>
          <w:sz w:val="22"/>
        </w:rPr>
        <w:t xml:space="preserve"> </w:t>
      </w:r>
      <w:r w:rsidR="005C780D">
        <w:rPr>
          <w:rFonts w:asciiTheme="minorHAnsi" w:hAnsiTheme="minorHAnsi"/>
          <w:sz w:val="22"/>
        </w:rPr>
        <w:t>best estimate of when a change in trend occurred</w:t>
      </w:r>
      <w:r w:rsidR="00520497">
        <w:rPr>
          <w:rFonts w:asciiTheme="minorHAnsi" w:hAnsiTheme="minorHAnsi"/>
          <w:sz w:val="22"/>
        </w:rPr>
        <w:t>.  Ninety-five percent</w:t>
      </w:r>
      <w:r w:rsidR="00520497" w:rsidRPr="00520497">
        <w:rPr>
          <w:rFonts w:asciiTheme="minorHAnsi" w:hAnsiTheme="minorHAnsi"/>
          <w:sz w:val="22"/>
        </w:rPr>
        <w:t xml:space="preserve"> confidence intervals for the breakpoint were calculated from the standard error of this estimate. </w:t>
      </w:r>
      <w:r w:rsidR="00E24C80">
        <w:rPr>
          <w:rFonts w:asciiTheme="minorHAnsi" w:hAnsiTheme="minorHAnsi"/>
          <w:sz w:val="22"/>
        </w:rPr>
        <w:t>W</w:t>
      </w:r>
      <w:r>
        <w:rPr>
          <w:rFonts w:asciiTheme="minorHAnsi" w:hAnsiTheme="minorHAnsi"/>
          <w:sz w:val="22"/>
        </w:rPr>
        <w:t>e used the segmented test to examine one and two break point models</w:t>
      </w:r>
      <w:r w:rsidR="00E24C80">
        <w:rPr>
          <w:rFonts w:asciiTheme="minorHAnsi" w:hAnsiTheme="minorHAnsi"/>
          <w:sz w:val="22"/>
        </w:rPr>
        <w:t xml:space="preserve"> and compared model fit using </w:t>
      </w:r>
      <w:r w:rsidR="00E24C80" w:rsidRPr="00520497">
        <w:rPr>
          <w:rFonts w:asciiTheme="minorHAnsi" w:hAnsiTheme="minorHAnsi"/>
          <w:sz w:val="22"/>
        </w:rPr>
        <w:t xml:space="preserve">Akaike Information Criterion (AIC) and Bayesian Information Criterion (BIC) </w:t>
      </w:r>
      <w:r w:rsidR="00E24C80">
        <w:rPr>
          <w:rFonts w:asciiTheme="minorHAnsi" w:hAnsiTheme="minorHAnsi"/>
          <w:sz w:val="22"/>
        </w:rPr>
        <w:t>values</w:t>
      </w:r>
      <w:r w:rsidR="00520497" w:rsidRPr="00520497">
        <w:rPr>
          <w:rFonts w:asciiTheme="minorHAnsi" w:hAnsiTheme="minorHAnsi"/>
          <w:sz w:val="22"/>
        </w:rPr>
        <w:t xml:space="preserve">. </w:t>
      </w:r>
      <w:r w:rsidR="00E24C80">
        <w:rPr>
          <w:rFonts w:asciiTheme="minorHAnsi" w:hAnsiTheme="minorHAnsi"/>
          <w:sz w:val="22"/>
        </w:rPr>
        <w:t xml:space="preserve">Segmented regression </w:t>
      </w:r>
      <w:r>
        <w:rPr>
          <w:rFonts w:asciiTheme="minorHAnsi" w:hAnsiTheme="minorHAnsi"/>
          <w:sz w:val="22"/>
        </w:rPr>
        <w:t xml:space="preserve">models were produced separately </w:t>
      </w:r>
      <w:r w:rsidR="005C780D">
        <w:rPr>
          <w:rFonts w:asciiTheme="minorHAnsi" w:hAnsiTheme="minorHAnsi"/>
          <w:sz w:val="22"/>
        </w:rPr>
        <w:t xml:space="preserve">for </w:t>
      </w:r>
      <w:r w:rsidR="00E24C80">
        <w:rPr>
          <w:rFonts w:asciiTheme="minorHAnsi" w:hAnsiTheme="minorHAnsi"/>
          <w:sz w:val="22"/>
        </w:rPr>
        <w:t>all males, all females</w:t>
      </w:r>
      <w:r w:rsidR="00520497" w:rsidRPr="00520497">
        <w:rPr>
          <w:rFonts w:asciiTheme="minorHAnsi" w:hAnsiTheme="minorHAnsi"/>
          <w:sz w:val="22"/>
        </w:rPr>
        <w:t xml:space="preserve"> and for </w:t>
      </w:r>
      <w:r w:rsidR="00E24C80">
        <w:rPr>
          <w:rFonts w:asciiTheme="minorHAnsi" w:hAnsiTheme="minorHAnsi"/>
          <w:sz w:val="22"/>
        </w:rPr>
        <w:t>males</w:t>
      </w:r>
      <w:r w:rsidR="00520497" w:rsidRPr="00520497">
        <w:rPr>
          <w:rFonts w:asciiTheme="minorHAnsi" w:hAnsiTheme="minorHAnsi"/>
          <w:sz w:val="22"/>
        </w:rPr>
        <w:t xml:space="preserve"> and </w:t>
      </w:r>
      <w:r w:rsidR="00E24C80">
        <w:rPr>
          <w:rFonts w:asciiTheme="minorHAnsi" w:hAnsiTheme="minorHAnsi"/>
          <w:sz w:val="22"/>
        </w:rPr>
        <w:t xml:space="preserve">females divided into under </w:t>
      </w:r>
      <w:r w:rsidR="00520497" w:rsidRPr="00520497">
        <w:rPr>
          <w:rFonts w:asciiTheme="minorHAnsi" w:hAnsiTheme="minorHAnsi"/>
          <w:sz w:val="22"/>
        </w:rPr>
        <w:t>75 year and 75+ year</w:t>
      </w:r>
      <w:r w:rsidR="005C780D">
        <w:rPr>
          <w:rFonts w:asciiTheme="minorHAnsi" w:hAnsiTheme="minorHAnsi"/>
          <w:sz w:val="22"/>
        </w:rPr>
        <w:t xml:space="preserve"> </w:t>
      </w:r>
      <w:r>
        <w:rPr>
          <w:rFonts w:asciiTheme="minorHAnsi" w:hAnsiTheme="minorHAnsi"/>
          <w:sz w:val="22"/>
        </w:rPr>
        <w:t>age groups</w:t>
      </w:r>
      <w:r w:rsidR="00520497" w:rsidRPr="00520497">
        <w:rPr>
          <w:rFonts w:asciiTheme="minorHAnsi" w:hAnsiTheme="minorHAnsi"/>
          <w:sz w:val="22"/>
        </w:rPr>
        <w:t xml:space="preserve">. </w:t>
      </w:r>
    </w:p>
    <w:p w14:paraId="4E43A7C3" w14:textId="77777777" w:rsidR="00D22B96" w:rsidRDefault="00D22B96" w:rsidP="001E32DE">
      <w:pPr>
        <w:pStyle w:val="BodyText1"/>
        <w:rPr>
          <w:rFonts w:asciiTheme="minorHAnsi" w:hAnsiTheme="minorHAnsi"/>
          <w:sz w:val="22"/>
        </w:rPr>
      </w:pPr>
    </w:p>
    <w:p w14:paraId="1283A7EF" w14:textId="77777777" w:rsidR="00C01689" w:rsidRPr="00520497" w:rsidRDefault="00C01689" w:rsidP="00520497">
      <w:pPr>
        <w:spacing w:after="0" w:line="240" w:lineRule="auto"/>
        <w:rPr>
          <w:rFonts w:asciiTheme="minorHAnsi" w:eastAsiaTheme="minorHAnsi" w:hAnsiTheme="minorHAnsi" w:cs="Arial"/>
          <w:b/>
          <w:sz w:val="28"/>
          <w:szCs w:val="28"/>
          <w:lang w:eastAsia="en-GB"/>
        </w:rPr>
      </w:pPr>
      <w:r w:rsidRPr="002C5000">
        <w:rPr>
          <w:rFonts w:asciiTheme="minorHAnsi" w:hAnsiTheme="minorHAnsi"/>
          <w:b/>
          <w:sz w:val="28"/>
          <w:szCs w:val="28"/>
        </w:rPr>
        <w:t>Results</w:t>
      </w:r>
    </w:p>
    <w:p w14:paraId="5FCE4793" w14:textId="77777777" w:rsidR="0075429A" w:rsidRDefault="0075429A" w:rsidP="000D6AA2">
      <w:pPr>
        <w:pStyle w:val="BodyText1"/>
        <w:rPr>
          <w:rFonts w:asciiTheme="minorHAnsi" w:hAnsiTheme="minorHAnsi"/>
          <w:sz w:val="22"/>
        </w:rPr>
      </w:pPr>
    </w:p>
    <w:p w14:paraId="079CC4BF" w14:textId="77777777" w:rsidR="00BA6AA1" w:rsidRPr="00BA6AA1" w:rsidRDefault="00BA6AA1" w:rsidP="000D6AA2">
      <w:pPr>
        <w:pStyle w:val="BodyText1"/>
        <w:rPr>
          <w:rFonts w:asciiTheme="minorHAnsi" w:hAnsiTheme="minorHAnsi"/>
          <w:b/>
          <w:sz w:val="22"/>
        </w:rPr>
      </w:pPr>
      <w:r w:rsidRPr="00BA6AA1">
        <w:rPr>
          <w:rFonts w:asciiTheme="minorHAnsi" w:hAnsiTheme="minorHAnsi"/>
          <w:b/>
          <w:sz w:val="22"/>
        </w:rPr>
        <w:t>Life expectancy trends</w:t>
      </w:r>
    </w:p>
    <w:p w14:paraId="24348DE8" w14:textId="2E452D8C" w:rsidR="000D6AA2" w:rsidRDefault="00D53106" w:rsidP="000D6AA2">
      <w:pPr>
        <w:pStyle w:val="BodyText1"/>
        <w:rPr>
          <w:rFonts w:asciiTheme="minorHAnsi" w:hAnsiTheme="minorHAnsi"/>
          <w:sz w:val="22"/>
        </w:rPr>
      </w:pPr>
      <w:r>
        <w:rPr>
          <w:rFonts w:asciiTheme="minorHAnsi" w:hAnsiTheme="minorHAnsi"/>
          <w:sz w:val="22"/>
        </w:rPr>
        <w:t>P</w:t>
      </w:r>
      <w:r w:rsidR="000D6AA2" w:rsidRPr="000D6AA2">
        <w:rPr>
          <w:rFonts w:asciiTheme="minorHAnsi" w:hAnsiTheme="minorHAnsi"/>
          <w:sz w:val="22"/>
        </w:rPr>
        <w:t>eriod life expectancy at birt</w:t>
      </w:r>
      <w:r w:rsidR="0083254D">
        <w:rPr>
          <w:rFonts w:asciiTheme="minorHAnsi" w:hAnsiTheme="minorHAnsi"/>
          <w:sz w:val="22"/>
        </w:rPr>
        <w:t>h for men and women in Scotland</w:t>
      </w:r>
      <w:r>
        <w:rPr>
          <w:rFonts w:asciiTheme="minorHAnsi" w:hAnsiTheme="minorHAnsi"/>
          <w:sz w:val="22"/>
        </w:rPr>
        <w:t xml:space="preserve"> increased </w:t>
      </w:r>
      <w:r w:rsidR="000D6AA2" w:rsidRPr="000D6AA2">
        <w:rPr>
          <w:rFonts w:asciiTheme="minorHAnsi" w:hAnsiTheme="minorHAnsi"/>
          <w:sz w:val="22"/>
        </w:rPr>
        <w:t xml:space="preserve">from </w:t>
      </w:r>
      <w:r>
        <w:rPr>
          <w:rFonts w:asciiTheme="minorHAnsi" w:hAnsiTheme="minorHAnsi"/>
          <w:sz w:val="22"/>
        </w:rPr>
        <w:t xml:space="preserve">44 years for women and 41 years for men in </w:t>
      </w:r>
      <w:r w:rsidR="000D6AA2" w:rsidRPr="000D6AA2">
        <w:rPr>
          <w:rFonts w:asciiTheme="minorHAnsi" w:hAnsiTheme="minorHAnsi"/>
          <w:sz w:val="22"/>
        </w:rPr>
        <w:t xml:space="preserve">1855 to </w:t>
      </w:r>
      <w:r>
        <w:rPr>
          <w:rFonts w:asciiTheme="minorHAnsi" w:hAnsiTheme="minorHAnsi"/>
          <w:sz w:val="22"/>
        </w:rPr>
        <w:t xml:space="preserve">81 years for women and 77 years for men in </w:t>
      </w:r>
      <w:r w:rsidR="000D6AA2" w:rsidRPr="000D6AA2">
        <w:rPr>
          <w:rFonts w:asciiTheme="minorHAnsi" w:hAnsiTheme="minorHAnsi"/>
          <w:sz w:val="22"/>
        </w:rPr>
        <w:t xml:space="preserve">2016, based on </w:t>
      </w:r>
      <w:r w:rsidR="00D22B96">
        <w:rPr>
          <w:rFonts w:asciiTheme="minorHAnsi" w:hAnsiTheme="minorHAnsi"/>
          <w:sz w:val="22"/>
        </w:rPr>
        <w:t xml:space="preserve">single-year estimates. Throughout this </w:t>
      </w:r>
      <w:r w:rsidR="0058767C">
        <w:rPr>
          <w:rFonts w:asciiTheme="minorHAnsi" w:hAnsiTheme="minorHAnsi"/>
          <w:sz w:val="22"/>
        </w:rPr>
        <w:t xml:space="preserve">period women </w:t>
      </w:r>
      <w:r w:rsidR="00305888">
        <w:rPr>
          <w:rFonts w:asciiTheme="minorHAnsi" w:hAnsiTheme="minorHAnsi"/>
          <w:sz w:val="22"/>
        </w:rPr>
        <w:t>had</w:t>
      </w:r>
      <w:r w:rsidR="0058767C">
        <w:rPr>
          <w:rFonts w:asciiTheme="minorHAnsi" w:hAnsiTheme="minorHAnsi"/>
          <w:sz w:val="22"/>
        </w:rPr>
        <w:t xml:space="preserve"> longer life expectancies than men. The </w:t>
      </w:r>
      <w:r w:rsidR="000D6AA2" w:rsidRPr="000D6AA2">
        <w:rPr>
          <w:rFonts w:asciiTheme="minorHAnsi" w:hAnsiTheme="minorHAnsi"/>
          <w:sz w:val="22"/>
        </w:rPr>
        <w:t xml:space="preserve">trend </w:t>
      </w:r>
      <w:r w:rsidR="0058767C">
        <w:rPr>
          <w:rFonts w:asciiTheme="minorHAnsi" w:hAnsiTheme="minorHAnsi"/>
          <w:sz w:val="22"/>
        </w:rPr>
        <w:t xml:space="preserve">up to around 1945 </w:t>
      </w:r>
      <w:r w:rsidR="00305888">
        <w:rPr>
          <w:rFonts w:asciiTheme="minorHAnsi" w:hAnsiTheme="minorHAnsi"/>
          <w:sz w:val="22"/>
        </w:rPr>
        <w:t>was</w:t>
      </w:r>
      <w:r w:rsidR="0058767C">
        <w:rPr>
          <w:rFonts w:asciiTheme="minorHAnsi" w:hAnsiTheme="minorHAnsi"/>
          <w:sz w:val="22"/>
        </w:rPr>
        <w:t xml:space="preserve"> substantially more unstable than in later years, but there </w:t>
      </w:r>
      <w:r w:rsidR="00305888">
        <w:rPr>
          <w:rFonts w:asciiTheme="minorHAnsi" w:hAnsiTheme="minorHAnsi"/>
          <w:sz w:val="22"/>
        </w:rPr>
        <w:t>was</w:t>
      </w:r>
      <w:r w:rsidR="0058767C">
        <w:rPr>
          <w:rFonts w:asciiTheme="minorHAnsi" w:hAnsiTheme="minorHAnsi"/>
          <w:sz w:val="22"/>
        </w:rPr>
        <w:t xml:space="preserve"> a general improvement, especially after 1890. </w:t>
      </w:r>
      <w:r w:rsidR="000D6AA2" w:rsidRPr="000D6AA2">
        <w:rPr>
          <w:rFonts w:asciiTheme="minorHAnsi" w:hAnsiTheme="minorHAnsi"/>
          <w:sz w:val="22"/>
        </w:rPr>
        <w:t>From 1950</w:t>
      </w:r>
      <w:r w:rsidR="0058767C">
        <w:rPr>
          <w:rFonts w:asciiTheme="minorHAnsi" w:hAnsiTheme="minorHAnsi"/>
          <w:sz w:val="22"/>
        </w:rPr>
        <w:t xml:space="preserve"> </w:t>
      </w:r>
      <w:r w:rsidR="000D6AA2" w:rsidRPr="000D6AA2">
        <w:rPr>
          <w:rFonts w:asciiTheme="minorHAnsi" w:hAnsiTheme="minorHAnsi"/>
          <w:sz w:val="22"/>
        </w:rPr>
        <w:t xml:space="preserve">the degree of </w:t>
      </w:r>
      <w:r w:rsidR="0058767C">
        <w:rPr>
          <w:rFonts w:asciiTheme="minorHAnsi" w:hAnsiTheme="minorHAnsi"/>
          <w:sz w:val="22"/>
        </w:rPr>
        <w:t xml:space="preserve">year-to-year </w:t>
      </w:r>
      <w:r w:rsidR="000D6AA2" w:rsidRPr="000D6AA2">
        <w:rPr>
          <w:rFonts w:asciiTheme="minorHAnsi" w:hAnsiTheme="minorHAnsi"/>
          <w:sz w:val="22"/>
        </w:rPr>
        <w:t>variability reduce</w:t>
      </w:r>
      <w:r w:rsidR="00305888">
        <w:rPr>
          <w:rFonts w:asciiTheme="minorHAnsi" w:hAnsiTheme="minorHAnsi"/>
          <w:sz w:val="22"/>
        </w:rPr>
        <w:t>d</w:t>
      </w:r>
      <w:r w:rsidR="000D6AA2" w:rsidRPr="000D6AA2">
        <w:rPr>
          <w:rFonts w:asciiTheme="minorHAnsi" w:hAnsiTheme="minorHAnsi"/>
          <w:sz w:val="22"/>
        </w:rPr>
        <w:t xml:space="preserve"> </w:t>
      </w:r>
      <w:r w:rsidR="0058767C">
        <w:rPr>
          <w:rFonts w:asciiTheme="minorHAnsi" w:hAnsiTheme="minorHAnsi"/>
          <w:sz w:val="22"/>
        </w:rPr>
        <w:t>and the</w:t>
      </w:r>
      <w:r w:rsidR="000C6E95">
        <w:rPr>
          <w:rFonts w:asciiTheme="minorHAnsi" w:hAnsiTheme="minorHAnsi"/>
          <w:sz w:val="22"/>
        </w:rPr>
        <w:t xml:space="preserve">re </w:t>
      </w:r>
      <w:r w:rsidR="00305888">
        <w:rPr>
          <w:rFonts w:asciiTheme="minorHAnsi" w:hAnsiTheme="minorHAnsi"/>
          <w:sz w:val="22"/>
        </w:rPr>
        <w:t>wa</w:t>
      </w:r>
      <w:r w:rsidR="000C6E95">
        <w:rPr>
          <w:rFonts w:asciiTheme="minorHAnsi" w:hAnsiTheme="minorHAnsi"/>
          <w:sz w:val="22"/>
        </w:rPr>
        <w:t>s a slower, steady</w:t>
      </w:r>
      <w:r w:rsidR="0058767C">
        <w:rPr>
          <w:rFonts w:asciiTheme="minorHAnsi" w:hAnsiTheme="minorHAnsi"/>
          <w:sz w:val="22"/>
        </w:rPr>
        <w:t xml:space="preserve"> improvement. </w:t>
      </w:r>
    </w:p>
    <w:p w14:paraId="0F34D1CE" w14:textId="77777777" w:rsidR="0083254D" w:rsidRDefault="0083254D" w:rsidP="00003FCE">
      <w:pPr>
        <w:pStyle w:val="BodyText1"/>
        <w:rPr>
          <w:rStyle w:val="CommentReference"/>
          <w:rFonts w:eastAsia="Calibri" w:cs="Times New Roman"/>
          <w:lang w:eastAsia="en-US"/>
        </w:rPr>
      </w:pPr>
    </w:p>
    <w:p w14:paraId="78617B1D" w14:textId="41EE3EF1" w:rsidR="00615136" w:rsidRDefault="0058767C" w:rsidP="00003FCE">
      <w:pPr>
        <w:pStyle w:val="BodyText1"/>
        <w:rPr>
          <w:rFonts w:asciiTheme="minorHAnsi" w:hAnsiTheme="minorHAnsi"/>
          <w:sz w:val="22"/>
        </w:rPr>
      </w:pPr>
      <w:r>
        <w:rPr>
          <w:rFonts w:asciiTheme="minorHAnsi" w:hAnsiTheme="minorHAnsi"/>
          <w:sz w:val="22"/>
        </w:rPr>
        <w:t>T</w:t>
      </w:r>
      <w:r w:rsidR="000D6AA2" w:rsidRPr="000D6AA2">
        <w:rPr>
          <w:rFonts w:asciiTheme="minorHAnsi" w:hAnsiTheme="minorHAnsi"/>
          <w:sz w:val="22"/>
        </w:rPr>
        <w:t>he mean annual change in life expectancy obser</w:t>
      </w:r>
      <w:r>
        <w:rPr>
          <w:rFonts w:asciiTheme="minorHAnsi" w:hAnsiTheme="minorHAnsi"/>
          <w:sz w:val="22"/>
        </w:rPr>
        <w:t xml:space="preserve">ved </w:t>
      </w:r>
      <w:r w:rsidR="00D22B96">
        <w:rPr>
          <w:rFonts w:asciiTheme="minorHAnsi" w:hAnsiTheme="minorHAnsi"/>
          <w:sz w:val="22"/>
        </w:rPr>
        <w:t xml:space="preserve">in Scotland in </w:t>
      </w:r>
      <w:r w:rsidR="00E24C80">
        <w:rPr>
          <w:rFonts w:asciiTheme="minorHAnsi" w:hAnsiTheme="minorHAnsi"/>
          <w:sz w:val="22"/>
        </w:rPr>
        <w:t>five-</w:t>
      </w:r>
      <w:r>
        <w:rPr>
          <w:rFonts w:asciiTheme="minorHAnsi" w:hAnsiTheme="minorHAnsi"/>
          <w:sz w:val="22"/>
        </w:rPr>
        <w:t xml:space="preserve">year periods (1857 and </w:t>
      </w:r>
      <w:r w:rsidR="000D6AA2" w:rsidRPr="000D6AA2">
        <w:rPr>
          <w:rFonts w:asciiTheme="minorHAnsi" w:hAnsiTheme="minorHAnsi"/>
          <w:sz w:val="22"/>
        </w:rPr>
        <w:t>2016</w:t>
      </w:r>
      <w:r>
        <w:rPr>
          <w:rFonts w:asciiTheme="minorHAnsi" w:hAnsiTheme="minorHAnsi"/>
          <w:sz w:val="22"/>
        </w:rPr>
        <w:t xml:space="preserve">) </w:t>
      </w:r>
      <w:r w:rsidR="000D6AA2" w:rsidRPr="000D6AA2">
        <w:rPr>
          <w:rFonts w:asciiTheme="minorHAnsi" w:hAnsiTheme="minorHAnsi"/>
          <w:sz w:val="22"/>
        </w:rPr>
        <w:t xml:space="preserve">shows that the largest gains were made </w:t>
      </w:r>
      <w:r>
        <w:rPr>
          <w:rFonts w:asciiTheme="minorHAnsi" w:hAnsiTheme="minorHAnsi"/>
          <w:sz w:val="22"/>
        </w:rPr>
        <w:t xml:space="preserve">in the </w:t>
      </w:r>
      <w:r w:rsidR="007E4807">
        <w:rPr>
          <w:rFonts w:asciiTheme="minorHAnsi" w:hAnsiTheme="minorHAnsi"/>
          <w:sz w:val="22"/>
        </w:rPr>
        <w:t xml:space="preserve">periods </w:t>
      </w:r>
      <w:r>
        <w:rPr>
          <w:rFonts w:asciiTheme="minorHAnsi" w:hAnsiTheme="minorHAnsi"/>
          <w:sz w:val="22"/>
        </w:rPr>
        <w:t>following declines in life expectancy (e.g. 1942-1946</w:t>
      </w:r>
      <w:r w:rsidR="000C6E95">
        <w:rPr>
          <w:rFonts w:asciiTheme="minorHAnsi" w:hAnsiTheme="minorHAnsi"/>
          <w:sz w:val="22"/>
        </w:rPr>
        <w:t>)</w:t>
      </w:r>
      <w:r w:rsidR="0083254D">
        <w:rPr>
          <w:rFonts w:asciiTheme="minorHAnsi" w:hAnsiTheme="minorHAnsi"/>
          <w:sz w:val="22"/>
        </w:rPr>
        <w:t xml:space="preserve"> (Figure 1</w:t>
      </w:r>
      <w:r>
        <w:rPr>
          <w:rFonts w:asciiTheme="minorHAnsi" w:hAnsiTheme="minorHAnsi"/>
          <w:sz w:val="22"/>
        </w:rPr>
        <w:t>)</w:t>
      </w:r>
      <w:r w:rsidR="000D6AA2" w:rsidRPr="000D6AA2">
        <w:rPr>
          <w:rFonts w:asciiTheme="minorHAnsi" w:hAnsiTheme="minorHAnsi"/>
          <w:sz w:val="22"/>
        </w:rPr>
        <w:t>.</w:t>
      </w:r>
      <w:r w:rsidR="000C6E95">
        <w:rPr>
          <w:rFonts w:asciiTheme="minorHAnsi" w:hAnsiTheme="minorHAnsi"/>
          <w:sz w:val="22"/>
        </w:rPr>
        <w:t xml:space="preserve"> From 1997-2011 each period saw steady gains for females (range 9.8-11.0 weeks/year) and males (range 14.1-17.3 week/year).  </w:t>
      </w:r>
      <w:r w:rsidR="00E24C80">
        <w:rPr>
          <w:rFonts w:asciiTheme="minorHAnsi" w:hAnsiTheme="minorHAnsi"/>
          <w:sz w:val="22"/>
        </w:rPr>
        <w:t>In the period</w:t>
      </w:r>
      <w:r w:rsidR="000C6E95">
        <w:rPr>
          <w:rFonts w:asciiTheme="minorHAnsi" w:hAnsiTheme="minorHAnsi"/>
          <w:sz w:val="22"/>
        </w:rPr>
        <w:t xml:space="preserve"> 2012-</w:t>
      </w:r>
      <w:r>
        <w:rPr>
          <w:rFonts w:asciiTheme="minorHAnsi" w:hAnsiTheme="minorHAnsi"/>
          <w:sz w:val="22"/>
        </w:rPr>
        <w:t>2016,</w:t>
      </w:r>
      <w:r w:rsidR="000D6AA2" w:rsidRPr="000D6AA2">
        <w:rPr>
          <w:rFonts w:asciiTheme="minorHAnsi" w:hAnsiTheme="minorHAnsi"/>
          <w:sz w:val="22"/>
        </w:rPr>
        <w:t xml:space="preserve"> only small mean life expectancy improv</w:t>
      </w:r>
      <w:r w:rsidR="000C6E95">
        <w:rPr>
          <w:rFonts w:asciiTheme="minorHAnsi" w:hAnsiTheme="minorHAnsi"/>
          <w:sz w:val="22"/>
        </w:rPr>
        <w:t>ements were observed: 2.5 weeks/</w:t>
      </w:r>
      <w:r w:rsidR="00FD25C2">
        <w:rPr>
          <w:rFonts w:asciiTheme="minorHAnsi" w:hAnsiTheme="minorHAnsi"/>
          <w:sz w:val="22"/>
        </w:rPr>
        <w:t xml:space="preserve">year </w:t>
      </w:r>
      <w:r w:rsidR="000D6AA2" w:rsidRPr="000D6AA2">
        <w:rPr>
          <w:rFonts w:asciiTheme="minorHAnsi" w:hAnsiTheme="minorHAnsi"/>
          <w:sz w:val="22"/>
        </w:rPr>
        <w:t xml:space="preserve">for </w:t>
      </w:r>
      <w:r w:rsidR="00E24C80">
        <w:rPr>
          <w:rFonts w:asciiTheme="minorHAnsi" w:hAnsiTheme="minorHAnsi"/>
          <w:sz w:val="22"/>
        </w:rPr>
        <w:t>females</w:t>
      </w:r>
      <w:r w:rsidR="000D6AA2" w:rsidRPr="000D6AA2">
        <w:rPr>
          <w:rFonts w:asciiTheme="minorHAnsi" w:hAnsiTheme="minorHAnsi"/>
          <w:sz w:val="22"/>
        </w:rPr>
        <w:t xml:space="preserve"> and 4.5 weeks</w:t>
      </w:r>
      <w:r w:rsidR="000C6E95">
        <w:rPr>
          <w:rFonts w:asciiTheme="minorHAnsi" w:hAnsiTheme="minorHAnsi"/>
          <w:sz w:val="22"/>
        </w:rPr>
        <w:t>/</w:t>
      </w:r>
      <w:r w:rsidR="00D22B96">
        <w:rPr>
          <w:rFonts w:asciiTheme="minorHAnsi" w:hAnsiTheme="minorHAnsi"/>
          <w:sz w:val="22"/>
        </w:rPr>
        <w:t>year</w:t>
      </w:r>
      <w:r w:rsidR="000D6AA2" w:rsidRPr="000D6AA2">
        <w:rPr>
          <w:rFonts w:asciiTheme="minorHAnsi" w:hAnsiTheme="minorHAnsi"/>
          <w:sz w:val="22"/>
        </w:rPr>
        <w:t xml:space="preserve"> for </w:t>
      </w:r>
      <w:r w:rsidR="00E24C80">
        <w:rPr>
          <w:rFonts w:asciiTheme="minorHAnsi" w:hAnsiTheme="minorHAnsi"/>
          <w:sz w:val="22"/>
        </w:rPr>
        <w:t>males</w:t>
      </w:r>
      <w:r w:rsidR="000D6AA2" w:rsidRPr="000D6AA2">
        <w:rPr>
          <w:rFonts w:asciiTheme="minorHAnsi" w:hAnsiTheme="minorHAnsi"/>
          <w:sz w:val="22"/>
        </w:rPr>
        <w:t xml:space="preserve">. </w:t>
      </w:r>
      <w:r w:rsidR="00D22B96">
        <w:rPr>
          <w:rFonts w:asciiTheme="minorHAnsi" w:hAnsiTheme="minorHAnsi"/>
          <w:sz w:val="22"/>
        </w:rPr>
        <w:t>T</w:t>
      </w:r>
      <w:r w:rsidR="000D6AA2" w:rsidRPr="000D6AA2">
        <w:rPr>
          <w:rFonts w:asciiTheme="minorHAnsi" w:hAnsiTheme="minorHAnsi"/>
          <w:sz w:val="22"/>
        </w:rPr>
        <w:t>his</w:t>
      </w:r>
      <w:r w:rsidR="00D22B96">
        <w:rPr>
          <w:rFonts w:asciiTheme="minorHAnsi" w:hAnsiTheme="minorHAnsi"/>
          <w:sz w:val="22"/>
        </w:rPr>
        <w:t xml:space="preserve"> represents </w:t>
      </w:r>
      <w:r w:rsidR="000D6AA2" w:rsidRPr="000D6AA2">
        <w:rPr>
          <w:rFonts w:asciiTheme="minorHAnsi" w:hAnsiTheme="minorHAnsi"/>
          <w:sz w:val="22"/>
        </w:rPr>
        <w:t xml:space="preserve">the </w:t>
      </w:r>
      <w:r w:rsidR="000D6AA2">
        <w:rPr>
          <w:rFonts w:asciiTheme="minorHAnsi" w:hAnsiTheme="minorHAnsi"/>
          <w:sz w:val="22"/>
        </w:rPr>
        <w:t>smalles</w:t>
      </w:r>
      <w:r>
        <w:rPr>
          <w:rFonts w:asciiTheme="minorHAnsi" w:hAnsiTheme="minorHAnsi"/>
          <w:sz w:val="22"/>
        </w:rPr>
        <w:t>t</w:t>
      </w:r>
      <w:r w:rsidR="000D6AA2" w:rsidRPr="000D6AA2">
        <w:rPr>
          <w:rFonts w:asciiTheme="minorHAnsi" w:hAnsiTheme="minorHAnsi"/>
          <w:sz w:val="22"/>
        </w:rPr>
        <w:t xml:space="preserve"> average annual increase for women</w:t>
      </w:r>
      <w:r w:rsidR="00D22B96">
        <w:rPr>
          <w:rFonts w:asciiTheme="minorHAnsi" w:hAnsiTheme="minorHAnsi"/>
          <w:sz w:val="22"/>
        </w:rPr>
        <w:t xml:space="preserve"> since 1937-41</w:t>
      </w:r>
      <w:r w:rsidR="000D6AA2" w:rsidRPr="000D6AA2">
        <w:rPr>
          <w:rFonts w:asciiTheme="minorHAnsi" w:hAnsiTheme="minorHAnsi"/>
          <w:sz w:val="22"/>
        </w:rPr>
        <w:t xml:space="preserve">, and </w:t>
      </w:r>
      <w:r w:rsidR="00D22B96">
        <w:rPr>
          <w:rFonts w:asciiTheme="minorHAnsi" w:hAnsiTheme="minorHAnsi"/>
          <w:sz w:val="22"/>
        </w:rPr>
        <w:t>for men since 1972-76</w:t>
      </w:r>
      <w:r w:rsidR="000D6AA2" w:rsidRPr="000D6AA2">
        <w:rPr>
          <w:rFonts w:asciiTheme="minorHAnsi" w:hAnsiTheme="minorHAnsi"/>
          <w:sz w:val="22"/>
        </w:rPr>
        <w:t xml:space="preserve">. </w:t>
      </w:r>
      <w:r>
        <w:rPr>
          <w:rFonts w:asciiTheme="minorHAnsi" w:hAnsiTheme="minorHAnsi"/>
          <w:sz w:val="22"/>
        </w:rPr>
        <w:t>A sensitivity analysis (</w:t>
      </w:r>
      <w:r w:rsidR="00024841" w:rsidRPr="00024841">
        <w:rPr>
          <w:rFonts w:asciiTheme="minorHAnsi" w:hAnsiTheme="minorHAnsi"/>
          <w:sz w:val="22"/>
        </w:rPr>
        <w:fldChar w:fldCharType="begin"/>
      </w:r>
      <w:r w:rsidR="00024841" w:rsidRPr="00024841">
        <w:rPr>
          <w:rFonts w:asciiTheme="minorHAnsi" w:hAnsiTheme="minorHAnsi"/>
          <w:sz w:val="22"/>
        </w:rPr>
        <w:instrText xml:space="preserve"> REF _Ref532903690 \h  \* MERGEFORMAT </w:instrText>
      </w:r>
      <w:r w:rsidR="00024841" w:rsidRPr="00024841">
        <w:rPr>
          <w:rFonts w:asciiTheme="minorHAnsi" w:hAnsiTheme="minorHAnsi"/>
          <w:sz w:val="22"/>
        </w:rPr>
      </w:r>
      <w:r w:rsidR="00024841" w:rsidRPr="00024841">
        <w:rPr>
          <w:rFonts w:asciiTheme="minorHAnsi" w:hAnsiTheme="minorHAnsi"/>
          <w:sz w:val="22"/>
        </w:rPr>
        <w:fldChar w:fldCharType="separate"/>
      </w:r>
      <w:r w:rsidR="00941DD7" w:rsidRPr="00941DD7">
        <w:rPr>
          <w:rFonts w:asciiTheme="minorHAnsi" w:hAnsiTheme="minorHAnsi"/>
          <w:sz w:val="22"/>
          <w:szCs w:val="22"/>
        </w:rPr>
        <w:t>Appendix figure 1</w:t>
      </w:r>
      <w:r w:rsidR="00024841" w:rsidRPr="00024841">
        <w:rPr>
          <w:rFonts w:asciiTheme="minorHAnsi" w:hAnsiTheme="minorHAnsi"/>
          <w:sz w:val="22"/>
        </w:rPr>
        <w:fldChar w:fldCharType="end"/>
      </w:r>
      <w:r w:rsidRPr="00024841">
        <w:rPr>
          <w:rFonts w:asciiTheme="minorHAnsi" w:hAnsiTheme="minorHAnsi"/>
          <w:sz w:val="22"/>
        </w:rPr>
        <w:t>)</w:t>
      </w:r>
      <w:r w:rsidR="00E24C80">
        <w:rPr>
          <w:rFonts w:asciiTheme="minorHAnsi" w:hAnsiTheme="minorHAnsi"/>
          <w:sz w:val="22"/>
        </w:rPr>
        <w:t xml:space="preserve"> using rolling five</w:t>
      </w:r>
      <w:r>
        <w:rPr>
          <w:rFonts w:asciiTheme="minorHAnsi" w:hAnsiTheme="minorHAnsi"/>
          <w:sz w:val="22"/>
        </w:rPr>
        <w:t xml:space="preserve">-year periods identifies similar </w:t>
      </w:r>
      <w:r w:rsidR="000B77D5">
        <w:rPr>
          <w:rFonts w:asciiTheme="minorHAnsi" w:hAnsiTheme="minorHAnsi"/>
          <w:sz w:val="22"/>
        </w:rPr>
        <w:t xml:space="preserve">periods of slow life expectancy gain, </w:t>
      </w:r>
      <w:r w:rsidR="00024841">
        <w:rPr>
          <w:rFonts w:asciiTheme="minorHAnsi" w:hAnsiTheme="minorHAnsi"/>
          <w:sz w:val="22"/>
        </w:rPr>
        <w:t>showing results are not dependent on the</w:t>
      </w:r>
      <w:r>
        <w:rPr>
          <w:rFonts w:asciiTheme="minorHAnsi" w:hAnsiTheme="minorHAnsi"/>
          <w:sz w:val="22"/>
        </w:rPr>
        <w:t xml:space="preserve"> selection of </w:t>
      </w:r>
      <w:r w:rsidR="00024841">
        <w:rPr>
          <w:rFonts w:asciiTheme="minorHAnsi" w:hAnsiTheme="minorHAnsi"/>
          <w:sz w:val="22"/>
        </w:rPr>
        <w:t>particular</w:t>
      </w:r>
      <w:r>
        <w:rPr>
          <w:rFonts w:asciiTheme="minorHAnsi" w:hAnsiTheme="minorHAnsi"/>
          <w:sz w:val="22"/>
        </w:rPr>
        <w:t xml:space="preserve"> start and finish years. </w:t>
      </w:r>
      <w:r w:rsidR="00003FCE">
        <w:rPr>
          <w:rFonts w:asciiTheme="minorHAnsi" w:hAnsiTheme="minorHAnsi"/>
          <w:sz w:val="22"/>
        </w:rPr>
        <w:t xml:space="preserve"> </w:t>
      </w:r>
    </w:p>
    <w:p w14:paraId="4EBCF8FA" w14:textId="77777777" w:rsidR="00233420" w:rsidRDefault="00233420" w:rsidP="00003FCE">
      <w:pPr>
        <w:pStyle w:val="BodyText1"/>
        <w:rPr>
          <w:rFonts w:asciiTheme="minorHAnsi" w:hAnsiTheme="minorHAnsi"/>
          <w:sz w:val="22"/>
        </w:rPr>
      </w:pPr>
    </w:p>
    <w:p w14:paraId="42A868F6" w14:textId="69035B3C" w:rsidR="00233420" w:rsidRDefault="00233420" w:rsidP="00233420">
      <w:pPr>
        <w:pStyle w:val="BodyText1"/>
        <w:rPr>
          <w:rFonts w:asciiTheme="minorHAnsi" w:hAnsiTheme="minorHAnsi"/>
          <w:sz w:val="22"/>
        </w:rPr>
      </w:pPr>
      <w:r w:rsidRPr="001145D8">
        <w:rPr>
          <w:rFonts w:asciiTheme="minorHAnsi" w:hAnsiTheme="minorHAnsi"/>
          <w:sz w:val="22"/>
          <w:highlight w:val="yellow"/>
        </w:rPr>
        <w:t>To identify the nations and time periods with the greatest change in life expectancy trends</w:t>
      </w:r>
      <w:r w:rsidR="00872351" w:rsidRPr="001145D8">
        <w:rPr>
          <w:rFonts w:asciiTheme="minorHAnsi" w:hAnsiTheme="minorHAnsi"/>
          <w:sz w:val="22"/>
          <w:highlight w:val="yellow"/>
        </w:rPr>
        <w:t xml:space="preserve"> over the last three decades</w:t>
      </w:r>
      <w:r w:rsidRPr="001145D8">
        <w:rPr>
          <w:rFonts w:asciiTheme="minorHAnsi" w:hAnsiTheme="minorHAnsi"/>
          <w:sz w:val="22"/>
          <w:highlight w:val="yellow"/>
        </w:rPr>
        <w:t xml:space="preserve">, the mean annual changes in life expectancy (in weeks) for </w:t>
      </w:r>
      <w:r w:rsidR="000C6E95" w:rsidRPr="001145D8">
        <w:rPr>
          <w:rFonts w:asciiTheme="minorHAnsi" w:hAnsiTheme="minorHAnsi"/>
          <w:sz w:val="22"/>
          <w:highlight w:val="yellow"/>
        </w:rPr>
        <w:t xml:space="preserve">all </w:t>
      </w:r>
      <w:r w:rsidR="00305888" w:rsidRPr="001145D8">
        <w:rPr>
          <w:rFonts w:asciiTheme="minorHAnsi" w:hAnsiTheme="minorHAnsi"/>
          <w:sz w:val="22"/>
          <w:highlight w:val="yellow"/>
        </w:rPr>
        <w:t xml:space="preserve">24 </w:t>
      </w:r>
      <w:r w:rsidR="00CA1891" w:rsidRPr="001145D8">
        <w:rPr>
          <w:rFonts w:asciiTheme="minorHAnsi" w:hAnsiTheme="minorHAnsi"/>
          <w:sz w:val="22"/>
          <w:highlight w:val="yellow"/>
        </w:rPr>
        <w:t>high-income</w:t>
      </w:r>
      <w:r w:rsidRPr="001145D8">
        <w:rPr>
          <w:rFonts w:asciiTheme="minorHAnsi" w:hAnsiTheme="minorHAnsi"/>
          <w:sz w:val="22"/>
          <w:highlight w:val="yellow"/>
        </w:rPr>
        <w:t xml:space="preserve"> countries </w:t>
      </w:r>
      <w:r w:rsidR="00576668" w:rsidRPr="001145D8">
        <w:rPr>
          <w:rFonts w:asciiTheme="minorHAnsi" w:hAnsiTheme="minorHAnsi"/>
          <w:sz w:val="22"/>
          <w:highlight w:val="yellow"/>
        </w:rPr>
        <w:t>with</w:t>
      </w:r>
      <w:r w:rsidR="00CA1891" w:rsidRPr="001145D8">
        <w:rPr>
          <w:rFonts w:asciiTheme="minorHAnsi" w:hAnsiTheme="minorHAnsi"/>
          <w:sz w:val="22"/>
          <w:highlight w:val="yellow"/>
        </w:rPr>
        <w:t xml:space="preserve"> HMD data available</w:t>
      </w:r>
      <w:r w:rsidR="000C6E95" w:rsidRPr="001145D8">
        <w:rPr>
          <w:rFonts w:asciiTheme="minorHAnsi" w:hAnsiTheme="minorHAnsi"/>
          <w:sz w:val="22"/>
          <w:highlight w:val="yellow"/>
        </w:rPr>
        <w:t xml:space="preserve"> </w:t>
      </w:r>
      <w:r w:rsidR="00576668" w:rsidRPr="001145D8">
        <w:rPr>
          <w:rFonts w:asciiTheme="minorHAnsi" w:hAnsiTheme="minorHAnsi"/>
          <w:sz w:val="22"/>
          <w:highlight w:val="yellow"/>
        </w:rPr>
        <w:t xml:space="preserve">to 2016 </w:t>
      </w:r>
      <w:r w:rsidRPr="001145D8">
        <w:rPr>
          <w:rFonts w:asciiTheme="minorHAnsi" w:hAnsiTheme="minorHAnsi"/>
          <w:sz w:val="22"/>
          <w:highlight w:val="yellow"/>
        </w:rPr>
        <w:t xml:space="preserve">are shown in Figures 2 and 3 for females and males respectively. </w:t>
      </w:r>
      <w:r w:rsidR="00CA1891" w:rsidRPr="001145D8">
        <w:rPr>
          <w:rFonts w:asciiTheme="minorHAnsi" w:hAnsiTheme="minorHAnsi"/>
          <w:sz w:val="22"/>
          <w:highlight w:val="yellow"/>
        </w:rPr>
        <w:t>Nearly all</w:t>
      </w:r>
      <w:r w:rsidRPr="001145D8">
        <w:rPr>
          <w:rFonts w:asciiTheme="minorHAnsi" w:hAnsiTheme="minorHAnsi"/>
          <w:sz w:val="22"/>
          <w:highlight w:val="yellow"/>
        </w:rPr>
        <w:t xml:space="preserve"> countries saw</w:t>
      </w:r>
      <w:r w:rsidR="00576668" w:rsidRPr="001145D8">
        <w:rPr>
          <w:rFonts w:asciiTheme="minorHAnsi" w:hAnsiTheme="minorHAnsi"/>
          <w:sz w:val="22"/>
          <w:highlight w:val="yellow"/>
        </w:rPr>
        <w:t xml:space="preserve"> mean</w:t>
      </w:r>
      <w:r w:rsidRPr="001145D8">
        <w:rPr>
          <w:rFonts w:asciiTheme="minorHAnsi" w:hAnsiTheme="minorHAnsi"/>
          <w:sz w:val="22"/>
          <w:highlight w:val="yellow"/>
        </w:rPr>
        <w:t xml:space="preserve"> increases in life expectancy </w:t>
      </w:r>
      <w:r w:rsidR="00CA1891" w:rsidRPr="001145D8">
        <w:rPr>
          <w:rFonts w:asciiTheme="minorHAnsi" w:hAnsiTheme="minorHAnsi"/>
          <w:sz w:val="22"/>
          <w:highlight w:val="yellow"/>
        </w:rPr>
        <w:t>across</w:t>
      </w:r>
      <w:r w:rsidR="00576668" w:rsidRPr="001145D8">
        <w:rPr>
          <w:rFonts w:asciiTheme="minorHAnsi" w:hAnsiTheme="minorHAnsi"/>
          <w:sz w:val="22"/>
          <w:highlight w:val="yellow"/>
        </w:rPr>
        <w:t xml:space="preserve"> all</w:t>
      </w:r>
      <w:r w:rsidR="00E24C80" w:rsidRPr="001145D8">
        <w:rPr>
          <w:rFonts w:asciiTheme="minorHAnsi" w:hAnsiTheme="minorHAnsi"/>
          <w:sz w:val="22"/>
          <w:highlight w:val="yellow"/>
        </w:rPr>
        <w:t xml:space="preserve"> five-</w:t>
      </w:r>
      <w:r w:rsidRPr="001145D8">
        <w:rPr>
          <w:rFonts w:asciiTheme="minorHAnsi" w:hAnsiTheme="minorHAnsi"/>
          <w:sz w:val="22"/>
          <w:highlight w:val="yellow"/>
        </w:rPr>
        <w:t>year time periods</w:t>
      </w:r>
      <w:r w:rsidR="00576668" w:rsidRPr="001145D8">
        <w:rPr>
          <w:rFonts w:asciiTheme="minorHAnsi" w:hAnsiTheme="minorHAnsi"/>
          <w:sz w:val="22"/>
          <w:highlight w:val="yellow"/>
        </w:rPr>
        <w:t>,</w:t>
      </w:r>
      <w:r w:rsidRPr="001145D8">
        <w:rPr>
          <w:rFonts w:asciiTheme="minorHAnsi" w:hAnsiTheme="minorHAnsi"/>
          <w:sz w:val="22"/>
          <w:highlight w:val="yellow"/>
        </w:rPr>
        <w:t xml:space="preserve"> with the exception</w:t>
      </w:r>
      <w:r w:rsidR="00CA1891" w:rsidRPr="001145D8">
        <w:rPr>
          <w:rFonts w:asciiTheme="minorHAnsi" w:hAnsiTheme="minorHAnsi"/>
          <w:sz w:val="22"/>
          <w:highlight w:val="yellow"/>
        </w:rPr>
        <w:t>s among females</w:t>
      </w:r>
      <w:r w:rsidRPr="001145D8">
        <w:rPr>
          <w:rFonts w:asciiTheme="minorHAnsi" w:hAnsiTheme="minorHAnsi"/>
          <w:sz w:val="22"/>
          <w:highlight w:val="yellow"/>
        </w:rPr>
        <w:t xml:space="preserve"> </w:t>
      </w:r>
      <w:r w:rsidR="00305888" w:rsidRPr="001145D8">
        <w:rPr>
          <w:rFonts w:asciiTheme="minorHAnsi" w:hAnsiTheme="minorHAnsi"/>
          <w:sz w:val="22"/>
          <w:highlight w:val="yellow"/>
        </w:rPr>
        <w:t>being:</w:t>
      </w:r>
      <w:r w:rsidRPr="001145D8">
        <w:rPr>
          <w:rFonts w:asciiTheme="minorHAnsi" w:hAnsiTheme="minorHAnsi"/>
          <w:sz w:val="22"/>
          <w:highlight w:val="yellow"/>
        </w:rPr>
        <w:t xml:space="preserve"> </w:t>
      </w:r>
      <w:r w:rsidR="00CA1891" w:rsidRPr="001145D8">
        <w:rPr>
          <w:rFonts w:asciiTheme="minorHAnsi" w:hAnsiTheme="minorHAnsi"/>
          <w:sz w:val="22"/>
          <w:highlight w:val="yellow"/>
        </w:rPr>
        <w:t>Northern Ireland</w:t>
      </w:r>
      <w:r w:rsidRPr="001145D8">
        <w:rPr>
          <w:rFonts w:asciiTheme="minorHAnsi" w:hAnsiTheme="minorHAnsi"/>
          <w:sz w:val="22"/>
          <w:highlight w:val="yellow"/>
        </w:rPr>
        <w:t xml:space="preserve"> (</w:t>
      </w:r>
      <w:r w:rsidR="00CA1891" w:rsidRPr="001145D8">
        <w:rPr>
          <w:rFonts w:asciiTheme="minorHAnsi" w:hAnsiTheme="minorHAnsi"/>
          <w:sz w:val="22"/>
          <w:highlight w:val="yellow"/>
        </w:rPr>
        <w:t>2012-2016), Iceland (1997-2001) Latvia (1992-1996), and Lithuania (2002-2006), and among males: Iceland and USA (2012-2016), Latvia (1992-1996) and Lithuania (1992-1996 and 2002-2006).</w:t>
      </w:r>
      <w:r>
        <w:rPr>
          <w:rFonts w:asciiTheme="minorHAnsi" w:hAnsiTheme="minorHAnsi"/>
          <w:sz w:val="22"/>
        </w:rPr>
        <w:t xml:space="preserve"> </w:t>
      </w:r>
    </w:p>
    <w:p w14:paraId="51CF6C8C" w14:textId="77777777" w:rsidR="00233420" w:rsidRDefault="00233420" w:rsidP="00233420">
      <w:pPr>
        <w:pStyle w:val="BodyText1"/>
        <w:rPr>
          <w:rFonts w:asciiTheme="minorHAnsi" w:hAnsiTheme="minorHAnsi"/>
          <w:sz w:val="22"/>
        </w:rPr>
      </w:pPr>
    </w:p>
    <w:p w14:paraId="293E5B72" w14:textId="29E0A87D" w:rsidR="00CA1891" w:rsidRPr="001145D8" w:rsidRDefault="00233420" w:rsidP="00233420">
      <w:pPr>
        <w:pStyle w:val="BodyText1"/>
        <w:rPr>
          <w:rFonts w:asciiTheme="minorHAnsi" w:hAnsiTheme="minorHAnsi"/>
          <w:sz w:val="22"/>
          <w:highlight w:val="yellow"/>
        </w:rPr>
      </w:pPr>
      <w:r w:rsidRPr="001145D8">
        <w:rPr>
          <w:rFonts w:asciiTheme="minorHAnsi" w:hAnsiTheme="minorHAnsi"/>
          <w:sz w:val="22"/>
          <w:highlight w:val="yellow"/>
        </w:rPr>
        <w:t xml:space="preserve">For women, the </w:t>
      </w:r>
      <w:r w:rsidR="00CA1891" w:rsidRPr="001145D8">
        <w:rPr>
          <w:rFonts w:asciiTheme="minorHAnsi" w:hAnsiTheme="minorHAnsi"/>
          <w:sz w:val="22"/>
          <w:highlight w:val="yellow"/>
        </w:rPr>
        <w:t>range of mean life expectancy change in 2012-2016 was -1.3 to 14.5 weeks/year. Nine countries saw mean gains of less than five weeks/year: Northern Ireland (-1.2</w:t>
      </w:r>
      <w:r w:rsidR="00CA1891" w:rsidRPr="001145D8">
        <w:rPr>
          <w:highlight w:val="yellow"/>
        </w:rPr>
        <w:t xml:space="preserve"> </w:t>
      </w:r>
      <w:r w:rsidR="00CA1891" w:rsidRPr="001145D8">
        <w:rPr>
          <w:rFonts w:asciiTheme="minorHAnsi" w:hAnsiTheme="minorHAnsi"/>
          <w:sz w:val="22"/>
          <w:highlight w:val="yellow"/>
        </w:rPr>
        <w:t>weeks/year), Iceland (0.1</w:t>
      </w:r>
      <w:r w:rsidR="00CA1891" w:rsidRPr="001145D8">
        <w:rPr>
          <w:highlight w:val="yellow"/>
        </w:rPr>
        <w:t xml:space="preserve"> </w:t>
      </w:r>
      <w:r w:rsidR="00CA1891" w:rsidRPr="001145D8">
        <w:rPr>
          <w:rFonts w:asciiTheme="minorHAnsi" w:hAnsiTheme="minorHAnsi"/>
          <w:sz w:val="22"/>
          <w:highlight w:val="yellow"/>
        </w:rPr>
        <w:t>weeks/year), England &amp; Wales (1.1 weeks/year), USA (1.9 weeks/year), Scotland (2.5 weeks/year), the Netherlands (2.7 weeks/year), France (3.4 weeks/year) and Sweden (4.4 weeks/year), and Germany (4.6 weeks/year). Seven countries had mean gains of 10 weeks per year or more: Poland (10.0 weeks/year), Denmark (10.0 weeks/year), Croatia (10.0 weeks/year), Czech Republic (10.5 weeks/year), Hungary (11.1 weeks/year), Japan (13.3 weeks/year) and Korea (14.5 weeks/year). Life expectancy gain was smaller in 2012-2016 than the preceding 5 years for all countries except the Czech Republic, Hungary and Japan</w:t>
      </w:r>
      <w:r w:rsidR="00305888" w:rsidRPr="001145D8">
        <w:rPr>
          <w:rFonts w:asciiTheme="minorHAnsi" w:hAnsiTheme="minorHAnsi"/>
          <w:sz w:val="22"/>
          <w:highlight w:val="yellow"/>
        </w:rPr>
        <w:t xml:space="preserve"> (Figure 2)</w:t>
      </w:r>
      <w:r w:rsidR="00CA1891" w:rsidRPr="001145D8">
        <w:rPr>
          <w:rFonts w:asciiTheme="minorHAnsi" w:hAnsiTheme="minorHAnsi"/>
          <w:sz w:val="22"/>
          <w:highlight w:val="yellow"/>
        </w:rPr>
        <w:t xml:space="preserve">. </w:t>
      </w:r>
    </w:p>
    <w:p w14:paraId="71B78FB6" w14:textId="4FCB66BE" w:rsidR="00233420" w:rsidRPr="001145D8" w:rsidRDefault="00233420" w:rsidP="00233420">
      <w:pPr>
        <w:pStyle w:val="BodyText1"/>
        <w:rPr>
          <w:rFonts w:asciiTheme="minorHAnsi" w:hAnsiTheme="minorHAnsi"/>
          <w:sz w:val="22"/>
          <w:highlight w:val="yellow"/>
        </w:rPr>
      </w:pPr>
    </w:p>
    <w:p w14:paraId="028275A7" w14:textId="1FC641E5" w:rsidR="00CA1891" w:rsidRDefault="00233420" w:rsidP="00003FCE">
      <w:pPr>
        <w:pStyle w:val="BodyText1"/>
        <w:rPr>
          <w:rFonts w:asciiTheme="minorHAnsi" w:hAnsiTheme="minorHAnsi"/>
          <w:sz w:val="22"/>
        </w:rPr>
      </w:pPr>
      <w:r w:rsidRPr="001145D8">
        <w:rPr>
          <w:rFonts w:asciiTheme="minorHAnsi" w:hAnsiTheme="minorHAnsi"/>
          <w:sz w:val="22"/>
          <w:highlight w:val="yellow"/>
        </w:rPr>
        <w:t xml:space="preserve">Amongst men, </w:t>
      </w:r>
      <w:r w:rsidR="00CA1891" w:rsidRPr="001145D8">
        <w:rPr>
          <w:rFonts w:asciiTheme="minorHAnsi" w:hAnsiTheme="minorHAnsi"/>
          <w:sz w:val="22"/>
          <w:highlight w:val="yellow"/>
        </w:rPr>
        <w:t>the range of mean life expectancy change in 2012-2016 was -1.7 to 20.6</w:t>
      </w:r>
      <w:r w:rsidR="00305888" w:rsidRPr="001145D8">
        <w:rPr>
          <w:rFonts w:asciiTheme="minorHAnsi" w:hAnsiTheme="minorHAnsi"/>
          <w:sz w:val="22"/>
          <w:highlight w:val="yellow"/>
        </w:rPr>
        <w:t xml:space="preserve"> w</w:t>
      </w:r>
      <w:r w:rsidR="00CA1891" w:rsidRPr="001145D8">
        <w:rPr>
          <w:rFonts w:asciiTheme="minorHAnsi" w:hAnsiTheme="minorHAnsi"/>
          <w:sz w:val="22"/>
          <w:highlight w:val="yellow"/>
        </w:rPr>
        <w:t xml:space="preserve">eeks/year. Four countries had mean gains of less than five weeks/year: Iceland (-1.7 </w:t>
      </w:r>
      <w:r w:rsidR="00305888" w:rsidRPr="001145D8">
        <w:rPr>
          <w:rFonts w:asciiTheme="minorHAnsi" w:hAnsiTheme="minorHAnsi"/>
          <w:sz w:val="22"/>
          <w:highlight w:val="yellow"/>
        </w:rPr>
        <w:t>w</w:t>
      </w:r>
      <w:r w:rsidR="00CA1891" w:rsidRPr="001145D8">
        <w:rPr>
          <w:rFonts w:asciiTheme="minorHAnsi" w:hAnsiTheme="minorHAnsi"/>
          <w:sz w:val="22"/>
          <w:highlight w:val="yellow"/>
        </w:rPr>
        <w:t xml:space="preserve">eeks/year), </w:t>
      </w:r>
      <w:r w:rsidRPr="001145D8">
        <w:rPr>
          <w:rFonts w:asciiTheme="minorHAnsi" w:hAnsiTheme="minorHAnsi"/>
          <w:sz w:val="22"/>
          <w:highlight w:val="yellow"/>
        </w:rPr>
        <w:t>USA</w:t>
      </w:r>
      <w:r w:rsidR="00EB028A" w:rsidRPr="001145D8">
        <w:rPr>
          <w:rFonts w:asciiTheme="minorHAnsi" w:hAnsiTheme="minorHAnsi"/>
          <w:sz w:val="22"/>
          <w:highlight w:val="yellow"/>
        </w:rPr>
        <w:t xml:space="preserve"> (-0.4 weeks/year)</w:t>
      </w:r>
      <w:r w:rsidRPr="001145D8">
        <w:rPr>
          <w:rFonts w:asciiTheme="minorHAnsi" w:hAnsiTheme="minorHAnsi"/>
          <w:sz w:val="22"/>
          <w:highlight w:val="yellow"/>
        </w:rPr>
        <w:t>, England &amp; Wales</w:t>
      </w:r>
      <w:r w:rsidR="00EB028A" w:rsidRPr="001145D8">
        <w:rPr>
          <w:rFonts w:asciiTheme="minorHAnsi" w:hAnsiTheme="minorHAnsi"/>
          <w:sz w:val="22"/>
          <w:highlight w:val="yellow"/>
        </w:rPr>
        <w:t xml:space="preserve"> (4.0 weeks/year)</w:t>
      </w:r>
      <w:r w:rsidRPr="001145D8">
        <w:rPr>
          <w:rFonts w:asciiTheme="minorHAnsi" w:hAnsiTheme="minorHAnsi"/>
          <w:sz w:val="22"/>
          <w:highlight w:val="yellow"/>
        </w:rPr>
        <w:t>,</w:t>
      </w:r>
      <w:r w:rsidR="00CA1891" w:rsidRPr="001145D8">
        <w:rPr>
          <w:rFonts w:asciiTheme="minorHAnsi" w:hAnsiTheme="minorHAnsi"/>
          <w:sz w:val="22"/>
          <w:highlight w:val="yellow"/>
        </w:rPr>
        <w:t xml:space="preserve"> and</w:t>
      </w:r>
      <w:r w:rsidRPr="001145D8">
        <w:rPr>
          <w:rFonts w:asciiTheme="minorHAnsi" w:hAnsiTheme="minorHAnsi"/>
          <w:sz w:val="22"/>
          <w:highlight w:val="yellow"/>
        </w:rPr>
        <w:t xml:space="preserve"> Scotland</w:t>
      </w:r>
      <w:r w:rsidR="00EB028A" w:rsidRPr="001145D8">
        <w:rPr>
          <w:rFonts w:asciiTheme="minorHAnsi" w:hAnsiTheme="minorHAnsi"/>
          <w:sz w:val="22"/>
          <w:highlight w:val="yellow"/>
        </w:rPr>
        <w:t xml:space="preserve"> (4.5 weeks/year)</w:t>
      </w:r>
      <w:r w:rsidR="00CA1891" w:rsidRPr="001145D8">
        <w:rPr>
          <w:rFonts w:asciiTheme="minorHAnsi" w:hAnsiTheme="minorHAnsi"/>
          <w:sz w:val="22"/>
          <w:highlight w:val="yellow"/>
        </w:rPr>
        <w:t>. Fourteen countries had gains of 10 weeks/year or more: Spain (10.5 weeks/year),</w:t>
      </w:r>
      <w:r w:rsidRPr="001145D8">
        <w:rPr>
          <w:rFonts w:asciiTheme="minorHAnsi" w:hAnsiTheme="minorHAnsi"/>
          <w:sz w:val="22"/>
          <w:highlight w:val="yellow"/>
        </w:rPr>
        <w:t xml:space="preserve"> </w:t>
      </w:r>
      <w:r w:rsidR="00CA1891" w:rsidRPr="001145D8">
        <w:rPr>
          <w:rFonts w:asciiTheme="minorHAnsi" w:hAnsiTheme="minorHAnsi"/>
          <w:sz w:val="22"/>
          <w:highlight w:val="yellow"/>
        </w:rPr>
        <w:t>Austria (11.1 weeks/year), Croatia (11.9 weeks/year), Switzerland (12.9 weeks/year) Latvia (12.9 weeks/year), Denmark (13.0 weeks/year), Poland (13.7 weeks/year),</w:t>
      </w:r>
      <w:r w:rsidR="00CA1891" w:rsidRPr="001145D8">
        <w:rPr>
          <w:highlight w:val="yellow"/>
        </w:rPr>
        <w:t xml:space="preserve"> </w:t>
      </w:r>
      <w:r w:rsidR="00CA1891" w:rsidRPr="001145D8">
        <w:rPr>
          <w:rFonts w:asciiTheme="minorHAnsi" w:hAnsiTheme="minorHAnsi"/>
          <w:sz w:val="22"/>
          <w:highlight w:val="yellow"/>
        </w:rPr>
        <w:t>Czech Republic (13.8 weeks/year), Hungary (14.7 weeks/year), Lithuania (14.9 weeks/year), Slovakia (15.5 weeks/year), Japan (16.1 weeks/year), Estonia (19.7 weeks/year) and Korea (20.6 weeks/year). The</w:t>
      </w:r>
      <w:r w:rsidRPr="001145D8">
        <w:rPr>
          <w:rFonts w:asciiTheme="minorHAnsi" w:hAnsiTheme="minorHAnsi"/>
          <w:sz w:val="22"/>
          <w:highlight w:val="yellow"/>
        </w:rPr>
        <w:t xml:space="preserve"> increases for the </w:t>
      </w:r>
      <w:r w:rsidR="00305888" w:rsidRPr="001145D8">
        <w:rPr>
          <w:rFonts w:asciiTheme="minorHAnsi" w:hAnsiTheme="minorHAnsi"/>
          <w:sz w:val="22"/>
          <w:highlight w:val="yellow"/>
        </w:rPr>
        <w:t>2012-2016</w:t>
      </w:r>
      <w:r w:rsidRPr="001145D8">
        <w:rPr>
          <w:rFonts w:asciiTheme="minorHAnsi" w:hAnsiTheme="minorHAnsi"/>
          <w:sz w:val="22"/>
          <w:highlight w:val="yellow"/>
        </w:rPr>
        <w:t xml:space="preserve"> were smaller than </w:t>
      </w:r>
      <w:r w:rsidR="00305888" w:rsidRPr="001145D8">
        <w:rPr>
          <w:rFonts w:asciiTheme="minorHAnsi" w:hAnsiTheme="minorHAnsi"/>
          <w:sz w:val="22"/>
          <w:highlight w:val="yellow"/>
        </w:rPr>
        <w:t>in</w:t>
      </w:r>
      <w:r w:rsidRPr="001145D8">
        <w:rPr>
          <w:rFonts w:asciiTheme="minorHAnsi" w:hAnsiTheme="minorHAnsi"/>
          <w:sz w:val="22"/>
          <w:highlight w:val="yellow"/>
        </w:rPr>
        <w:t xml:space="preserve"> </w:t>
      </w:r>
      <w:r w:rsidR="00CA1891" w:rsidRPr="001145D8">
        <w:rPr>
          <w:rFonts w:asciiTheme="minorHAnsi" w:hAnsiTheme="minorHAnsi"/>
          <w:sz w:val="22"/>
          <w:highlight w:val="yellow"/>
        </w:rPr>
        <w:t>2007</w:t>
      </w:r>
      <w:r w:rsidR="00305888" w:rsidRPr="001145D8">
        <w:rPr>
          <w:rFonts w:asciiTheme="minorHAnsi" w:hAnsiTheme="minorHAnsi"/>
          <w:sz w:val="22"/>
          <w:highlight w:val="yellow"/>
        </w:rPr>
        <w:t>-</w:t>
      </w:r>
      <w:r w:rsidRPr="001145D8">
        <w:rPr>
          <w:rFonts w:asciiTheme="minorHAnsi" w:hAnsiTheme="minorHAnsi"/>
          <w:sz w:val="22"/>
          <w:highlight w:val="yellow"/>
        </w:rPr>
        <w:t xml:space="preserve">2011 for all countries except Japan and </w:t>
      </w:r>
      <w:r w:rsidR="00CA1891" w:rsidRPr="001145D8">
        <w:rPr>
          <w:rFonts w:asciiTheme="minorHAnsi" w:hAnsiTheme="minorHAnsi"/>
          <w:sz w:val="22"/>
          <w:highlight w:val="yellow"/>
        </w:rPr>
        <w:t>Korea</w:t>
      </w:r>
      <w:r w:rsidR="00305888" w:rsidRPr="001145D8">
        <w:rPr>
          <w:rFonts w:asciiTheme="minorHAnsi" w:hAnsiTheme="minorHAnsi"/>
          <w:sz w:val="22"/>
          <w:highlight w:val="yellow"/>
        </w:rPr>
        <w:t xml:space="preserve"> (Figure 3)</w:t>
      </w:r>
      <w:r w:rsidR="00CA1891" w:rsidRPr="001145D8">
        <w:rPr>
          <w:rFonts w:asciiTheme="minorHAnsi" w:hAnsiTheme="minorHAnsi"/>
          <w:sz w:val="22"/>
          <w:highlight w:val="yellow"/>
        </w:rPr>
        <w:t>.</w:t>
      </w:r>
      <w:r w:rsidR="00CA1891">
        <w:rPr>
          <w:rFonts w:asciiTheme="minorHAnsi" w:hAnsiTheme="minorHAnsi"/>
          <w:sz w:val="22"/>
        </w:rPr>
        <w:t xml:space="preserve"> </w:t>
      </w:r>
    </w:p>
    <w:p w14:paraId="4DACACFC" w14:textId="77777777" w:rsidR="00CA1891" w:rsidRDefault="00CA1891" w:rsidP="00003FCE">
      <w:pPr>
        <w:pStyle w:val="BodyText1"/>
        <w:rPr>
          <w:rFonts w:asciiTheme="minorHAnsi" w:hAnsiTheme="minorHAnsi"/>
          <w:sz w:val="22"/>
        </w:rPr>
      </w:pPr>
    </w:p>
    <w:p w14:paraId="463677CF" w14:textId="29E34A0E" w:rsidR="00CA1891" w:rsidRDefault="00CA1891" w:rsidP="00003FCE">
      <w:pPr>
        <w:pStyle w:val="BodyText1"/>
        <w:rPr>
          <w:rFonts w:asciiTheme="minorHAnsi" w:hAnsiTheme="minorHAnsi"/>
          <w:sz w:val="22"/>
        </w:rPr>
      </w:pPr>
      <w:commentRangeStart w:id="6"/>
      <w:r>
        <w:rPr>
          <w:rFonts w:asciiTheme="minorHAnsi" w:hAnsiTheme="minorHAnsi"/>
          <w:sz w:val="22"/>
        </w:rPr>
        <w:t>The distribution of life expectancy gain in the most recent period does not appear to be explained by the level of life expectancy attained by the start of that period. A linear model fitted to the association between mean life expectancy gain 2012-2016 and life expectancy 2011 (see appendix figure 2) finds an R-squared of 0.2</w:t>
      </w:r>
      <w:r w:rsidR="007C6298">
        <w:rPr>
          <w:rFonts w:asciiTheme="minorHAnsi" w:hAnsiTheme="minorHAnsi"/>
          <w:sz w:val="22"/>
        </w:rPr>
        <w:t>3</w:t>
      </w:r>
      <w:r>
        <w:rPr>
          <w:rFonts w:asciiTheme="minorHAnsi" w:hAnsiTheme="minorHAnsi"/>
          <w:sz w:val="22"/>
        </w:rPr>
        <w:t xml:space="preserve"> for males, and 0.048 for females. To the extent to which a relationship does exist, Scotland sits well below this line, indicating that recent life expectancy gains are much smaller than might be expected for the current level of life expectancy. </w:t>
      </w:r>
      <w:commentRangeEnd w:id="6"/>
      <w:r>
        <w:rPr>
          <w:rStyle w:val="CommentReference"/>
          <w:rFonts w:eastAsia="Calibri" w:cs="Times New Roman"/>
          <w:lang w:eastAsia="en-US"/>
        </w:rPr>
        <w:commentReference w:id="6"/>
      </w:r>
    </w:p>
    <w:p w14:paraId="287C83D7" w14:textId="61FBC0CA" w:rsidR="000C6E95" w:rsidRDefault="000C6E95" w:rsidP="00003FCE">
      <w:pPr>
        <w:pStyle w:val="BodyText1"/>
        <w:rPr>
          <w:rFonts w:asciiTheme="minorHAnsi" w:hAnsiTheme="minorHAnsi"/>
          <w:sz w:val="22"/>
        </w:rPr>
      </w:pPr>
    </w:p>
    <w:p w14:paraId="4CDDA142" w14:textId="77777777" w:rsidR="000C6E95" w:rsidRPr="00003FCE" w:rsidRDefault="000C6E95" w:rsidP="00003FCE">
      <w:pPr>
        <w:pStyle w:val="BodyText1"/>
        <w:rPr>
          <w:rFonts w:asciiTheme="minorHAnsi" w:hAnsiTheme="minorHAnsi"/>
          <w:sz w:val="22"/>
        </w:rPr>
        <w:sectPr w:rsidR="000C6E95" w:rsidRPr="00003FCE" w:rsidSect="008808AC">
          <w:headerReference w:type="default" r:id="rId15"/>
          <w:footerReference w:type="default" r:id="rId16"/>
          <w:footnotePr>
            <w:numFmt w:val="lowerLetter"/>
          </w:footnotePr>
          <w:endnotePr>
            <w:numFmt w:val="decimal"/>
          </w:endnotePr>
          <w:pgSz w:w="11906" w:h="16838"/>
          <w:pgMar w:top="1440" w:right="1800" w:bottom="1440" w:left="1800" w:header="708" w:footer="708" w:gutter="0"/>
          <w:cols w:space="708"/>
          <w:docGrid w:linePitch="360"/>
        </w:sectPr>
      </w:pPr>
    </w:p>
    <w:p w14:paraId="7B71713C" w14:textId="6B863A3C" w:rsidR="000D6AA2" w:rsidRPr="00615136" w:rsidRDefault="00233420" w:rsidP="00615136">
      <w:pPr>
        <w:spacing w:after="0" w:line="240" w:lineRule="auto"/>
        <w:rPr>
          <w:rFonts w:asciiTheme="minorHAnsi" w:eastAsiaTheme="minorHAnsi" w:hAnsiTheme="minorHAnsi" w:cs="Arial"/>
          <w:b/>
          <w:sz w:val="22"/>
          <w:szCs w:val="24"/>
          <w:lang w:eastAsia="en-GB"/>
        </w:rPr>
      </w:pPr>
      <w:r>
        <w:rPr>
          <w:rFonts w:asciiTheme="minorHAnsi" w:hAnsiTheme="minorHAnsi"/>
          <w:b/>
          <w:sz w:val="22"/>
        </w:rPr>
        <w:t>Figure 1</w:t>
      </w:r>
      <w:r w:rsidR="00615136" w:rsidRPr="00615136">
        <w:rPr>
          <w:rFonts w:asciiTheme="minorHAnsi" w:hAnsiTheme="minorHAnsi"/>
          <w:b/>
          <w:sz w:val="22"/>
        </w:rPr>
        <w:t xml:space="preserve"> – Mean annual change in period life expectancy at birth (weeks) for </w:t>
      </w:r>
      <w:r w:rsidR="00046C73">
        <w:rPr>
          <w:rFonts w:asciiTheme="minorHAnsi" w:hAnsiTheme="minorHAnsi"/>
          <w:b/>
          <w:sz w:val="22"/>
        </w:rPr>
        <w:t>five-</w:t>
      </w:r>
      <w:r w:rsidR="00615136" w:rsidRPr="00615136">
        <w:rPr>
          <w:rFonts w:asciiTheme="minorHAnsi" w:hAnsiTheme="minorHAnsi"/>
          <w:b/>
          <w:sz w:val="22"/>
        </w:rPr>
        <w:t>year periods,</w:t>
      </w:r>
      <w:r w:rsidR="00615136">
        <w:rPr>
          <w:rFonts w:asciiTheme="minorHAnsi" w:hAnsiTheme="minorHAnsi"/>
          <w:b/>
          <w:sz w:val="22"/>
        </w:rPr>
        <w:t xml:space="preserve"> men and women, Scotland</w:t>
      </w:r>
      <w:r w:rsidR="000B77D5">
        <w:rPr>
          <w:rFonts w:asciiTheme="minorHAnsi" w:hAnsiTheme="minorHAnsi"/>
          <w:b/>
          <w:sz w:val="22"/>
        </w:rPr>
        <w:t xml:space="preserve"> (civilian population)</w:t>
      </w:r>
      <w:r w:rsidR="00615136">
        <w:rPr>
          <w:rFonts w:asciiTheme="minorHAnsi" w:hAnsiTheme="minorHAnsi"/>
          <w:b/>
          <w:sz w:val="22"/>
        </w:rPr>
        <w:t>,</w:t>
      </w:r>
      <w:r w:rsidR="00615136" w:rsidRPr="00615136">
        <w:rPr>
          <w:rFonts w:asciiTheme="minorHAnsi" w:hAnsiTheme="minorHAnsi"/>
          <w:b/>
          <w:sz w:val="22"/>
        </w:rPr>
        <w:t xml:space="preserve"> 1857-2016</w:t>
      </w:r>
    </w:p>
    <w:p w14:paraId="4A120800" w14:textId="77777777" w:rsidR="00615136" w:rsidRDefault="000D6AA2" w:rsidP="000D6AA2">
      <w:pPr>
        <w:pStyle w:val="BodyText1"/>
        <w:rPr>
          <w:rFonts w:asciiTheme="minorHAnsi" w:hAnsiTheme="minorHAnsi"/>
          <w:sz w:val="22"/>
        </w:rPr>
        <w:sectPr w:rsidR="00615136" w:rsidSect="00615136">
          <w:endnotePr>
            <w:numFmt w:val="decimal"/>
          </w:endnotePr>
          <w:pgSz w:w="16838" w:h="11906" w:orient="landscape"/>
          <w:pgMar w:top="1800" w:right="1440" w:bottom="1800" w:left="1440" w:header="708" w:footer="708" w:gutter="0"/>
          <w:cols w:space="708"/>
          <w:docGrid w:linePitch="360"/>
        </w:sectPr>
      </w:pPr>
      <w:r w:rsidRPr="000D6AA2">
        <w:rPr>
          <w:rFonts w:asciiTheme="minorHAnsi" w:hAnsiTheme="minorHAnsi"/>
          <w:noProof/>
          <w:sz w:val="22"/>
        </w:rPr>
        <w:drawing>
          <wp:inline distT="0" distB="0" distL="0" distR="0" wp14:anchorId="5AEE0212" wp14:editId="77D248D9">
            <wp:extent cx="8782050" cy="46101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20841E" w14:textId="7FBD2FB6" w:rsidR="0088559B" w:rsidRDefault="00233420" w:rsidP="000D6AA2">
      <w:pPr>
        <w:pStyle w:val="BodyText1"/>
        <w:rPr>
          <w:rFonts w:asciiTheme="minorHAnsi" w:hAnsiTheme="minorHAnsi"/>
          <w:b/>
          <w:sz w:val="22"/>
        </w:rPr>
      </w:pPr>
      <w:r>
        <w:rPr>
          <w:rFonts w:asciiTheme="minorHAnsi" w:hAnsiTheme="minorHAnsi"/>
          <w:b/>
          <w:sz w:val="22"/>
        </w:rPr>
        <w:t>Figure 2</w:t>
      </w:r>
      <w:r w:rsidR="00003FCE" w:rsidRPr="00003FCE">
        <w:rPr>
          <w:rFonts w:asciiTheme="minorHAnsi" w:hAnsiTheme="minorHAnsi"/>
          <w:b/>
          <w:sz w:val="22"/>
        </w:rPr>
        <w:t xml:space="preserve"> - Mean annual change in </w:t>
      </w:r>
      <w:r w:rsidR="00003FCE">
        <w:rPr>
          <w:rFonts w:asciiTheme="minorHAnsi" w:hAnsiTheme="minorHAnsi"/>
          <w:b/>
          <w:sz w:val="22"/>
        </w:rPr>
        <w:t xml:space="preserve">female </w:t>
      </w:r>
      <w:r w:rsidR="00003FCE" w:rsidRPr="00003FCE">
        <w:rPr>
          <w:rFonts w:asciiTheme="minorHAnsi" w:hAnsiTheme="minorHAnsi"/>
          <w:b/>
          <w:sz w:val="22"/>
        </w:rPr>
        <w:t>l</w:t>
      </w:r>
      <w:r w:rsidR="00003FCE">
        <w:rPr>
          <w:rFonts w:asciiTheme="minorHAnsi" w:hAnsiTheme="minorHAnsi"/>
          <w:b/>
          <w:sz w:val="22"/>
        </w:rPr>
        <w:t>ife expectancy at birth (weeks)</w:t>
      </w:r>
      <w:r w:rsidR="004C4CFB">
        <w:rPr>
          <w:rFonts w:asciiTheme="minorHAnsi" w:hAnsiTheme="minorHAnsi"/>
          <w:b/>
          <w:sz w:val="22"/>
        </w:rPr>
        <w:t xml:space="preserve">, </w:t>
      </w:r>
      <w:r w:rsidR="00003FCE">
        <w:rPr>
          <w:rFonts w:asciiTheme="minorHAnsi" w:hAnsiTheme="minorHAnsi"/>
          <w:b/>
          <w:sz w:val="22"/>
        </w:rPr>
        <w:t>for five</w:t>
      </w:r>
      <w:r w:rsidR="00046C73">
        <w:rPr>
          <w:rFonts w:asciiTheme="minorHAnsi" w:hAnsiTheme="minorHAnsi"/>
          <w:b/>
          <w:sz w:val="22"/>
        </w:rPr>
        <w:t>-</w:t>
      </w:r>
      <w:r w:rsidR="00003FCE" w:rsidRPr="00003FCE">
        <w:rPr>
          <w:rFonts w:asciiTheme="minorHAnsi" w:hAnsiTheme="minorHAnsi"/>
          <w:b/>
          <w:sz w:val="22"/>
        </w:rPr>
        <w:t>year periods 1991-2016</w:t>
      </w:r>
      <w:r w:rsidR="00DD14EA">
        <w:rPr>
          <w:rFonts w:asciiTheme="minorHAnsi" w:hAnsiTheme="minorHAnsi"/>
          <w:b/>
          <w:sz w:val="22"/>
        </w:rPr>
        <w:t>, by country.</w:t>
      </w:r>
    </w:p>
    <w:p w14:paraId="1C059BB3" w14:textId="27DCF275" w:rsidR="00DD14EA" w:rsidRPr="00DD14EA" w:rsidRDefault="00DD14EA" w:rsidP="000D6AA2">
      <w:pPr>
        <w:pStyle w:val="BodyText1"/>
        <w:rPr>
          <w:rFonts w:asciiTheme="minorHAnsi" w:hAnsiTheme="minorHAnsi"/>
          <w:sz w:val="20"/>
          <w:szCs w:val="20"/>
        </w:rPr>
      </w:pPr>
      <w:r w:rsidRPr="00DD14EA">
        <w:rPr>
          <w:rFonts w:asciiTheme="minorHAnsi" w:hAnsiTheme="minorHAnsi"/>
          <w:sz w:val="20"/>
          <w:szCs w:val="20"/>
        </w:rPr>
        <w:t xml:space="preserve">*no data available for Croatia and Korea for periods prior to 2002. </w:t>
      </w:r>
    </w:p>
    <w:p w14:paraId="5C795461" w14:textId="6CAD3DC8" w:rsidR="00CA7940" w:rsidRDefault="00CA7940" w:rsidP="000D6AA2">
      <w:pPr>
        <w:pStyle w:val="BodyText1"/>
        <w:rPr>
          <w:rFonts w:asciiTheme="minorHAnsi" w:hAnsiTheme="minorHAnsi"/>
          <w:sz w:val="22"/>
        </w:rPr>
      </w:pPr>
    </w:p>
    <w:p w14:paraId="0C377470" w14:textId="332A73E2" w:rsidR="00003FCE" w:rsidRDefault="004706FE" w:rsidP="00003FCE">
      <w:pPr>
        <w:spacing w:after="0" w:line="240" w:lineRule="auto"/>
        <w:rPr>
          <w:rFonts w:asciiTheme="minorHAnsi" w:hAnsiTheme="minorHAnsi"/>
          <w:sz w:val="22"/>
        </w:rPr>
      </w:pPr>
      <w:r>
        <w:rPr>
          <w:noProof/>
          <w:lang w:eastAsia="en-GB"/>
        </w:rPr>
        <w:drawing>
          <wp:inline distT="0" distB="0" distL="0" distR="0" wp14:anchorId="7EAC6FCD" wp14:editId="225F0649">
            <wp:extent cx="13320000" cy="54000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D804021" w14:textId="77777777" w:rsidR="00652077" w:rsidRDefault="00652077" w:rsidP="00003FCE">
      <w:pPr>
        <w:spacing w:after="0" w:line="240" w:lineRule="auto"/>
        <w:rPr>
          <w:rFonts w:asciiTheme="minorHAnsi" w:hAnsiTheme="minorHAnsi"/>
          <w:sz w:val="22"/>
        </w:rPr>
      </w:pPr>
    </w:p>
    <w:p w14:paraId="20837E55" w14:textId="77777777" w:rsidR="004706FE" w:rsidRDefault="004706FE">
      <w:pPr>
        <w:spacing w:after="0" w:line="240" w:lineRule="auto"/>
        <w:rPr>
          <w:rFonts w:asciiTheme="minorHAnsi" w:hAnsiTheme="minorHAnsi"/>
          <w:b/>
          <w:sz w:val="22"/>
        </w:rPr>
      </w:pPr>
      <w:r>
        <w:rPr>
          <w:rFonts w:asciiTheme="minorHAnsi" w:hAnsiTheme="minorHAnsi"/>
          <w:b/>
          <w:sz w:val="22"/>
        </w:rPr>
        <w:br w:type="page"/>
      </w:r>
    </w:p>
    <w:p w14:paraId="6D010FAF" w14:textId="7A0B1FBD" w:rsidR="00652077" w:rsidRDefault="00652077" w:rsidP="00003FCE">
      <w:pPr>
        <w:spacing w:after="0" w:line="240" w:lineRule="auto"/>
        <w:rPr>
          <w:rFonts w:asciiTheme="minorHAnsi" w:hAnsiTheme="minorHAnsi"/>
          <w:b/>
          <w:sz w:val="22"/>
        </w:rPr>
      </w:pPr>
      <w:r>
        <w:rPr>
          <w:rFonts w:asciiTheme="minorHAnsi" w:hAnsiTheme="minorHAnsi"/>
          <w:b/>
          <w:sz w:val="22"/>
        </w:rPr>
        <w:t>Figure 3</w:t>
      </w:r>
      <w:r w:rsidRPr="00003FCE">
        <w:rPr>
          <w:rFonts w:asciiTheme="minorHAnsi" w:hAnsiTheme="minorHAnsi"/>
          <w:b/>
          <w:sz w:val="22"/>
        </w:rPr>
        <w:t xml:space="preserve"> - Mean annual change in </w:t>
      </w:r>
      <w:r>
        <w:rPr>
          <w:rFonts w:asciiTheme="minorHAnsi" w:hAnsiTheme="minorHAnsi"/>
          <w:b/>
          <w:sz w:val="22"/>
        </w:rPr>
        <w:t xml:space="preserve">male </w:t>
      </w:r>
      <w:r w:rsidRPr="00003FCE">
        <w:rPr>
          <w:rFonts w:asciiTheme="minorHAnsi" w:hAnsiTheme="minorHAnsi"/>
          <w:b/>
          <w:sz w:val="22"/>
        </w:rPr>
        <w:t>l</w:t>
      </w:r>
      <w:r>
        <w:rPr>
          <w:rFonts w:asciiTheme="minorHAnsi" w:hAnsiTheme="minorHAnsi"/>
          <w:b/>
          <w:sz w:val="22"/>
        </w:rPr>
        <w:t>ife expectancy at birth (weeks), for five</w:t>
      </w:r>
      <w:r w:rsidR="00046C73">
        <w:rPr>
          <w:rFonts w:asciiTheme="minorHAnsi" w:hAnsiTheme="minorHAnsi"/>
          <w:b/>
          <w:sz w:val="22"/>
        </w:rPr>
        <w:t>-</w:t>
      </w:r>
      <w:r w:rsidRPr="00003FCE">
        <w:rPr>
          <w:rFonts w:asciiTheme="minorHAnsi" w:hAnsiTheme="minorHAnsi"/>
          <w:b/>
          <w:sz w:val="22"/>
        </w:rPr>
        <w:t>year periods 1991-2016</w:t>
      </w:r>
      <w:r>
        <w:rPr>
          <w:rFonts w:asciiTheme="minorHAnsi" w:hAnsiTheme="minorHAnsi"/>
          <w:b/>
          <w:sz w:val="22"/>
        </w:rPr>
        <w:t>, by country.</w:t>
      </w:r>
    </w:p>
    <w:p w14:paraId="7B424418" w14:textId="77777777" w:rsidR="00DD14EA" w:rsidRPr="00DD14EA" w:rsidRDefault="00DD14EA" w:rsidP="00DD14EA">
      <w:pPr>
        <w:pStyle w:val="BodyText1"/>
        <w:rPr>
          <w:rFonts w:asciiTheme="minorHAnsi" w:hAnsiTheme="minorHAnsi"/>
          <w:sz w:val="20"/>
          <w:szCs w:val="20"/>
        </w:rPr>
      </w:pPr>
      <w:r w:rsidRPr="00DD14EA">
        <w:rPr>
          <w:rFonts w:asciiTheme="minorHAnsi" w:hAnsiTheme="minorHAnsi"/>
          <w:sz w:val="20"/>
          <w:szCs w:val="20"/>
        </w:rPr>
        <w:t xml:space="preserve">*no data available for Croatia and Korea for periods prior to 2002. </w:t>
      </w:r>
    </w:p>
    <w:p w14:paraId="7E099E64" w14:textId="77777777" w:rsidR="00DD14EA" w:rsidRDefault="00DD14EA" w:rsidP="00003FCE">
      <w:pPr>
        <w:spacing w:after="0" w:line="240" w:lineRule="auto"/>
        <w:rPr>
          <w:rFonts w:asciiTheme="minorHAnsi" w:hAnsiTheme="minorHAnsi"/>
          <w:b/>
          <w:sz w:val="22"/>
        </w:rPr>
      </w:pPr>
    </w:p>
    <w:p w14:paraId="5166FF66" w14:textId="6E24F8B5" w:rsidR="004706FE" w:rsidRDefault="004706FE" w:rsidP="00003FCE">
      <w:pPr>
        <w:spacing w:after="0" w:line="240" w:lineRule="auto"/>
        <w:rPr>
          <w:rFonts w:asciiTheme="minorHAnsi" w:hAnsiTheme="minorHAnsi"/>
          <w:sz w:val="22"/>
        </w:rPr>
      </w:pPr>
      <w:r>
        <w:rPr>
          <w:noProof/>
          <w:lang w:eastAsia="en-GB"/>
        </w:rPr>
        <w:drawing>
          <wp:inline distT="0" distB="0" distL="0" distR="0" wp14:anchorId="1B663603" wp14:editId="0BA55AC8">
            <wp:extent cx="13320000" cy="5400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A46FAD1" w14:textId="0CD2BA96" w:rsidR="00652077" w:rsidRDefault="00652077" w:rsidP="00003FCE">
      <w:pPr>
        <w:spacing w:after="0" w:line="240" w:lineRule="auto"/>
        <w:rPr>
          <w:rFonts w:asciiTheme="minorHAnsi" w:hAnsiTheme="minorHAnsi"/>
          <w:sz w:val="22"/>
        </w:rPr>
        <w:sectPr w:rsidR="00652077" w:rsidSect="004706FE">
          <w:endnotePr>
            <w:numFmt w:val="decimal"/>
          </w:endnotePr>
          <w:pgSz w:w="23814" w:h="16839" w:orient="landscape" w:code="8"/>
          <w:pgMar w:top="1800" w:right="1440" w:bottom="1800" w:left="1440" w:header="708" w:footer="708" w:gutter="0"/>
          <w:cols w:space="708"/>
          <w:docGrid w:linePitch="360"/>
        </w:sectPr>
      </w:pPr>
    </w:p>
    <w:p w14:paraId="2C1FEA5B" w14:textId="77777777" w:rsidR="0083639D" w:rsidRPr="00AF2006" w:rsidRDefault="0083639D" w:rsidP="0083639D">
      <w:pPr>
        <w:pStyle w:val="BodyText1"/>
        <w:rPr>
          <w:rFonts w:asciiTheme="minorHAnsi" w:hAnsiTheme="minorHAnsi"/>
          <w:b/>
          <w:sz w:val="22"/>
        </w:rPr>
      </w:pPr>
      <w:r w:rsidRPr="00AF2006">
        <w:rPr>
          <w:rFonts w:asciiTheme="minorHAnsi" w:hAnsiTheme="minorHAnsi"/>
          <w:b/>
          <w:sz w:val="22"/>
        </w:rPr>
        <w:t>Segmented regression</w:t>
      </w:r>
    </w:p>
    <w:p w14:paraId="5F6E6A24" w14:textId="5AF4FA4E" w:rsidR="0083639D" w:rsidRPr="00520497" w:rsidRDefault="0083639D" w:rsidP="0083639D">
      <w:pPr>
        <w:pStyle w:val="BodyText1"/>
        <w:rPr>
          <w:rFonts w:asciiTheme="minorHAnsi" w:hAnsiTheme="minorHAnsi"/>
          <w:sz w:val="22"/>
        </w:rPr>
      </w:pPr>
      <w:r>
        <w:rPr>
          <w:rFonts w:asciiTheme="minorHAnsi" w:hAnsiTheme="minorHAnsi"/>
          <w:sz w:val="22"/>
        </w:rPr>
        <w:t xml:space="preserve">Figure </w:t>
      </w:r>
      <w:r w:rsidR="00652077">
        <w:rPr>
          <w:rFonts w:asciiTheme="minorHAnsi" w:hAnsiTheme="minorHAnsi"/>
          <w:sz w:val="22"/>
        </w:rPr>
        <w:t>4</w:t>
      </w:r>
      <w:r w:rsidRPr="00520497">
        <w:rPr>
          <w:rFonts w:asciiTheme="minorHAnsi" w:hAnsiTheme="minorHAnsi"/>
          <w:sz w:val="22"/>
        </w:rPr>
        <w:t xml:space="preserve"> shows the rolling </w:t>
      </w:r>
      <w:r>
        <w:rPr>
          <w:rFonts w:asciiTheme="minorHAnsi" w:hAnsiTheme="minorHAnsi"/>
          <w:sz w:val="22"/>
        </w:rPr>
        <w:t>four-quarter</w:t>
      </w:r>
      <w:r w:rsidRPr="00520497">
        <w:rPr>
          <w:rFonts w:asciiTheme="minorHAnsi" w:hAnsiTheme="minorHAnsi"/>
          <w:sz w:val="22"/>
        </w:rPr>
        <w:t xml:space="preserve"> age standardised mortality rates</w:t>
      </w:r>
      <w:r>
        <w:rPr>
          <w:rFonts w:asciiTheme="minorHAnsi" w:hAnsiTheme="minorHAnsi"/>
          <w:sz w:val="22"/>
        </w:rPr>
        <w:t xml:space="preserve"> (ASMRs)</w:t>
      </w:r>
      <w:r w:rsidRPr="00520497">
        <w:rPr>
          <w:rFonts w:asciiTheme="minorHAnsi" w:hAnsiTheme="minorHAnsi"/>
          <w:sz w:val="22"/>
        </w:rPr>
        <w:t>, by sex</w:t>
      </w:r>
      <w:r>
        <w:rPr>
          <w:rFonts w:asciiTheme="minorHAnsi" w:hAnsiTheme="minorHAnsi"/>
          <w:sz w:val="22"/>
        </w:rPr>
        <w:t>,</w:t>
      </w:r>
      <w:r w:rsidRPr="00520497">
        <w:rPr>
          <w:rFonts w:asciiTheme="minorHAnsi" w:hAnsiTheme="minorHAnsi"/>
          <w:sz w:val="22"/>
        </w:rPr>
        <w:t xml:space="preserve"> for </w:t>
      </w:r>
      <w:r w:rsidR="00C94B09">
        <w:rPr>
          <w:rFonts w:asciiTheme="minorHAnsi" w:hAnsiTheme="minorHAnsi"/>
          <w:sz w:val="22"/>
        </w:rPr>
        <w:t>Scotland</w:t>
      </w:r>
      <w:r w:rsidR="00046C73">
        <w:rPr>
          <w:rFonts w:asciiTheme="minorHAnsi" w:hAnsiTheme="minorHAnsi"/>
          <w:sz w:val="22"/>
        </w:rPr>
        <w:t xml:space="preserve"> for </w:t>
      </w:r>
      <w:r w:rsidRPr="00520497">
        <w:rPr>
          <w:rFonts w:asciiTheme="minorHAnsi" w:hAnsiTheme="minorHAnsi"/>
          <w:sz w:val="22"/>
        </w:rPr>
        <w:t>all ages. Over the period</w:t>
      </w:r>
      <w:r>
        <w:rPr>
          <w:rFonts w:asciiTheme="minorHAnsi" w:hAnsiTheme="minorHAnsi"/>
          <w:sz w:val="22"/>
        </w:rPr>
        <w:t xml:space="preserve"> (1990-2018), the</w:t>
      </w:r>
      <w:r w:rsidRPr="00520497">
        <w:rPr>
          <w:rFonts w:asciiTheme="minorHAnsi" w:hAnsiTheme="minorHAnsi"/>
          <w:sz w:val="22"/>
        </w:rPr>
        <w:t xml:space="preserve"> AS</w:t>
      </w:r>
      <w:r>
        <w:rPr>
          <w:rFonts w:asciiTheme="minorHAnsi" w:hAnsiTheme="minorHAnsi"/>
          <w:sz w:val="22"/>
        </w:rPr>
        <w:t>MR per 100,000 population</w:t>
      </w:r>
      <w:r w:rsidRPr="00520497">
        <w:rPr>
          <w:rFonts w:asciiTheme="minorHAnsi" w:hAnsiTheme="minorHAnsi"/>
          <w:sz w:val="22"/>
        </w:rPr>
        <w:t xml:space="preserve"> </w:t>
      </w:r>
      <w:r>
        <w:rPr>
          <w:rFonts w:asciiTheme="minorHAnsi" w:hAnsiTheme="minorHAnsi"/>
          <w:sz w:val="22"/>
        </w:rPr>
        <w:t xml:space="preserve">fell </w:t>
      </w:r>
      <w:r w:rsidRPr="00520497">
        <w:rPr>
          <w:rFonts w:asciiTheme="minorHAnsi" w:hAnsiTheme="minorHAnsi"/>
          <w:sz w:val="22"/>
        </w:rPr>
        <w:t>from 2</w:t>
      </w:r>
      <w:r>
        <w:rPr>
          <w:rFonts w:asciiTheme="minorHAnsi" w:hAnsiTheme="minorHAnsi"/>
          <w:sz w:val="22"/>
        </w:rPr>
        <w:t>,</w:t>
      </w:r>
      <w:r w:rsidRPr="00520497">
        <w:rPr>
          <w:rFonts w:asciiTheme="minorHAnsi" w:hAnsiTheme="minorHAnsi"/>
          <w:sz w:val="22"/>
        </w:rPr>
        <w:t>114 to 1</w:t>
      </w:r>
      <w:r>
        <w:rPr>
          <w:rFonts w:asciiTheme="minorHAnsi" w:hAnsiTheme="minorHAnsi"/>
          <w:sz w:val="22"/>
        </w:rPr>
        <w:t>,</w:t>
      </w:r>
      <w:r w:rsidRPr="00520497">
        <w:rPr>
          <w:rFonts w:asciiTheme="minorHAnsi" w:hAnsiTheme="minorHAnsi"/>
          <w:sz w:val="22"/>
        </w:rPr>
        <w:t>355 for men, and from 1</w:t>
      </w:r>
      <w:r>
        <w:rPr>
          <w:rFonts w:asciiTheme="minorHAnsi" w:hAnsiTheme="minorHAnsi"/>
          <w:sz w:val="22"/>
        </w:rPr>
        <w:t>,</w:t>
      </w:r>
      <w:r w:rsidRPr="00520497">
        <w:rPr>
          <w:rFonts w:asciiTheme="minorHAnsi" w:hAnsiTheme="minorHAnsi"/>
          <w:sz w:val="22"/>
        </w:rPr>
        <w:t>386 to 1</w:t>
      </w:r>
      <w:r>
        <w:rPr>
          <w:rFonts w:asciiTheme="minorHAnsi" w:hAnsiTheme="minorHAnsi"/>
          <w:sz w:val="22"/>
        </w:rPr>
        <w:t>,</w:t>
      </w:r>
      <w:r w:rsidRPr="00520497">
        <w:rPr>
          <w:rFonts w:asciiTheme="minorHAnsi" w:hAnsiTheme="minorHAnsi"/>
          <w:sz w:val="22"/>
        </w:rPr>
        <w:t xml:space="preserve">025 for women. Men </w:t>
      </w:r>
      <w:r>
        <w:rPr>
          <w:rFonts w:asciiTheme="minorHAnsi" w:hAnsiTheme="minorHAnsi"/>
          <w:sz w:val="22"/>
        </w:rPr>
        <w:t>had</w:t>
      </w:r>
      <w:r w:rsidRPr="00520497">
        <w:rPr>
          <w:rFonts w:asciiTheme="minorHAnsi" w:hAnsiTheme="minorHAnsi"/>
          <w:sz w:val="22"/>
        </w:rPr>
        <w:t xml:space="preserve"> a higher mortality rate than women throughout the series, although this gap narrowed over time. The steadiest period of decline in mortality rates appear</w:t>
      </w:r>
      <w:r>
        <w:rPr>
          <w:rFonts w:asciiTheme="minorHAnsi" w:hAnsiTheme="minorHAnsi"/>
          <w:sz w:val="22"/>
        </w:rPr>
        <w:t>ed</w:t>
      </w:r>
      <w:r w:rsidRPr="00520497">
        <w:rPr>
          <w:rFonts w:asciiTheme="minorHAnsi" w:hAnsiTheme="minorHAnsi"/>
          <w:sz w:val="22"/>
        </w:rPr>
        <w:t xml:space="preserve"> to be from 2</w:t>
      </w:r>
      <w:r>
        <w:rPr>
          <w:rFonts w:asciiTheme="minorHAnsi" w:hAnsiTheme="minorHAnsi"/>
          <w:sz w:val="22"/>
        </w:rPr>
        <w:t>004</w:t>
      </w:r>
      <w:r w:rsidRPr="00520497">
        <w:rPr>
          <w:rFonts w:asciiTheme="minorHAnsi" w:hAnsiTheme="minorHAnsi"/>
          <w:sz w:val="22"/>
        </w:rPr>
        <w:t xml:space="preserve"> to around 2011, with the periods before and after this showing variation between slow improvements, worsening of mortality rates, and faster improvements. The </w:t>
      </w:r>
      <w:r>
        <w:rPr>
          <w:rFonts w:asciiTheme="minorHAnsi" w:hAnsiTheme="minorHAnsi"/>
          <w:sz w:val="22"/>
        </w:rPr>
        <w:t xml:space="preserve">mortality </w:t>
      </w:r>
      <w:r w:rsidRPr="00520497">
        <w:rPr>
          <w:rFonts w:asciiTheme="minorHAnsi" w:hAnsiTheme="minorHAnsi"/>
          <w:sz w:val="22"/>
        </w:rPr>
        <w:t>rates for those aged 75</w:t>
      </w:r>
      <w:r>
        <w:rPr>
          <w:rFonts w:asciiTheme="minorHAnsi" w:hAnsiTheme="minorHAnsi"/>
          <w:sz w:val="22"/>
        </w:rPr>
        <w:t>+</w:t>
      </w:r>
      <w:r w:rsidRPr="00520497">
        <w:rPr>
          <w:rFonts w:asciiTheme="minorHAnsi" w:hAnsiTheme="minorHAnsi"/>
          <w:sz w:val="22"/>
        </w:rPr>
        <w:t xml:space="preserve"> years show</w:t>
      </w:r>
      <w:r>
        <w:rPr>
          <w:rFonts w:asciiTheme="minorHAnsi" w:hAnsiTheme="minorHAnsi"/>
          <w:sz w:val="22"/>
        </w:rPr>
        <w:t>ed</w:t>
      </w:r>
      <w:r w:rsidRPr="00520497">
        <w:rPr>
          <w:rFonts w:asciiTheme="minorHAnsi" w:hAnsiTheme="minorHAnsi"/>
          <w:sz w:val="22"/>
        </w:rPr>
        <w:t xml:space="preserve"> greater variability than those in the younger age group. </w:t>
      </w:r>
      <w:r>
        <w:rPr>
          <w:rFonts w:asciiTheme="minorHAnsi" w:hAnsiTheme="minorHAnsi"/>
          <w:sz w:val="22"/>
        </w:rPr>
        <w:t xml:space="preserve"> </w:t>
      </w:r>
    </w:p>
    <w:p w14:paraId="29EAD30D" w14:textId="77777777" w:rsidR="0083639D" w:rsidRPr="00520497" w:rsidRDefault="0083639D" w:rsidP="0083639D">
      <w:pPr>
        <w:pStyle w:val="BodyText1"/>
        <w:rPr>
          <w:rFonts w:asciiTheme="minorHAnsi" w:hAnsiTheme="minorHAnsi"/>
          <w:sz w:val="22"/>
        </w:rPr>
      </w:pPr>
    </w:p>
    <w:p w14:paraId="30AF69BF" w14:textId="0FC33711" w:rsidR="0083639D" w:rsidRDefault="0083639D" w:rsidP="0083639D">
      <w:pPr>
        <w:pStyle w:val="BodyText1"/>
        <w:rPr>
          <w:rFonts w:asciiTheme="minorHAnsi" w:hAnsiTheme="minorHAnsi"/>
          <w:sz w:val="22"/>
        </w:rPr>
      </w:pPr>
      <w:r w:rsidRPr="00520497">
        <w:rPr>
          <w:rFonts w:asciiTheme="minorHAnsi" w:hAnsiTheme="minorHAnsi"/>
          <w:sz w:val="22"/>
        </w:rPr>
        <w:t xml:space="preserve">The Davies test </w:t>
      </w:r>
      <w:r>
        <w:rPr>
          <w:rFonts w:asciiTheme="minorHAnsi" w:hAnsiTheme="minorHAnsi"/>
          <w:sz w:val="22"/>
        </w:rPr>
        <w:t>for</w:t>
      </w:r>
      <w:r w:rsidR="00C94B09">
        <w:rPr>
          <w:rFonts w:asciiTheme="minorHAnsi" w:hAnsiTheme="minorHAnsi"/>
          <w:sz w:val="22"/>
        </w:rPr>
        <w:t xml:space="preserve"> the existence of</w:t>
      </w:r>
      <w:r>
        <w:rPr>
          <w:rFonts w:asciiTheme="minorHAnsi" w:hAnsiTheme="minorHAnsi"/>
          <w:sz w:val="22"/>
        </w:rPr>
        <w:t xml:space="preserve"> a change in the slope identified a statistically significant change (p&lt;0.01) for males and females, and both age groups tested. For all groups the breakpoint identified by the Davies test fell within the period 2012-2014 (</w:t>
      </w:r>
      <w:r w:rsidRPr="0083639D">
        <w:rPr>
          <w:rFonts w:asciiTheme="minorHAnsi" w:hAnsiTheme="minorHAnsi"/>
          <w:sz w:val="22"/>
        </w:rPr>
        <w:t>see</w:t>
      </w:r>
      <w:r>
        <w:rPr>
          <w:rFonts w:asciiTheme="minorHAnsi" w:hAnsiTheme="minorHAnsi"/>
          <w:sz w:val="22"/>
        </w:rPr>
        <w:t xml:space="preserve"> </w:t>
      </w:r>
      <w:r w:rsidRPr="0083639D">
        <w:rPr>
          <w:rFonts w:asciiTheme="minorHAnsi" w:hAnsiTheme="minorHAnsi"/>
          <w:sz w:val="22"/>
        </w:rPr>
        <w:fldChar w:fldCharType="begin"/>
      </w:r>
      <w:r w:rsidRPr="0083639D">
        <w:rPr>
          <w:rFonts w:asciiTheme="minorHAnsi" w:hAnsiTheme="minorHAnsi"/>
          <w:sz w:val="22"/>
        </w:rPr>
        <w:instrText xml:space="preserve"> REF _Ref532901880 \h  \* MERGEFORMAT </w:instrText>
      </w:r>
      <w:r w:rsidRPr="0083639D">
        <w:rPr>
          <w:rFonts w:asciiTheme="minorHAnsi" w:hAnsiTheme="minorHAnsi"/>
          <w:sz w:val="22"/>
        </w:rPr>
      </w:r>
      <w:r w:rsidRPr="0083639D">
        <w:rPr>
          <w:rFonts w:asciiTheme="minorHAnsi" w:hAnsiTheme="minorHAnsi"/>
          <w:sz w:val="22"/>
        </w:rPr>
        <w:fldChar w:fldCharType="separate"/>
      </w:r>
      <w:r w:rsidR="00941DD7" w:rsidRPr="00941DD7">
        <w:rPr>
          <w:rFonts w:asciiTheme="minorHAnsi" w:hAnsiTheme="minorHAnsi"/>
          <w:sz w:val="22"/>
          <w:szCs w:val="22"/>
        </w:rPr>
        <w:t xml:space="preserve">Table </w:t>
      </w:r>
      <w:r w:rsidR="00941DD7" w:rsidRPr="00941DD7">
        <w:rPr>
          <w:rFonts w:asciiTheme="minorHAnsi" w:hAnsiTheme="minorHAnsi"/>
          <w:noProof/>
          <w:sz w:val="22"/>
          <w:szCs w:val="22"/>
        </w:rPr>
        <w:t>1</w:t>
      </w:r>
      <w:r w:rsidRPr="0083639D">
        <w:rPr>
          <w:rFonts w:asciiTheme="minorHAnsi" w:hAnsiTheme="minorHAnsi"/>
          <w:sz w:val="22"/>
        </w:rPr>
        <w:fldChar w:fldCharType="end"/>
      </w:r>
      <w:r>
        <w:rPr>
          <w:rFonts w:asciiTheme="minorHAnsi" w:hAnsiTheme="minorHAnsi"/>
          <w:sz w:val="22"/>
        </w:rPr>
        <w:t xml:space="preserve">). The segmented model provides a more precise approach to </w:t>
      </w:r>
      <w:r w:rsidR="00E24C80">
        <w:rPr>
          <w:rFonts w:asciiTheme="minorHAnsi" w:hAnsiTheme="minorHAnsi"/>
          <w:sz w:val="22"/>
        </w:rPr>
        <w:t>estimation of</w:t>
      </w:r>
      <w:r>
        <w:rPr>
          <w:rFonts w:asciiTheme="minorHAnsi" w:hAnsiTheme="minorHAnsi"/>
          <w:sz w:val="22"/>
        </w:rPr>
        <w:t xml:space="preserve"> the timing of the breakpoint. The date estimates from the one-break segmented model corresponded to those identified by the Davies test for all groups, to within 0.2</w:t>
      </w:r>
      <w:r w:rsidR="00046C73">
        <w:rPr>
          <w:rFonts w:asciiTheme="minorHAnsi" w:hAnsiTheme="minorHAnsi"/>
          <w:sz w:val="22"/>
        </w:rPr>
        <w:t xml:space="preserve"> years</w:t>
      </w:r>
      <w:r>
        <w:rPr>
          <w:rFonts w:asciiTheme="minorHAnsi" w:hAnsiTheme="minorHAnsi"/>
          <w:sz w:val="22"/>
        </w:rPr>
        <w:t xml:space="preserve">. One and two-break models were run for all groups; both AIC and BIC were lower for the two-break models, indicating that these are a better fit, hence the results below report the two-break model findings. </w:t>
      </w:r>
    </w:p>
    <w:p w14:paraId="54789DED" w14:textId="77777777" w:rsidR="0083639D" w:rsidRDefault="0083639D" w:rsidP="0083639D">
      <w:pPr>
        <w:pStyle w:val="BodyText1"/>
        <w:rPr>
          <w:rFonts w:asciiTheme="minorHAnsi" w:hAnsiTheme="minorHAnsi"/>
          <w:sz w:val="22"/>
        </w:rPr>
      </w:pPr>
    </w:p>
    <w:p w14:paraId="324F6943" w14:textId="26B8BE9D" w:rsidR="0083639D" w:rsidRDefault="0083639D" w:rsidP="0083639D">
      <w:pPr>
        <w:pStyle w:val="BodyText1"/>
        <w:rPr>
          <w:rFonts w:asciiTheme="minorHAnsi" w:hAnsiTheme="minorHAnsi"/>
          <w:sz w:val="22"/>
        </w:rPr>
      </w:pPr>
      <w:r>
        <w:rPr>
          <w:rFonts w:asciiTheme="minorHAnsi" w:hAnsiTheme="minorHAnsi"/>
          <w:sz w:val="22"/>
        </w:rPr>
        <w:t xml:space="preserve">The two-break model for all ages identified the first breakpoint in the year to 1993 Q4 for both males (95% confidence interval: year to 1992 Q4 - year to 1994 Q4) and females (95% CI: year to 1992 Q1 – year to 1995 Q2). A second breakpoint for males </w:t>
      </w:r>
      <w:r w:rsidR="00046C73">
        <w:rPr>
          <w:rFonts w:asciiTheme="minorHAnsi" w:hAnsiTheme="minorHAnsi"/>
          <w:sz w:val="22"/>
        </w:rPr>
        <w:t>wa</w:t>
      </w:r>
      <w:r>
        <w:rPr>
          <w:rFonts w:asciiTheme="minorHAnsi" w:hAnsiTheme="minorHAnsi"/>
          <w:sz w:val="22"/>
        </w:rPr>
        <w:t>s identified in the year to 2012 Q4 (95% CI: year to 2012 Q1 – year to 2013 Q3), and for females in the year to 2014 Q2 (95% CI: year to 2013 Q2 – year to 2015 Q2). The change in trend indicated by these breakpoints is shown in</w:t>
      </w:r>
      <w:r w:rsidR="00E24C80">
        <w:rPr>
          <w:rFonts w:asciiTheme="minorHAnsi" w:hAnsiTheme="minorHAnsi"/>
          <w:sz w:val="22"/>
        </w:rPr>
        <w:t xml:space="preserve"> Figure 4</w:t>
      </w:r>
      <w:r>
        <w:rPr>
          <w:rFonts w:asciiTheme="minorHAnsi" w:hAnsiTheme="minorHAnsi"/>
          <w:sz w:val="22"/>
        </w:rPr>
        <w:t xml:space="preserve">; the break in 1993 indicates a change from a period of slower mortality improvement to a period of faster improvement and the later breaks in 2012 and 2014 (males and females respectively) indicate a change to much slower gains. </w:t>
      </w:r>
    </w:p>
    <w:p w14:paraId="2B85F2DA" w14:textId="77777777" w:rsidR="0083639D" w:rsidRDefault="0083639D" w:rsidP="0083639D">
      <w:pPr>
        <w:pStyle w:val="BodyText1"/>
        <w:rPr>
          <w:rFonts w:asciiTheme="minorHAnsi" w:hAnsiTheme="minorHAnsi"/>
          <w:sz w:val="22"/>
        </w:rPr>
      </w:pPr>
    </w:p>
    <w:p w14:paraId="4CC261EC" w14:textId="21BF46B2" w:rsidR="0083639D" w:rsidRDefault="0083639D" w:rsidP="0083639D">
      <w:pPr>
        <w:pStyle w:val="BodyText1"/>
        <w:rPr>
          <w:rFonts w:asciiTheme="minorHAnsi" w:hAnsiTheme="minorHAnsi"/>
          <w:sz w:val="22"/>
        </w:rPr>
      </w:pPr>
      <w:r>
        <w:rPr>
          <w:rFonts w:asciiTheme="minorHAnsi" w:hAnsiTheme="minorHAnsi"/>
          <w:sz w:val="22"/>
        </w:rPr>
        <w:t>Among those aged under 75 years, the results of the two-break model suggest</w:t>
      </w:r>
      <w:r w:rsidR="00046C73">
        <w:rPr>
          <w:rFonts w:asciiTheme="minorHAnsi" w:hAnsiTheme="minorHAnsi"/>
          <w:sz w:val="22"/>
        </w:rPr>
        <w:t>ed</w:t>
      </w:r>
      <w:r>
        <w:rPr>
          <w:rFonts w:asciiTheme="minorHAnsi" w:hAnsiTheme="minorHAnsi"/>
          <w:sz w:val="22"/>
        </w:rPr>
        <w:t xml:space="preserve"> that the later change in trend occurred approximately 18 months earlier in males (year to 2012 Q4) than in females (year to 2014 Q2), with the 95% confidence intervals for the estimates not overlapping (see </w:t>
      </w:r>
      <w:r w:rsidRPr="0083639D">
        <w:rPr>
          <w:rFonts w:asciiTheme="minorHAnsi" w:hAnsiTheme="minorHAnsi"/>
          <w:sz w:val="22"/>
        </w:rPr>
        <w:fldChar w:fldCharType="begin"/>
      </w:r>
      <w:r w:rsidRPr="0083639D">
        <w:rPr>
          <w:rFonts w:asciiTheme="minorHAnsi" w:hAnsiTheme="minorHAnsi"/>
          <w:sz w:val="22"/>
        </w:rPr>
        <w:instrText xml:space="preserve"> REF _Ref532901880 \h  \* MERGEFORMAT </w:instrText>
      </w:r>
      <w:r w:rsidRPr="0083639D">
        <w:rPr>
          <w:rFonts w:asciiTheme="minorHAnsi" w:hAnsiTheme="minorHAnsi"/>
          <w:sz w:val="22"/>
        </w:rPr>
      </w:r>
      <w:r w:rsidRPr="0083639D">
        <w:rPr>
          <w:rFonts w:asciiTheme="minorHAnsi" w:hAnsiTheme="minorHAnsi"/>
          <w:sz w:val="22"/>
        </w:rPr>
        <w:fldChar w:fldCharType="separate"/>
      </w:r>
      <w:r w:rsidR="00941DD7" w:rsidRPr="00941DD7">
        <w:rPr>
          <w:rFonts w:asciiTheme="minorHAnsi" w:hAnsiTheme="minorHAnsi"/>
          <w:sz w:val="22"/>
          <w:szCs w:val="22"/>
        </w:rPr>
        <w:t xml:space="preserve">Table </w:t>
      </w:r>
      <w:r w:rsidR="00941DD7" w:rsidRPr="00941DD7">
        <w:rPr>
          <w:rFonts w:asciiTheme="minorHAnsi" w:hAnsiTheme="minorHAnsi"/>
          <w:noProof/>
          <w:sz w:val="22"/>
          <w:szCs w:val="22"/>
        </w:rPr>
        <w:t>1</w:t>
      </w:r>
      <w:r w:rsidRPr="0083639D">
        <w:rPr>
          <w:rFonts w:asciiTheme="minorHAnsi" w:hAnsiTheme="minorHAnsi"/>
          <w:sz w:val="22"/>
        </w:rPr>
        <w:fldChar w:fldCharType="end"/>
      </w:r>
      <w:r w:rsidRPr="0083639D">
        <w:rPr>
          <w:rFonts w:asciiTheme="minorHAnsi" w:hAnsiTheme="minorHAnsi"/>
          <w:sz w:val="22"/>
        </w:rPr>
        <w:t>).</w:t>
      </w:r>
      <w:r>
        <w:rPr>
          <w:rFonts w:asciiTheme="minorHAnsi" w:hAnsiTheme="minorHAnsi"/>
          <w:sz w:val="22"/>
        </w:rPr>
        <w:t xml:space="preserve"> For those aged 75+ years the estimate for males (year to 2012 Q3) </w:t>
      </w:r>
      <w:r w:rsidR="00046C73">
        <w:rPr>
          <w:rFonts w:asciiTheme="minorHAnsi" w:hAnsiTheme="minorHAnsi"/>
          <w:sz w:val="22"/>
        </w:rPr>
        <w:t>wa</w:t>
      </w:r>
      <w:r>
        <w:rPr>
          <w:rFonts w:asciiTheme="minorHAnsi" w:hAnsiTheme="minorHAnsi"/>
          <w:sz w:val="22"/>
        </w:rPr>
        <w:t xml:space="preserve">s one year later than for females (year to 2011 Q3), but the 95% confidence intervals for the estimates overlap. </w:t>
      </w:r>
    </w:p>
    <w:p w14:paraId="58337492" w14:textId="77777777" w:rsidR="0083639D" w:rsidRDefault="0083639D" w:rsidP="0083639D">
      <w:pPr>
        <w:pStyle w:val="BodyText1"/>
        <w:rPr>
          <w:rFonts w:asciiTheme="minorHAnsi" w:hAnsiTheme="minorHAnsi"/>
          <w:sz w:val="22"/>
        </w:rPr>
      </w:pPr>
    </w:p>
    <w:p w14:paraId="490BFD13" w14:textId="11E5961D" w:rsidR="0083639D" w:rsidRDefault="0083639D" w:rsidP="0083639D">
      <w:pPr>
        <w:pStyle w:val="BodyText1"/>
        <w:rPr>
          <w:rFonts w:asciiTheme="minorHAnsi" w:hAnsiTheme="minorHAnsi"/>
          <w:sz w:val="22"/>
        </w:rPr>
      </w:pPr>
      <w:r>
        <w:rPr>
          <w:rFonts w:asciiTheme="minorHAnsi" w:hAnsiTheme="minorHAnsi"/>
          <w:sz w:val="22"/>
        </w:rPr>
        <w:t>Among males, the estimate of the later breakpoint</w:t>
      </w:r>
      <w:r w:rsidR="00E24C80">
        <w:rPr>
          <w:rFonts w:asciiTheme="minorHAnsi" w:hAnsiTheme="minorHAnsi"/>
          <w:sz w:val="22"/>
        </w:rPr>
        <w:t xml:space="preserve"> of the two-break model was similar </w:t>
      </w:r>
      <w:r>
        <w:rPr>
          <w:rFonts w:asciiTheme="minorHAnsi" w:hAnsiTheme="minorHAnsi"/>
          <w:sz w:val="22"/>
        </w:rPr>
        <w:t xml:space="preserve">for those aged under 75 years and 75+ years (year to 2012 Q4 for both groups). For females the later breakpoint occurred nearly 3 years later in those aged under 75 years (year to 2014 Q2) than those aged 75+ years (year to 2011 Q3), with the 95% confidence intervals not overlapping. </w:t>
      </w:r>
    </w:p>
    <w:p w14:paraId="5C142443" w14:textId="1F6ED314" w:rsidR="00F50D1F" w:rsidRDefault="00F50D1F" w:rsidP="00C43706">
      <w:pPr>
        <w:spacing w:after="0" w:line="240" w:lineRule="auto"/>
        <w:rPr>
          <w:rFonts w:asciiTheme="minorHAnsi" w:hAnsiTheme="minorHAnsi"/>
          <w:b/>
          <w:sz w:val="22"/>
        </w:rPr>
      </w:pPr>
    </w:p>
    <w:p w14:paraId="6D70E785" w14:textId="69B2BD2F" w:rsidR="00F50D1F" w:rsidRDefault="00F50D1F" w:rsidP="00C43706">
      <w:pPr>
        <w:spacing w:after="0" w:line="240" w:lineRule="auto"/>
        <w:rPr>
          <w:rFonts w:asciiTheme="minorHAnsi" w:hAnsiTheme="minorHAnsi"/>
          <w:b/>
          <w:sz w:val="22"/>
        </w:rPr>
        <w:sectPr w:rsidR="00F50D1F" w:rsidSect="007C4023">
          <w:endnotePr>
            <w:numFmt w:val="decimal"/>
          </w:endnotePr>
          <w:pgSz w:w="11906" w:h="16838"/>
          <w:pgMar w:top="1440" w:right="1800" w:bottom="1440" w:left="1800" w:header="708" w:footer="708" w:gutter="0"/>
          <w:cols w:space="708"/>
          <w:docGrid w:linePitch="360"/>
        </w:sectPr>
      </w:pPr>
    </w:p>
    <w:p w14:paraId="379FDD63" w14:textId="5E5A1BC3" w:rsidR="00C43706" w:rsidRDefault="00C43706" w:rsidP="002F5F24">
      <w:pPr>
        <w:spacing w:after="0" w:line="240" w:lineRule="auto"/>
        <w:rPr>
          <w:rFonts w:asciiTheme="minorHAnsi" w:hAnsiTheme="minorHAnsi"/>
          <w:b/>
          <w:sz w:val="22"/>
        </w:rPr>
      </w:pPr>
      <w:r>
        <w:rPr>
          <w:rFonts w:asciiTheme="minorHAnsi" w:hAnsiTheme="minorHAnsi"/>
          <w:b/>
          <w:sz w:val="22"/>
        </w:rPr>
        <w:t>Figure 4</w:t>
      </w:r>
      <w:r w:rsidRPr="00CE2652">
        <w:rPr>
          <w:rFonts w:asciiTheme="minorHAnsi" w:hAnsiTheme="minorHAnsi"/>
          <w:b/>
          <w:sz w:val="22"/>
        </w:rPr>
        <w:t xml:space="preserve"> – Age-standardised </w:t>
      </w:r>
      <w:r w:rsidR="00C92C4A">
        <w:rPr>
          <w:rFonts w:asciiTheme="minorHAnsi" w:hAnsiTheme="minorHAnsi"/>
          <w:b/>
          <w:sz w:val="22"/>
        </w:rPr>
        <w:t>rolling four-</w:t>
      </w:r>
      <w:r w:rsidR="007847AF">
        <w:rPr>
          <w:rFonts w:asciiTheme="minorHAnsi" w:hAnsiTheme="minorHAnsi"/>
          <w:b/>
          <w:sz w:val="22"/>
        </w:rPr>
        <w:t xml:space="preserve">quarterly mortality rates, </w:t>
      </w:r>
      <w:r w:rsidRPr="00CE2652">
        <w:rPr>
          <w:rFonts w:asciiTheme="minorHAnsi" w:hAnsiTheme="minorHAnsi"/>
          <w:b/>
          <w:sz w:val="22"/>
        </w:rPr>
        <w:t>with segmented regression model</w:t>
      </w:r>
      <w:r>
        <w:rPr>
          <w:rFonts w:asciiTheme="minorHAnsi" w:hAnsiTheme="minorHAnsi"/>
          <w:b/>
          <w:sz w:val="22"/>
        </w:rPr>
        <w:t>s</w:t>
      </w:r>
      <w:r w:rsidRPr="00CE2652">
        <w:rPr>
          <w:rFonts w:asciiTheme="minorHAnsi" w:hAnsiTheme="minorHAnsi"/>
          <w:b/>
          <w:sz w:val="22"/>
        </w:rPr>
        <w:t xml:space="preserve"> fitted, Scotland, 1990-2017</w:t>
      </w:r>
      <w:r w:rsidR="00652077" w:rsidRPr="00652077">
        <w:rPr>
          <w:noProof/>
          <w:lang w:eastAsia="en-GB"/>
        </w:rPr>
        <w:t xml:space="preserve"> </w:t>
      </w:r>
      <w:r w:rsidR="00652077">
        <w:rPr>
          <w:noProof/>
          <w:lang w:eastAsia="en-GB"/>
        </w:rPr>
        <w:drawing>
          <wp:inline distT="0" distB="0" distL="0" distR="0" wp14:anchorId="64044F70" wp14:editId="5255C4F7">
            <wp:extent cx="9366637" cy="5024755"/>
            <wp:effectExtent l="0" t="0" r="635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391A13" w14:textId="64211A4A" w:rsidR="0083639D" w:rsidRPr="0083639D" w:rsidRDefault="0083639D" w:rsidP="0083639D">
      <w:pPr>
        <w:pStyle w:val="Caption"/>
        <w:keepNext/>
        <w:rPr>
          <w:rFonts w:asciiTheme="minorHAnsi" w:hAnsiTheme="minorHAnsi"/>
          <w:b/>
          <w:i w:val="0"/>
          <w:color w:val="auto"/>
          <w:sz w:val="22"/>
          <w:szCs w:val="22"/>
        </w:rPr>
      </w:pPr>
      <w:bookmarkStart w:id="7" w:name="_Ref532901880"/>
      <w:r w:rsidRPr="0083639D">
        <w:rPr>
          <w:rFonts w:asciiTheme="minorHAnsi" w:hAnsiTheme="minorHAnsi"/>
          <w:b/>
          <w:i w:val="0"/>
          <w:color w:val="auto"/>
          <w:sz w:val="22"/>
          <w:szCs w:val="22"/>
        </w:rPr>
        <w:t xml:space="preserve">Table </w:t>
      </w:r>
      <w:r w:rsidRPr="0083639D">
        <w:rPr>
          <w:rFonts w:asciiTheme="minorHAnsi" w:hAnsiTheme="minorHAnsi"/>
          <w:b/>
          <w:i w:val="0"/>
          <w:color w:val="auto"/>
          <w:sz w:val="22"/>
          <w:szCs w:val="22"/>
        </w:rPr>
        <w:fldChar w:fldCharType="begin"/>
      </w:r>
      <w:r w:rsidRPr="0083639D">
        <w:rPr>
          <w:rFonts w:asciiTheme="minorHAnsi" w:hAnsiTheme="minorHAnsi"/>
          <w:b/>
          <w:i w:val="0"/>
          <w:color w:val="auto"/>
          <w:sz w:val="22"/>
          <w:szCs w:val="22"/>
        </w:rPr>
        <w:instrText xml:space="preserve"> SEQ Table \* ARABIC </w:instrText>
      </w:r>
      <w:r w:rsidRPr="0083639D">
        <w:rPr>
          <w:rFonts w:asciiTheme="minorHAnsi" w:hAnsiTheme="minorHAnsi"/>
          <w:b/>
          <w:i w:val="0"/>
          <w:color w:val="auto"/>
          <w:sz w:val="22"/>
          <w:szCs w:val="22"/>
        </w:rPr>
        <w:fldChar w:fldCharType="separate"/>
      </w:r>
      <w:r w:rsidR="00941DD7">
        <w:rPr>
          <w:rFonts w:asciiTheme="minorHAnsi" w:hAnsiTheme="minorHAnsi"/>
          <w:b/>
          <w:i w:val="0"/>
          <w:noProof/>
          <w:color w:val="auto"/>
          <w:sz w:val="22"/>
          <w:szCs w:val="22"/>
        </w:rPr>
        <w:t>1</w:t>
      </w:r>
      <w:r w:rsidRPr="0083639D">
        <w:rPr>
          <w:rFonts w:asciiTheme="minorHAnsi" w:hAnsiTheme="minorHAnsi"/>
          <w:b/>
          <w:i w:val="0"/>
          <w:color w:val="auto"/>
          <w:sz w:val="22"/>
          <w:szCs w:val="22"/>
        </w:rPr>
        <w:fldChar w:fldCharType="end"/>
      </w:r>
      <w:bookmarkEnd w:id="7"/>
      <w:r w:rsidRPr="0083639D">
        <w:rPr>
          <w:rFonts w:asciiTheme="minorHAnsi" w:hAnsiTheme="minorHAnsi"/>
          <w:b/>
          <w:i w:val="0"/>
          <w:color w:val="auto"/>
          <w:sz w:val="22"/>
          <w:szCs w:val="22"/>
        </w:rPr>
        <w:t>: Summary of results of segmented regression by population group</w:t>
      </w:r>
      <w:r>
        <w:rPr>
          <w:rFonts w:asciiTheme="minorHAnsi" w:hAnsiTheme="minorHAnsi"/>
          <w:b/>
          <w:i w:val="0"/>
          <w:color w:val="auto"/>
          <w:sz w:val="22"/>
          <w:szCs w:val="22"/>
        </w:rPr>
        <w:t xml:space="preserve"> and model</w:t>
      </w:r>
      <w:r w:rsidR="00123ADC">
        <w:rPr>
          <w:rFonts w:asciiTheme="minorHAnsi" w:hAnsiTheme="minorHAnsi"/>
          <w:b/>
          <w:i w:val="0"/>
          <w:color w:val="auto"/>
          <w:sz w:val="22"/>
          <w:szCs w:val="22"/>
        </w:rPr>
        <w:t>/test</w:t>
      </w:r>
    </w:p>
    <w:tbl>
      <w:tblPr>
        <w:tblStyle w:val="TableGrid"/>
        <w:tblW w:w="14385" w:type="dxa"/>
        <w:tblInd w:w="-289" w:type="dxa"/>
        <w:tblLook w:val="04A0" w:firstRow="1" w:lastRow="0" w:firstColumn="1" w:lastColumn="0" w:noHBand="0" w:noVBand="1"/>
      </w:tblPr>
      <w:tblGrid>
        <w:gridCol w:w="1719"/>
        <w:gridCol w:w="2251"/>
        <w:gridCol w:w="1228"/>
        <w:gridCol w:w="1275"/>
        <w:gridCol w:w="1313"/>
        <w:gridCol w:w="1083"/>
        <w:gridCol w:w="1274"/>
        <w:gridCol w:w="1322"/>
        <w:gridCol w:w="1386"/>
        <w:gridCol w:w="791"/>
        <w:gridCol w:w="743"/>
      </w:tblGrid>
      <w:tr w:rsidR="0083639D" w:rsidRPr="0083639D" w14:paraId="0B37CCA2" w14:textId="77777777" w:rsidTr="00E24C80">
        <w:trPr>
          <w:trHeight w:val="300"/>
        </w:trPr>
        <w:tc>
          <w:tcPr>
            <w:tcW w:w="1719" w:type="dxa"/>
            <w:tcBorders>
              <w:bottom w:val="single" w:sz="4" w:space="0" w:color="auto"/>
            </w:tcBorders>
            <w:noWrap/>
            <w:hideMark/>
          </w:tcPr>
          <w:p w14:paraId="21BA29E5"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Population group</w:t>
            </w:r>
          </w:p>
        </w:tc>
        <w:tc>
          <w:tcPr>
            <w:tcW w:w="2251" w:type="dxa"/>
            <w:tcBorders>
              <w:bottom w:val="single" w:sz="4" w:space="0" w:color="auto"/>
            </w:tcBorders>
            <w:noWrap/>
            <w:hideMark/>
          </w:tcPr>
          <w:p w14:paraId="7DE5F4E7" w14:textId="50058F25"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Model</w:t>
            </w:r>
            <w:r w:rsidR="00123ADC">
              <w:rPr>
                <w:rFonts w:asciiTheme="minorHAnsi" w:hAnsiTheme="minorHAnsi"/>
                <w:b/>
                <w:sz w:val="22"/>
                <w:szCs w:val="22"/>
              </w:rPr>
              <w:t>/test</w:t>
            </w:r>
          </w:p>
        </w:tc>
        <w:tc>
          <w:tcPr>
            <w:tcW w:w="1228" w:type="dxa"/>
            <w:tcBorders>
              <w:bottom w:val="single" w:sz="4" w:space="0" w:color="auto"/>
            </w:tcBorders>
            <w:noWrap/>
            <w:hideMark/>
          </w:tcPr>
          <w:p w14:paraId="79F14364"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 xml:space="preserve">Breakpoint </w:t>
            </w:r>
          </w:p>
        </w:tc>
        <w:tc>
          <w:tcPr>
            <w:tcW w:w="1275" w:type="dxa"/>
            <w:tcBorders>
              <w:bottom w:val="single" w:sz="4" w:space="0" w:color="auto"/>
            </w:tcBorders>
            <w:noWrap/>
            <w:hideMark/>
          </w:tcPr>
          <w:p w14:paraId="37B34EBC"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Lower 95% confidence interval</w:t>
            </w:r>
          </w:p>
        </w:tc>
        <w:tc>
          <w:tcPr>
            <w:tcW w:w="1313" w:type="dxa"/>
            <w:tcBorders>
              <w:bottom w:val="single" w:sz="4" w:space="0" w:color="auto"/>
            </w:tcBorders>
            <w:noWrap/>
            <w:hideMark/>
          </w:tcPr>
          <w:p w14:paraId="74E0626D"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Upper 95% confidence interval</w:t>
            </w:r>
          </w:p>
        </w:tc>
        <w:tc>
          <w:tcPr>
            <w:tcW w:w="1083" w:type="dxa"/>
            <w:tcBorders>
              <w:bottom w:val="single" w:sz="4" w:space="0" w:color="auto"/>
            </w:tcBorders>
            <w:noWrap/>
            <w:hideMark/>
          </w:tcPr>
          <w:p w14:paraId="5F2CF186"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P-value</w:t>
            </w:r>
          </w:p>
        </w:tc>
        <w:tc>
          <w:tcPr>
            <w:tcW w:w="1274" w:type="dxa"/>
            <w:tcBorders>
              <w:bottom w:val="single" w:sz="4" w:space="0" w:color="auto"/>
            </w:tcBorders>
            <w:noWrap/>
            <w:hideMark/>
          </w:tcPr>
          <w:p w14:paraId="5A3A7A52" w14:textId="77777777" w:rsidR="0083639D" w:rsidRPr="0083639D" w:rsidRDefault="0083639D" w:rsidP="00067492">
            <w:pPr>
              <w:pStyle w:val="BodyText1"/>
              <w:rPr>
                <w:rFonts w:asciiTheme="minorHAnsi" w:hAnsiTheme="minorHAnsi"/>
                <w:b/>
                <w:sz w:val="22"/>
                <w:szCs w:val="22"/>
              </w:rPr>
            </w:pPr>
            <w:r>
              <w:rPr>
                <w:rFonts w:asciiTheme="minorHAnsi" w:hAnsiTheme="minorHAnsi"/>
                <w:b/>
                <w:sz w:val="22"/>
                <w:szCs w:val="22"/>
              </w:rPr>
              <w:t>Additional b</w:t>
            </w:r>
            <w:r w:rsidRPr="0083639D">
              <w:rPr>
                <w:rFonts w:asciiTheme="minorHAnsi" w:hAnsiTheme="minorHAnsi"/>
                <w:b/>
                <w:sz w:val="22"/>
                <w:szCs w:val="22"/>
              </w:rPr>
              <w:t xml:space="preserve">reakpoint </w:t>
            </w:r>
          </w:p>
        </w:tc>
        <w:tc>
          <w:tcPr>
            <w:tcW w:w="1322" w:type="dxa"/>
            <w:tcBorders>
              <w:bottom w:val="single" w:sz="4" w:space="0" w:color="auto"/>
            </w:tcBorders>
            <w:noWrap/>
            <w:hideMark/>
          </w:tcPr>
          <w:p w14:paraId="10737110"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Lower 95% confidence interval</w:t>
            </w:r>
          </w:p>
        </w:tc>
        <w:tc>
          <w:tcPr>
            <w:tcW w:w="1386" w:type="dxa"/>
            <w:tcBorders>
              <w:bottom w:val="single" w:sz="4" w:space="0" w:color="auto"/>
            </w:tcBorders>
            <w:noWrap/>
            <w:hideMark/>
          </w:tcPr>
          <w:p w14:paraId="37C51B0D"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Upper 95% confidence interval</w:t>
            </w:r>
          </w:p>
        </w:tc>
        <w:tc>
          <w:tcPr>
            <w:tcW w:w="791" w:type="dxa"/>
            <w:tcBorders>
              <w:bottom w:val="single" w:sz="4" w:space="0" w:color="auto"/>
            </w:tcBorders>
            <w:noWrap/>
            <w:hideMark/>
          </w:tcPr>
          <w:p w14:paraId="1FAB89F5"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AIC</w:t>
            </w:r>
          </w:p>
        </w:tc>
        <w:tc>
          <w:tcPr>
            <w:tcW w:w="743" w:type="dxa"/>
            <w:tcBorders>
              <w:bottom w:val="single" w:sz="4" w:space="0" w:color="auto"/>
            </w:tcBorders>
            <w:noWrap/>
            <w:hideMark/>
          </w:tcPr>
          <w:p w14:paraId="12D83361" w14:textId="77777777" w:rsidR="0083639D" w:rsidRPr="0083639D" w:rsidRDefault="0083639D" w:rsidP="00067492">
            <w:pPr>
              <w:pStyle w:val="BodyText1"/>
              <w:rPr>
                <w:rFonts w:asciiTheme="minorHAnsi" w:hAnsiTheme="minorHAnsi"/>
                <w:b/>
                <w:sz w:val="22"/>
                <w:szCs w:val="22"/>
              </w:rPr>
            </w:pPr>
            <w:r w:rsidRPr="0083639D">
              <w:rPr>
                <w:rFonts w:asciiTheme="minorHAnsi" w:hAnsiTheme="minorHAnsi"/>
                <w:b/>
                <w:sz w:val="22"/>
                <w:szCs w:val="22"/>
              </w:rPr>
              <w:t>BIC</w:t>
            </w:r>
          </w:p>
        </w:tc>
      </w:tr>
      <w:tr w:rsidR="0083639D" w:rsidRPr="0083639D" w14:paraId="762DF8D8" w14:textId="77777777" w:rsidTr="00E24C80">
        <w:trPr>
          <w:trHeight w:val="300"/>
        </w:trPr>
        <w:tc>
          <w:tcPr>
            <w:tcW w:w="1719" w:type="dxa"/>
            <w:tcBorders>
              <w:bottom w:val="nil"/>
            </w:tcBorders>
            <w:noWrap/>
            <w:hideMark/>
          </w:tcPr>
          <w:p w14:paraId="76B225C2"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bottom w:val="nil"/>
            </w:tcBorders>
            <w:noWrap/>
            <w:hideMark/>
          </w:tcPr>
          <w:p w14:paraId="2B5F8B8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0B794E4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2013.7</w:t>
            </w:r>
          </w:p>
        </w:tc>
        <w:tc>
          <w:tcPr>
            <w:tcW w:w="1275" w:type="dxa"/>
            <w:tcBorders>
              <w:bottom w:val="nil"/>
            </w:tcBorders>
            <w:shd w:val="clear" w:color="auto" w:fill="F2F2F2" w:themeFill="background1" w:themeFillShade="F2"/>
            <w:noWrap/>
            <w:hideMark/>
          </w:tcPr>
          <w:p w14:paraId="47BDD50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58A1A34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4C02277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6.18E-16</w:t>
            </w:r>
          </w:p>
        </w:tc>
        <w:tc>
          <w:tcPr>
            <w:tcW w:w="1274" w:type="dxa"/>
            <w:tcBorders>
              <w:bottom w:val="nil"/>
            </w:tcBorders>
            <w:shd w:val="clear" w:color="auto" w:fill="F2F2F2" w:themeFill="background1" w:themeFillShade="F2"/>
            <w:noWrap/>
            <w:hideMark/>
          </w:tcPr>
          <w:p w14:paraId="09B21645"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100D1476"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60D6999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3CFA5A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7011CE8D"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55378627" w14:textId="77777777" w:rsidTr="00E24C80">
        <w:trPr>
          <w:trHeight w:val="300"/>
        </w:trPr>
        <w:tc>
          <w:tcPr>
            <w:tcW w:w="1719" w:type="dxa"/>
            <w:tcBorders>
              <w:top w:val="nil"/>
              <w:bottom w:val="nil"/>
            </w:tcBorders>
            <w:noWrap/>
            <w:hideMark/>
          </w:tcPr>
          <w:p w14:paraId="5CB07FF6"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top w:val="nil"/>
              <w:bottom w:val="nil"/>
            </w:tcBorders>
            <w:noWrap/>
            <w:hideMark/>
          </w:tcPr>
          <w:p w14:paraId="7A29E631" w14:textId="5094AFB1" w:rsidR="0083639D" w:rsidRPr="0083639D" w:rsidRDefault="0083639D" w:rsidP="00E24C80">
            <w:pPr>
              <w:pStyle w:val="BodyText1"/>
              <w:rPr>
                <w:rFonts w:asciiTheme="minorHAnsi" w:hAnsiTheme="minorHAnsi"/>
                <w:sz w:val="22"/>
                <w:szCs w:val="22"/>
              </w:rPr>
            </w:pPr>
            <w:r w:rsidRPr="0083639D">
              <w:rPr>
                <w:rFonts w:asciiTheme="minorHAnsi" w:hAnsiTheme="minorHAnsi"/>
                <w:sz w:val="22"/>
                <w:szCs w:val="22"/>
              </w:rPr>
              <w:t>Segmented: one</w:t>
            </w:r>
            <w:r w:rsidR="00E24C80">
              <w:rPr>
                <w:rFonts w:asciiTheme="minorHAnsi" w:hAnsiTheme="minorHAnsi"/>
                <w:sz w:val="22"/>
                <w:szCs w:val="22"/>
              </w:rPr>
              <w:t xml:space="preserve"> </w:t>
            </w:r>
            <w:r w:rsidRPr="0083639D">
              <w:rPr>
                <w:rFonts w:asciiTheme="minorHAnsi" w:hAnsiTheme="minorHAnsi"/>
                <w:sz w:val="22"/>
                <w:szCs w:val="22"/>
              </w:rPr>
              <w:t xml:space="preserve">break </w:t>
            </w:r>
          </w:p>
        </w:tc>
        <w:tc>
          <w:tcPr>
            <w:tcW w:w="1228" w:type="dxa"/>
            <w:tcBorders>
              <w:top w:val="nil"/>
              <w:bottom w:val="nil"/>
            </w:tcBorders>
            <w:noWrap/>
            <w:hideMark/>
          </w:tcPr>
          <w:p w14:paraId="3470E03C" w14:textId="72B4536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8</w:t>
            </w:r>
          </w:p>
        </w:tc>
        <w:tc>
          <w:tcPr>
            <w:tcW w:w="1275" w:type="dxa"/>
            <w:tcBorders>
              <w:top w:val="nil"/>
              <w:bottom w:val="nil"/>
            </w:tcBorders>
            <w:noWrap/>
            <w:hideMark/>
          </w:tcPr>
          <w:p w14:paraId="69573024" w14:textId="2CFC996C"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2012.9</w:t>
            </w:r>
          </w:p>
        </w:tc>
        <w:tc>
          <w:tcPr>
            <w:tcW w:w="1313" w:type="dxa"/>
            <w:tcBorders>
              <w:top w:val="nil"/>
              <w:bottom w:val="nil"/>
            </w:tcBorders>
            <w:noWrap/>
            <w:hideMark/>
          </w:tcPr>
          <w:p w14:paraId="50DEC6D2" w14:textId="21013AF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2014.6</w:t>
            </w:r>
          </w:p>
        </w:tc>
        <w:tc>
          <w:tcPr>
            <w:tcW w:w="1083" w:type="dxa"/>
            <w:tcBorders>
              <w:top w:val="nil"/>
              <w:bottom w:val="nil"/>
            </w:tcBorders>
            <w:shd w:val="clear" w:color="auto" w:fill="F2F2F2" w:themeFill="background1" w:themeFillShade="F2"/>
            <w:noWrap/>
            <w:hideMark/>
          </w:tcPr>
          <w:p w14:paraId="0D7E35C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3DE25582"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2EF72EE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5BCE084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0A1FD7B9"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1151</w:t>
            </w:r>
          </w:p>
        </w:tc>
        <w:tc>
          <w:tcPr>
            <w:tcW w:w="743" w:type="dxa"/>
            <w:tcBorders>
              <w:top w:val="nil"/>
              <w:bottom w:val="nil"/>
            </w:tcBorders>
            <w:noWrap/>
            <w:hideMark/>
          </w:tcPr>
          <w:p w14:paraId="02A37E78"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1164</w:t>
            </w:r>
          </w:p>
        </w:tc>
      </w:tr>
      <w:tr w:rsidR="0083639D" w:rsidRPr="0083639D" w14:paraId="0CF66F2D" w14:textId="77777777" w:rsidTr="00E24C80">
        <w:trPr>
          <w:trHeight w:val="300"/>
        </w:trPr>
        <w:tc>
          <w:tcPr>
            <w:tcW w:w="1719" w:type="dxa"/>
            <w:tcBorders>
              <w:top w:val="nil"/>
            </w:tcBorders>
            <w:noWrap/>
            <w:hideMark/>
          </w:tcPr>
          <w:p w14:paraId="4E2267B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all age</w:t>
            </w:r>
          </w:p>
        </w:tc>
        <w:tc>
          <w:tcPr>
            <w:tcW w:w="2251" w:type="dxa"/>
            <w:tcBorders>
              <w:top w:val="nil"/>
            </w:tcBorders>
            <w:noWrap/>
            <w:hideMark/>
          </w:tcPr>
          <w:p w14:paraId="18F2281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1CF87B7B" w14:textId="79E3B7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2012.8</w:t>
            </w:r>
          </w:p>
        </w:tc>
        <w:tc>
          <w:tcPr>
            <w:tcW w:w="1275" w:type="dxa"/>
            <w:tcBorders>
              <w:top w:val="nil"/>
            </w:tcBorders>
            <w:noWrap/>
          </w:tcPr>
          <w:p w14:paraId="03A5ECF6" w14:textId="31B3CF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2012.0</w:t>
            </w:r>
          </w:p>
        </w:tc>
        <w:tc>
          <w:tcPr>
            <w:tcW w:w="1313" w:type="dxa"/>
            <w:tcBorders>
              <w:top w:val="nil"/>
            </w:tcBorders>
            <w:noWrap/>
          </w:tcPr>
          <w:p w14:paraId="0F805397" w14:textId="7F455C9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6</w:t>
            </w:r>
          </w:p>
        </w:tc>
        <w:tc>
          <w:tcPr>
            <w:tcW w:w="1083" w:type="dxa"/>
            <w:tcBorders>
              <w:top w:val="nil"/>
            </w:tcBorders>
            <w:shd w:val="clear" w:color="auto" w:fill="F2F2F2" w:themeFill="background1" w:themeFillShade="F2"/>
            <w:noWrap/>
            <w:hideMark/>
          </w:tcPr>
          <w:p w14:paraId="4913808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0C3594A1" w14:textId="0B1E54C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1993.8</w:t>
            </w:r>
          </w:p>
        </w:tc>
        <w:tc>
          <w:tcPr>
            <w:tcW w:w="1322" w:type="dxa"/>
            <w:tcBorders>
              <w:top w:val="nil"/>
            </w:tcBorders>
            <w:noWrap/>
          </w:tcPr>
          <w:p w14:paraId="7E93AE10" w14:textId="147C125D"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1992.</w:t>
            </w:r>
            <w:r w:rsidR="00123ADC">
              <w:rPr>
                <w:rFonts w:asciiTheme="minorHAnsi" w:hAnsiTheme="minorHAnsi"/>
                <w:sz w:val="22"/>
                <w:szCs w:val="22"/>
              </w:rPr>
              <w:t>8</w:t>
            </w:r>
          </w:p>
        </w:tc>
        <w:tc>
          <w:tcPr>
            <w:tcW w:w="1386" w:type="dxa"/>
            <w:tcBorders>
              <w:top w:val="nil"/>
            </w:tcBorders>
            <w:noWrap/>
          </w:tcPr>
          <w:p w14:paraId="0289AA41" w14:textId="63ACCC15"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1994.</w:t>
            </w:r>
            <w:r w:rsidR="00123ADC">
              <w:rPr>
                <w:rFonts w:asciiTheme="minorHAnsi" w:hAnsiTheme="minorHAnsi"/>
                <w:sz w:val="22"/>
                <w:szCs w:val="22"/>
              </w:rPr>
              <w:t>9</w:t>
            </w:r>
          </w:p>
        </w:tc>
        <w:tc>
          <w:tcPr>
            <w:tcW w:w="791" w:type="dxa"/>
            <w:tcBorders>
              <w:top w:val="nil"/>
            </w:tcBorders>
            <w:noWrap/>
            <w:hideMark/>
          </w:tcPr>
          <w:p w14:paraId="76553EA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1140</w:t>
            </w:r>
          </w:p>
        </w:tc>
        <w:tc>
          <w:tcPr>
            <w:tcW w:w="743" w:type="dxa"/>
            <w:tcBorders>
              <w:top w:val="nil"/>
            </w:tcBorders>
            <w:noWrap/>
            <w:hideMark/>
          </w:tcPr>
          <w:p w14:paraId="3F50771D"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1097</w:t>
            </w:r>
          </w:p>
        </w:tc>
      </w:tr>
      <w:tr w:rsidR="0083639D" w:rsidRPr="0083639D" w14:paraId="54D1256C" w14:textId="77777777" w:rsidTr="00E24C80">
        <w:trPr>
          <w:trHeight w:val="92"/>
        </w:trPr>
        <w:tc>
          <w:tcPr>
            <w:tcW w:w="1719" w:type="dxa"/>
            <w:tcBorders>
              <w:bottom w:val="single" w:sz="4" w:space="0" w:color="auto"/>
            </w:tcBorders>
            <w:shd w:val="clear" w:color="auto" w:fill="BFBFBF" w:themeFill="background1" w:themeFillShade="BF"/>
            <w:noWrap/>
            <w:hideMark/>
          </w:tcPr>
          <w:p w14:paraId="6513CA71" w14:textId="77777777" w:rsidR="0083639D" w:rsidRPr="0083639D" w:rsidRDefault="0083639D" w:rsidP="00067492">
            <w:pPr>
              <w:pStyle w:val="BodyText1"/>
              <w:rPr>
                <w:rFonts w:asciiTheme="minorHAnsi" w:hAnsiTheme="minorHAnsi"/>
                <w:sz w:val="22"/>
                <w:szCs w:val="22"/>
              </w:rPr>
            </w:pPr>
          </w:p>
        </w:tc>
        <w:tc>
          <w:tcPr>
            <w:tcW w:w="2251" w:type="dxa"/>
            <w:tcBorders>
              <w:bottom w:val="single" w:sz="4" w:space="0" w:color="auto"/>
            </w:tcBorders>
            <w:shd w:val="clear" w:color="auto" w:fill="BFBFBF" w:themeFill="background1" w:themeFillShade="BF"/>
            <w:noWrap/>
            <w:hideMark/>
          </w:tcPr>
          <w:p w14:paraId="434A3AA0" w14:textId="77777777" w:rsidR="0083639D" w:rsidRPr="0083639D" w:rsidRDefault="0083639D" w:rsidP="00067492">
            <w:pPr>
              <w:pStyle w:val="BodyText1"/>
              <w:rPr>
                <w:rFonts w:asciiTheme="minorHAnsi" w:hAnsiTheme="minorHAnsi"/>
                <w:sz w:val="22"/>
                <w:szCs w:val="22"/>
              </w:rPr>
            </w:pPr>
          </w:p>
        </w:tc>
        <w:tc>
          <w:tcPr>
            <w:tcW w:w="1228" w:type="dxa"/>
            <w:tcBorders>
              <w:bottom w:val="single" w:sz="4" w:space="0" w:color="auto"/>
            </w:tcBorders>
            <w:shd w:val="clear" w:color="auto" w:fill="BFBFBF" w:themeFill="background1" w:themeFillShade="BF"/>
            <w:noWrap/>
            <w:hideMark/>
          </w:tcPr>
          <w:p w14:paraId="11B7E358" w14:textId="77777777" w:rsidR="0083639D" w:rsidRPr="0083639D" w:rsidRDefault="0083639D" w:rsidP="00C94B09">
            <w:pPr>
              <w:pStyle w:val="BodyText1"/>
              <w:jc w:val="right"/>
              <w:rPr>
                <w:rFonts w:asciiTheme="minorHAnsi" w:hAnsiTheme="minorHAnsi"/>
                <w:sz w:val="22"/>
                <w:szCs w:val="22"/>
              </w:rPr>
            </w:pPr>
          </w:p>
        </w:tc>
        <w:tc>
          <w:tcPr>
            <w:tcW w:w="1275" w:type="dxa"/>
            <w:tcBorders>
              <w:bottom w:val="single" w:sz="4" w:space="0" w:color="auto"/>
            </w:tcBorders>
            <w:shd w:val="clear" w:color="auto" w:fill="BFBFBF" w:themeFill="background1" w:themeFillShade="BF"/>
            <w:noWrap/>
            <w:hideMark/>
          </w:tcPr>
          <w:p w14:paraId="56996AED" w14:textId="77777777" w:rsidR="0083639D" w:rsidRPr="0083639D" w:rsidRDefault="0083639D" w:rsidP="00C94B09">
            <w:pPr>
              <w:pStyle w:val="BodyText1"/>
              <w:jc w:val="right"/>
              <w:rPr>
                <w:rFonts w:asciiTheme="minorHAnsi" w:hAnsiTheme="minorHAnsi"/>
                <w:sz w:val="22"/>
                <w:szCs w:val="22"/>
              </w:rPr>
            </w:pPr>
          </w:p>
        </w:tc>
        <w:tc>
          <w:tcPr>
            <w:tcW w:w="1313" w:type="dxa"/>
            <w:tcBorders>
              <w:bottom w:val="single" w:sz="4" w:space="0" w:color="auto"/>
            </w:tcBorders>
            <w:shd w:val="clear" w:color="auto" w:fill="BFBFBF" w:themeFill="background1" w:themeFillShade="BF"/>
            <w:noWrap/>
            <w:hideMark/>
          </w:tcPr>
          <w:p w14:paraId="56A7FCA2" w14:textId="77777777" w:rsidR="0083639D" w:rsidRPr="0083639D" w:rsidRDefault="0083639D" w:rsidP="00C94B09">
            <w:pPr>
              <w:pStyle w:val="BodyText1"/>
              <w:jc w:val="right"/>
              <w:rPr>
                <w:rFonts w:asciiTheme="minorHAnsi" w:hAnsiTheme="minorHAnsi"/>
                <w:sz w:val="22"/>
                <w:szCs w:val="22"/>
              </w:rPr>
            </w:pPr>
          </w:p>
        </w:tc>
        <w:tc>
          <w:tcPr>
            <w:tcW w:w="1083" w:type="dxa"/>
            <w:tcBorders>
              <w:bottom w:val="single" w:sz="4" w:space="0" w:color="auto"/>
            </w:tcBorders>
            <w:shd w:val="clear" w:color="auto" w:fill="BFBFBF" w:themeFill="background1" w:themeFillShade="BF"/>
            <w:noWrap/>
            <w:hideMark/>
          </w:tcPr>
          <w:p w14:paraId="0593BA55" w14:textId="77777777" w:rsidR="0083639D" w:rsidRPr="0083639D" w:rsidRDefault="0083639D" w:rsidP="00C94B09">
            <w:pPr>
              <w:pStyle w:val="BodyText1"/>
              <w:jc w:val="right"/>
              <w:rPr>
                <w:rFonts w:asciiTheme="minorHAnsi" w:hAnsiTheme="minorHAnsi"/>
                <w:sz w:val="22"/>
                <w:szCs w:val="22"/>
              </w:rPr>
            </w:pPr>
          </w:p>
        </w:tc>
        <w:tc>
          <w:tcPr>
            <w:tcW w:w="1274" w:type="dxa"/>
            <w:tcBorders>
              <w:bottom w:val="single" w:sz="4" w:space="0" w:color="auto"/>
            </w:tcBorders>
            <w:shd w:val="clear" w:color="auto" w:fill="BFBFBF" w:themeFill="background1" w:themeFillShade="BF"/>
            <w:noWrap/>
            <w:hideMark/>
          </w:tcPr>
          <w:p w14:paraId="0F5FFC70" w14:textId="77777777" w:rsidR="0083639D" w:rsidRPr="0083639D" w:rsidRDefault="0083639D" w:rsidP="00C94B09">
            <w:pPr>
              <w:pStyle w:val="BodyText1"/>
              <w:jc w:val="right"/>
              <w:rPr>
                <w:rFonts w:asciiTheme="minorHAnsi" w:hAnsiTheme="minorHAnsi"/>
                <w:sz w:val="22"/>
                <w:szCs w:val="22"/>
              </w:rPr>
            </w:pPr>
          </w:p>
        </w:tc>
        <w:tc>
          <w:tcPr>
            <w:tcW w:w="1322" w:type="dxa"/>
            <w:tcBorders>
              <w:bottom w:val="single" w:sz="4" w:space="0" w:color="auto"/>
            </w:tcBorders>
            <w:shd w:val="clear" w:color="auto" w:fill="BFBFBF" w:themeFill="background1" w:themeFillShade="BF"/>
            <w:noWrap/>
            <w:hideMark/>
          </w:tcPr>
          <w:p w14:paraId="706418F2" w14:textId="77777777" w:rsidR="0083639D" w:rsidRPr="0083639D" w:rsidRDefault="0083639D" w:rsidP="00C94B09">
            <w:pPr>
              <w:pStyle w:val="BodyText1"/>
              <w:jc w:val="right"/>
              <w:rPr>
                <w:rFonts w:asciiTheme="minorHAnsi" w:hAnsiTheme="minorHAnsi"/>
                <w:sz w:val="22"/>
                <w:szCs w:val="22"/>
              </w:rPr>
            </w:pPr>
          </w:p>
        </w:tc>
        <w:tc>
          <w:tcPr>
            <w:tcW w:w="1386" w:type="dxa"/>
            <w:tcBorders>
              <w:bottom w:val="single" w:sz="4" w:space="0" w:color="auto"/>
            </w:tcBorders>
            <w:shd w:val="clear" w:color="auto" w:fill="BFBFBF" w:themeFill="background1" w:themeFillShade="BF"/>
            <w:noWrap/>
            <w:hideMark/>
          </w:tcPr>
          <w:p w14:paraId="4B1DE7F6" w14:textId="77777777" w:rsidR="0083639D" w:rsidRPr="0083639D" w:rsidRDefault="0083639D" w:rsidP="00C94B09">
            <w:pPr>
              <w:pStyle w:val="BodyText1"/>
              <w:jc w:val="right"/>
              <w:rPr>
                <w:rFonts w:asciiTheme="minorHAnsi" w:hAnsiTheme="minorHAnsi"/>
                <w:sz w:val="22"/>
                <w:szCs w:val="22"/>
              </w:rPr>
            </w:pPr>
          </w:p>
        </w:tc>
        <w:tc>
          <w:tcPr>
            <w:tcW w:w="791" w:type="dxa"/>
            <w:tcBorders>
              <w:bottom w:val="single" w:sz="4" w:space="0" w:color="auto"/>
            </w:tcBorders>
            <w:shd w:val="clear" w:color="auto" w:fill="BFBFBF" w:themeFill="background1" w:themeFillShade="BF"/>
            <w:noWrap/>
            <w:hideMark/>
          </w:tcPr>
          <w:p w14:paraId="55589F82" w14:textId="77777777" w:rsidR="0083639D" w:rsidRPr="0083639D" w:rsidRDefault="0083639D" w:rsidP="00C94B09">
            <w:pPr>
              <w:pStyle w:val="BodyText1"/>
              <w:jc w:val="right"/>
              <w:rPr>
                <w:rFonts w:asciiTheme="minorHAnsi" w:hAnsiTheme="minorHAnsi"/>
                <w:sz w:val="22"/>
                <w:szCs w:val="22"/>
              </w:rPr>
            </w:pPr>
          </w:p>
        </w:tc>
        <w:tc>
          <w:tcPr>
            <w:tcW w:w="743" w:type="dxa"/>
            <w:tcBorders>
              <w:bottom w:val="single" w:sz="4" w:space="0" w:color="auto"/>
            </w:tcBorders>
            <w:shd w:val="clear" w:color="auto" w:fill="BFBFBF" w:themeFill="background1" w:themeFillShade="BF"/>
            <w:noWrap/>
            <w:hideMark/>
          </w:tcPr>
          <w:p w14:paraId="43EC2195" w14:textId="77777777" w:rsidR="0083639D" w:rsidRPr="0083639D" w:rsidRDefault="0083639D" w:rsidP="00C94B09">
            <w:pPr>
              <w:pStyle w:val="BodyText1"/>
              <w:jc w:val="right"/>
              <w:rPr>
                <w:rFonts w:asciiTheme="minorHAnsi" w:hAnsiTheme="minorHAnsi"/>
                <w:sz w:val="22"/>
                <w:szCs w:val="22"/>
              </w:rPr>
            </w:pPr>
          </w:p>
        </w:tc>
      </w:tr>
      <w:tr w:rsidR="0083639D" w:rsidRPr="0083639D" w14:paraId="342CBA77" w14:textId="77777777" w:rsidTr="00E24C80">
        <w:trPr>
          <w:trHeight w:val="300"/>
        </w:trPr>
        <w:tc>
          <w:tcPr>
            <w:tcW w:w="1719" w:type="dxa"/>
            <w:tcBorders>
              <w:bottom w:val="nil"/>
              <w:right w:val="single" w:sz="4" w:space="0" w:color="auto"/>
            </w:tcBorders>
            <w:noWrap/>
            <w:hideMark/>
          </w:tcPr>
          <w:p w14:paraId="7695875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left w:val="single" w:sz="4" w:space="0" w:color="auto"/>
              <w:bottom w:val="nil"/>
              <w:right w:val="single" w:sz="4" w:space="0" w:color="auto"/>
            </w:tcBorders>
            <w:noWrap/>
            <w:hideMark/>
          </w:tcPr>
          <w:p w14:paraId="6175C5A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left w:val="single" w:sz="4" w:space="0" w:color="auto"/>
              <w:bottom w:val="nil"/>
              <w:right w:val="single" w:sz="4" w:space="0" w:color="auto"/>
            </w:tcBorders>
            <w:noWrap/>
            <w:hideMark/>
          </w:tcPr>
          <w:p w14:paraId="7E2DA383"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2014.4</w:t>
            </w:r>
          </w:p>
        </w:tc>
        <w:tc>
          <w:tcPr>
            <w:tcW w:w="1275" w:type="dxa"/>
            <w:tcBorders>
              <w:left w:val="single" w:sz="4" w:space="0" w:color="auto"/>
              <w:bottom w:val="nil"/>
              <w:right w:val="single" w:sz="4" w:space="0" w:color="auto"/>
            </w:tcBorders>
            <w:shd w:val="clear" w:color="auto" w:fill="F2F2F2" w:themeFill="background1" w:themeFillShade="F2"/>
            <w:noWrap/>
            <w:hideMark/>
          </w:tcPr>
          <w:p w14:paraId="37E6C9B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left w:val="single" w:sz="4" w:space="0" w:color="auto"/>
              <w:bottom w:val="nil"/>
              <w:right w:val="single" w:sz="4" w:space="0" w:color="auto"/>
            </w:tcBorders>
            <w:shd w:val="clear" w:color="auto" w:fill="F2F2F2" w:themeFill="background1" w:themeFillShade="F2"/>
            <w:noWrap/>
            <w:hideMark/>
          </w:tcPr>
          <w:p w14:paraId="2BD5EF90"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left w:val="single" w:sz="4" w:space="0" w:color="auto"/>
              <w:bottom w:val="nil"/>
              <w:right w:val="single" w:sz="4" w:space="0" w:color="auto"/>
            </w:tcBorders>
            <w:noWrap/>
            <w:hideMark/>
          </w:tcPr>
          <w:p w14:paraId="49543EF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1.93E-08</w:t>
            </w:r>
          </w:p>
        </w:tc>
        <w:tc>
          <w:tcPr>
            <w:tcW w:w="1274" w:type="dxa"/>
            <w:tcBorders>
              <w:left w:val="single" w:sz="4" w:space="0" w:color="auto"/>
              <w:bottom w:val="nil"/>
              <w:right w:val="single" w:sz="4" w:space="0" w:color="auto"/>
            </w:tcBorders>
            <w:shd w:val="clear" w:color="auto" w:fill="F2F2F2" w:themeFill="background1" w:themeFillShade="F2"/>
            <w:noWrap/>
            <w:hideMark/>
          </w:tcPr>
          <w:p w14:paraId="4000EA97"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left w:val="single" w:sz="4" w:space="0" w:color="auto"/>
              <w:bottom w:val="nil"/>
              <w:right w:val="single" w:sz="4" w:space="0" w:color="auto"/>
            </w:tcBorders>
            <w:shd w:val="clear" w:color="auto" w:fill="F2F2F2" w:themeFill="background1" w:themeFillShade="F2"/>
            <w:noWrap/>
            <w:hideMark/>
          </w:tcPr>
          <w:p w14:paraId="7E3480A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left w:val="single" w:sz="4" w:space="0" w:color="auto"/>
              <w:bottom w:val="nil"/>
              <w:right w:val="single" w:sz="4" w:space="0" w:color="auto"/>
            </w:tcBorders>
            <w:shd w:val="clear" w:color="auto" w:fill="F2F2F2" w:themeFill="background1" w:themeFillShade="F2"/>
            <w:noWrap/>
            <w:hideMark/>
          </w:tcPr>
          <w:p w14:paraId="3F38E37B"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left w:val="single" w:sz="4" w:space="0" w:color="auto"/>
              <w:bottom w:val="nil"/>
              <w:right w:val="single" w:sz="4" w:space="0" w:color="auto"/>
            </w:tcBorders>
            <w:shd w:val="clear" w:color="auto" w:fill="F2F2F2" w:themeFill="background1" w:themeFillShade="F2"/>
            <w:noWrap/>
            <w:hideMark/>
          </w:tcPr>
          <w:p w14:paraId="047BCAEA"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left w:val="single" w:sz="4" w:space="0" w:color="auto"/>
              <w:bottom w:val="nil"/>
            </w:tcBorders>
            <w:shd w:val="clear" w:color="auto" w:fill="F2F2F2" w:themeFill="background1" w:themeFillShade="F2"/>
            <w:noWrap/>
            <w:hideMark/>
          </w:tcPr>
          <w:p w14:paraId="1C2435B2"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5D39BDFA" w14:textId="77777777" w:rsidTr="00E24C80">
        <w:trPr>
          <w:trHeight w:val="300"/>
        </w:trPr>
        <w:tc>
          <w:tcPr>
            <w:tcW w:w="1719" w:type="dxa"/>
            <w:tcBorders>
              <w:top w:val="nil"/>
              <w:bottom w:val="nil"/>
              <w:right w:val="single" w:sz="4" w:space="0" w:color="auto"/>
            </w:tcBorders>
            <w:noWrap/>
            <w:hideMark/>
          </w:tcPr>
          <w:p w14:paraId="32FA480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top w:val="nil"/>
              <w:left w:val="single" w:sz="4" w:space="0" w:color="auto"/>
              <w:bottom w:val="nil"/>
              <w:right w:val="single" w:sz="4" w:space="0" w:color="auto"/>
            </w:tcBorders>
            <w:noWrap/>
            <w:hideMark/>
          </w:tcPr>
          <w:p w14:paraId="46AA752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left w:val="single" w:sz="4" w:space="0" w:color="auto"/>
              <w:bottom w:val="nil"/>
              <w:right w:val="single" w:sz="4" w:space="0" w:color="auto"/>
            </w:tcBorders>
            <w:noWrap/>
            <w:hideMark/>
          </w:tcPr>
          <w:p w14:paraId="145E65D7" w14:textId="0329491E"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3</w:t>
            </w:r>
          </w:p>
        </w:tc>
        <w:tc>
          <w:tcPr>
            <w:tcW w:w="1275" w:type="dxa"/>
            <w:tcBorders>
              <w:top w:val="nil"/>
              <w:left w:val="single" w:sz="4" w:space="0" w:color="auto"/>
              <w:bottom w:val="nil"/>
              <w:right w:val="single" w:sz="4" w:space="0" w:color="auto"/>
            </w:tcBorders>
            <w:noWrap/>
            <w:hideMark/>
          </w:tcPr>
          <w:p w14:paraId="0475B3D0" w14:textId="47811583"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3</w:t>
            </w:r>
          </w:p>
        </w:tc>
        <w:tc>
          <w:tcPr>
            <w:tcW w:w="1313" w:type="dxa"/>
            <w:tcBorders>
              <w:top w:val="nil"/>
              <w:left w:val="single" w:sz="4" w:space="0" w:color="auto"/>
              <w:bottom w:val="nil"/>
              <w:right w:val="single" w:sz="4" w:space="0" w:color="auto"/>
            </w:tcBorders>
            <w:noWrap/>
            <w:hideMark/>
          </w:tcPr>
          <w:p w14:paraId="327FE9B6" w14:textId="28200D9D"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2015.</w:t>
            </w:r>
            <w:r w:rsidR="00123ADC">
              <w:rPr>
                <w:rFonts w:asciiTheme="minorHAnsi" w:hAnsiTheme="minorHAnsi"/>
                <w:sz w:val="22"/>
                <w:szCs w:val="22"/>
              </w:rPr>
              <w:t>5</w:t>
            </w:r>
          </w:p>
        </w:tc>
        <w:tc>
          <w:tcPr>
            <w:tcW w:w="1083" w:type="dxa"/>
            <w:tcBorders>
              <w:top w:val="nil"/>
              <w:left w:val="single" w:sz="4" w:space="0" w:color="auto"/>
              <w:bottom w:val="nil"/>
              <w:right w:val="single" w:sz="4" w:space="0" w:color="auto"/>
            </w:tcBorders>
            <w:shd w:val="clear" w:color="auto" w:fill="F2F2F2" w:themeFill="background1" w:themeFillShade="F2"/>
            <w:noWrap/>
            <w:hideMark/>
          </w:tcPr>
          <w:p w14:paraId="7035B8F7"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left w:val="single" w:sz="4" w:space="0" w:color="auto"/>
              <w:bottom w:val="nil"/>
              <w:right w:val="single" w:sz="4" w:space="0" w:color="auto"/>
            </w:tcBorders>
            <w:shd w:val="clear" w:color="auto" w:fill="F2F2F2" w:themeFill="background1" w:themeFillShade="F2"/>
            <w:noWrap/>
            <w:hideMark/>
          </w:tcPr>
          <w:p w14:paraId="5805D15E"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left w:val="single" w:sz="4" w:space="0" w:color="auto"/>
              <w:bottom w:val="nil"/>
              <w:right w:val="single" w:sz="4" w:space="0" w:color="auto"/>
            </w:tcBorders>
            <w:shd w:val="clear" w:color="auto" w:fill="F2F2F2" w:themeFill="background1" w:themeFillShade="F2"/>
            <w:noWrap/>
            <w:hideMark/>
          </w:tcPr>
          <w:p w14:paraId="723DE3E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left w:val="single" w:sz="4" w:space="0" w:color="auto"/>
              <w:bottom w:val="nil"/>
              <w:right w:val="single" w:sz="4" w:space="0" w:color="auto"/>
            </w:tcBorders>
            <w:shd w:val="clear" w:color="auto" w:fill="F2F2F2" w:themeFill="background1" w:themeFillShade="F2"/>
            <w:noWrap/>
            <w:hideMark/>
          </w:tcPr>
          <w:p w14:paraId="4B5C1BA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left w:val="single" w:sz="4" w:space="0" w:color="auto"/>
              <w:bottom w:val="nil"/>
              <w:right w:val="single" w:sz="4" w:space="0" w:color="auto"/>
            </w:tcBorders>
            <w:noWrap/>
            <w:hideMark/>
          </w:tcPr>
          <w:p w14:paraId="279EE69C"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1083</w:t>
            </w:r>
          </w:p>
        </w:tc>
        <w:tc>
          <w:tcPr>
            <w:tcW w:w="743" w:type="dxa"/>
            <w:tcBorders>
              <w:top w:val="nil"/>
              <w:left w:val="single" w:sz="4" w:space="0" w:color="auto"/>
              <w:bottom w:val="nil"/>
            </w:tcBorders>
            <w:noWrap/>
            <w:hideMark/>
          </w:tcPr>
          <w:p w14:paraId="1601C6F1"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1159</w:t>
            </w:r>
          </w:p>
        </w:tc>
      </w:tr>
      <w:tr w:rsidR="0083639D" w:rsidRPr="0083639D" w14:paraId="127AD870" w14:textId="77777777" w:rsidTr="00E24C80">
        <w:trPr>
          <w:trHeight w:val="300"/>
        </w:trPr>
        <w:tc>
          <w:tcPr>
            <w:tcW w:w="1719" w:type="dxa"/>
            <w:tcBorders>
              <w:top w:val="nil"/>
              <w:right w:val="single" w:sz="4" w:space="0" w:color="auto"/>
            </w:tcBorders>
            <w:noWrap/>
            <w:hideMark/>
          </w:tcPr>
          <w:p w14:paraId="0B3A030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all age</w:t>
            </w:r>
          </w:p>
        </w:tc>
        <w:tc>
          <w:tcPr>
            <w:tcW w:w="2251" w:type="dxa"/>
            <w:tcBorders>
              <w:top w:val="nil"/>
              <w:left w:val="single" w:sz="4" w:space="0" w:color="auto"/>
              <w:right w:val="single" w:sz="4" w:space="0" w:color="auto"/>
            </w:tcBorders>
            <w:noWrap/>
            <w:hideMark/>
          </w:tcPr>
          <w:p w14:paraId="4B92E9E6"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left w:val="single" w:sz="4" w:space="0" w:color="auto"/>
              <w:right w:val="single" w:sz="4" w:space="0" w:color="auto"/>
            </w:tcBorders>
            <w:noWrap/>
          </w:tcPr>
          <w:p w14:paraId="5E240BE6" w14:textId="340D0388"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4</w:t>
            </w:r>
          </w:p>
        </w:tc>
        <w:tc>
          <w:tcPr>
            <w:tcW w:w="1275" w:type="dxa"/>
            <w:tcBorders>
              <w:top w:val="nil"/>
              <w:left w:val="single" w:sz="4" w:space="0" w:color="auto"/>
              <w:right w:val="single" w:sz="4" w:space="0" w:color="auto"/>
            </w:tcBorders>
            <w:noWrap/>
          </w:tcPr>
          <w:p w14:paraId="27E94D40" w14:textId="2FB9D729"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4</w:t>
            </w:r>
          </w:p>
        </w:tc>
        <w:tc>
          <w:tcPr>
            <w:tcW w:w="1313" w:type="dxa"/>
            <w:tcBorders>
              <w:top w:val="nil"/>
              <w:left w:val="single" w:sz="4" w:space="0" w:color="auto"/>
              <w:right w:val="single" w:sz="4" w:space="0" w:color="auto"/>
            </w:tcBorders>
            <w:noWrap/>
          </w:tcPr>
          <w:p w14:paraId="3C4549CC" w14:textId="26C03379"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2015.4</w:t>
            </w:r>
          </w:p>
        </w:tc>
        <w:tc>
          <w:tcPr>
            <w:tcW w:w="1083" w:type="dxa"/>
            <w:tcBorders>
              <w:top w:val="nil"/>
              <w:left w:val="single" w:sz="4" w:space="0" w:color="auto"/>
              <w:right w:val="single" w:sz="4" w:space="0" w:color="auto"/>
            </w:tcBorders>
            <w:shd w:val="clear" w:color="auto" w:fill="F2F2F2" w:themeFill="background1" w:themeFillShade="F2"/>
            <w:noWrap/>
            <w:hideMark/>
          </w:tcPr>
          <w:p w14:paraId="492CDDC4"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left w:val="single" w:sz="4" w:space="0" w:color="auto"/>
              <w:right w:val="single" w:sz="4" w:space="0" w:color="auto"/>
            </w:tcBorders>
            <w:noWrap/>
          </w:tcPr>
          <w:p w14:paraId="59448D0E" w14:textId="307805DB"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1993.</w:t>
            </w:r>
            <w:r w:rsidR="00123ADC">
              <w:rPr>
                <w:rFonts w:asciiTheme="minorHAnsi" w:hAnsiTheme="minorHAnsi"/>
                <w:sz w:val="22"/>
                <w:szCs w:val="22"/>
              </w:rPr>
              <w:t>9</w:t>
            </w:r>
          </w:p>
        </w:tc>
        <w:tc>
          <w:tcPr>
            <w:tcW w:w="1322" w:type="dxa"/>
            <w:tcBorders>
              <w:top w:val="nil"/>
              <w:left w:val="single" w:sz="4" w:space="0" w:color="auto"/>
              <w:right w:val="single" w:sz="4" w:space="0" w:color="auto"/>
            </w:tcBorders>
            <w:noWrap/>
          </w:tcPr>
          <w:p w14:paraId="35E43EA8" w14:textId="45598984"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1992.2</w:t>
            </w:r>
          </w:p>
        </w:tc>
        <w:tc>
          <w:tcPr>
            <w:tcW w:w="1386" w:type="dxa"/>
            <w:tcBorders>
              <w:top w:val="nil"/>
              <w:left w:val="single" w:sz="4" w:space="0" w:color="auto"/>
              <w:right w:val="single" w:sz="4" w:space="0" w:color="auto"/>
            </w:tcBorders>
            <w:noWrap/>
          </w:tcPr>
          <w:p w14:paraId="10449471" w14:textId="0DBAC92A"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1995.</w:t>
            </w:r>
            <w:r w:rsidR="00123ADC">
              <w:rPr>
                <w:rFonts w:asciiTheme="minorHAnsi" w:hAnsiTheme="minorHAnsi"/>
                <w:sz w:val="22"/>
                <w:szCs w:val="22"/>
              </w:rPr>
              <w:t>5</w:t>
            </w:r>
          </w:p>
        </w:tc>
        <w:tc>
          <w:tcPr>
            <w:tcW w:w="791" w:type="dxa"/>
            <w:tcBorders>
              <w:top w:val="nil"/>
              <w:left w:val="single" w:sz="4" w:space="0" w:color="auto"/>
              <w:right w:val="single" w:sz="4" w:space="0" w:color="auto"/>
            </w:tcBorders>
            <w:noWrap/>
            <w:hideMark/>
          </w:tcPr>
          <w:p w14:paraId="31FF6B9F"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1063</w:t>
            </w:r>
          </w:p>
        </w:tc>
        <w:tc>
          <w:tcPr>
            <w:tcW w:w="743" w:type="dxa"/>
            <w:tcBorders>
              <w:top w:val="nil"/>
              <w:left w:val="single" w:sz="4" w:space="0" w:color="auto"/>
            </w:tcBorders>
            <w:noWrap/>
            <w:hideMark/>
          </w:tcPr>
          <w:p w14:paraId="2ED091EC" w14:textId="77777777" w:rsidR="0083639D" w:rsidRPr="0083639D" w:rsidRDefault="0083639D" w:rsidP="00652077">
            <w:pPr>
              <w:pStyle w:val="BodyText1"/>
              <w:jc w:val="right"/>
              <w:rPr>
                <w:rFonts w:asciiTheme="minorHAnsi" w:hAnsiTheme="minorHAnsi"/>
                <w:sz w:val="22"/>
                <w:szCs w:val="22"/>
              </w:rPr>
            </w:pPr>
            <w:r w:rsidRPr="0083639D">
              <w:rPr>
                <w:rFonts w:asciiTheme="minorHAnsi" w:hAnsiTheme="minorHAnsi"/>
                <w:sz w:val="22"/>
                <w:szCs w:val="22"/>
              </w:rPr>
              <w:t>1082</w:t>
            </w:r>
          </w:p>
        </w:tc>
      </w:tr>
      <w:tr w:rsidR="0083639D" w:rsidRPr="0083639D" w14:paraId="05707EFD" w14:textId="77777777" w:rsidTr="00E24C80">
        <w:trPr>
          <w:trHeight w:val="70"/>
        </w:trPr>
        <w:tc>
          <w:tcPr>
            <w:tcW w:w="1719" w:type="dxa"/>
            <w:tcBorders>
              <w:bottom w:val="single" w:sz="4" w:space="0" w:color="auto"/>
              <w:right w:val="nil"/>
            </w:tcBorders>
            <w:shd w:val="clear" w:color="auto" w:fill="BFBFBF" w:themeFill="background1" w:themeFillShade="BF"/>
            <w:noWrap/>
            <w:hideMark/>
          </w:tcPr>
          <w:p w14:paraId="0DCE0207" w14:textId="77777777" w:rsidR="0083639D" w:rsidRPr="0083639D" w:rsidRDefault="0083639D" w:rsidP="00067492">
            <w:pPr>
              <w:pStyle w:val="BodyText1"/>
              <w:rPr>
                <w:rFonts w:asciiTheme="minorHAnsi" w:hAnsiTheme="minorHAnsi"/>
                <w:sz w:val="22"/>
                <w:szCs w:val="22"/>
              </w:rPr>
            </w:pPr>
          </w:p>
        </w:tc>
        <w:tc>
          <w:tcPr>
            <w:tcW w:w="2251" w:type="dxa"/>
            <w:tcBorders>
              <w:left w:val="nil"/>
              <w:bottom w:val="single" w:sz="4" w:space="0" w:color="auto"/>
              <w:right w:val="nil"/>
            </w:tcBorders>
            <w:shd w:val="clear" w:color="auto" w:fill="BFBFBF" w:themeFill="background1" w:themeFillShade="BF"/>
            <w:noWrap/>
            <w:hideMark/>
          </w:tcPr>
          <w:p w14:paraId="33308901" w14:textId="77777777" w:rsidR="0083639D" w:rsidRPr="0083639D" w:rsidRDefault="0083639D" w:rsidP="00067492">
            <w:pPr>
              <w:pStyle w:val="BodyText1"/>
              <w:rPr>
                <w:rFonts w:asciiTheme="minorHAnsi" w:hAnsiTheme="minorHAnsi"/>
                <w:sz w:val="22"/>
                <w:szCs w:val="22"/>
              </w:rPr>
            </w:pPr>
          </w:p>
        </w:tc>
        <w:tc>
          <w:tcPr>
            <w:tcW w:w="1228" w:type="dxa"/>
            <w:tcBorders>
              <w:left w:val="nil"/>
              <w:bottom w:val="single" w:sz="4" w:space="0" w:color="auto"/>
              <w:right w:val="nil"/>
            </w:tcBorders>
            <w:shd w:val="clear" w:color="auto" w:fill="BFBFBF" w:themeFill="background1" w:themeFillShade="BF"/>
            <w:noWrap/>
            <w:hideMark/>
          </w:tcPr>
          <w:p w14:paraId="6804C99F" w14:textId="77777777" w:rsidR="0083639D" w:rsidRPr="0083639D" w:rsidRDefault="0083639D" w:rsidP="00C94B09">
            <w:pPr>
              <w:pStyle w:val="BodyText1"/>
              <w:jc w:val="right"/>
              <w:rPr>
                <w:rFonts w:asciiTheme="minorHAnsi" w:hAnsiTheme="minorHAnsi"/>
                <w:sz w:val="22"/>
                <w:szCs w:val="22"/>
              </w:rPr>
            </w:pPr>
          </w:p>
        </w:tc>
        <w:tc>
          <w:tcPr>
            <w:tcW w:w="1275" w:type="dxa"/>
            <w:tcBorders>
              <w:left w:val="nil"/>
              <w:bottom w:val="single" w:sz="4" w:space="0" w:color="auto"/>
              <w:right w:val="nil"/>
            </w:tcBorders>
            <w:shd w:val="clear" w:color="auto" w:fill="BFBFBF" w:themeFill="background1" w:themeFillShade="BF"/>
            <w:noWrap/>
            <w:hideMark/>
          </w:tcPr>
          <w:p w14:paraId="1AB7C5EF" w14:textId="77777777" w:rsidR="0083639D" w:rsidRPr="0083639D" w:rsidRDefault="0083639D" w:rsidP="00C94B09">
            <w:pPr>
              <w:pStyle w:val="BodyText1"/>
              <w:jc w:val="right"/>
              <w:rPr>
                <w:rFonts w:asciiTheme="minorHAnsi" w:hAnsiTheme="minorHAnsi"/>
                <w:sz w:val="22"/>
                <w:szCs w:val="22"/>
              </w:rPr>
            </w:pPr>
          </w:p>
        </w:tc>
        <w:tc>
          <w:tcPr>
            <w:tcW w:w="1313" w:type="dxa"/>
            <w:tcBorders>
              <w:left w:val="nil"/>
              <w:bottom w:val="single" w:sz="4" w:space="0" w:color="auto"/>
              <w:right w:val="nil"/>
            </w:tcBorders>
            <w:shd w:val="clear" w:color="auto" w:fill="BFBFBF" w:themeFill="background1" w:themeFillShade="BF"/>
            <w:noWrap/>
            <w:hideMark/>
          </w:tcPr>
          <w:p w14:paraId="17312E41" w14:textId="77777777" w:rsidR="0083639D" w:rsidRPr="0083639D" w:rsidRDefault="0083639D" w:rsidP="00C94B09">
            <w:pPr>
              <w:pStyle w:val="BodyText1"/>
              <w:jc w:val="right"/>
              <w:rPr>
                <w:rFonts w:asciiTheme="minorHAnsi" w:hAnsiTheme="minorHAnsi"/>
                <w:sz w:val="22"/>
                <w:szCs w:val="22"/>
              </w:rPr>
            </w:pPr>
          </w:p>
        </w:tc>
        <w:tc>
          <w:tcPr>
            <w:tcW w:w="1083" w:type="dxa"/>
            <w:tcBorders>
              <w:left w:val="nil"/>
              <w:bottom w:val="single" w:sz="4" w:space="0" w:color="auto"/>
              <w:right w:val="nil"/>
            </w:tcBorders>
            <w:shd w:val="clear" w:color="auto" w:fill="BFBFBF" w:themeFill="background1" w:themeFillShade="BF"/>
            <w:noWrap/>
            <w:hideMark/>
          </w:tcPr>
          <w:p w14:paraId="54C83194" w14:textId="77777777" w:rsidR="0083639D" w:rsidRPr="0083639D" w:rsidRDefault="0083639D" w:rsidP="00C94B09">
            <w:pPr>
              <w:pStyle w:val="BodyText1"/>
              <w:jc w:val="right"/>
              <w:rPr>
                <w:rFonts w:asciiTheme="minorHAnsi" w:hAnsiTheme="minorHAnsi"/>
                <w:sz w:val="22"/>
                <w:szCs w:val="22"/>
              </w:rPr>
            </w:pPr>
          </w:p>
        </w:tc>
        <w:tc>
          <w:tcPr>
            <w:tcW w:w="1274" w:type="dxa"/>
            <w:tcBorders>
              <w:left w:val="nil"/>
              <w:bottom w:val="single" w:sz="4" w:space="0" w:color="auto"/>
              <w:right w:val="nil"/>
            </w:tcBorders>
            <w:shd w:val="clear" w:color="auto" w:fill="BFBFBF" w:themeFill="background1" w:themeFillShade="BF"/>
            <w:noWrap/>
            <w:hideMark/>
          </w:tcPr>
          <w:p w14:paraId="1F22DCED" w14:textId="77777777" w:rsidR="0083639D" w:rsidRPr="0083639D" w:rsidRDefault="0083639D" w:rsidP="00C94B09">
            <w:pPr>
              <w:pStyle w:val="BodyText1"/>
              <w:jc w:val="right"/>
              <w:rPr>
                <w:rFonts w:asciiTheme="minorHAnsi" w:hAnsiTheme="minorHAnsi"/>
                <w:sz w:val="22"/>
                <w:szCs w:val="22"/>
              </w:rPr>
            </w:pPr>
          </w:p>
        </w:tc>
        <w:tc>
          <w:tcPr>
            <w:tcW w:w="1322" w:type="dxa"/>
            <w:tcBorders>
              <w:left w:val="nil"/>
              <w:bottom w:val="single" w:sz="4" w:space="0" w:color="auto"/>
              <w:right w:val="nil"/>
            </w:tcBorders>
            <w:shd w:val="clear" w:color="auto" w:fill="BFBFBF" w:themeFill="background1" w:themeFillShade="BF"/>
            <w:noWrap/>
            <w:hideMark/>
          </w:tcPr>
          <w:p w14:paraId="178221A1" w14:textId="77777777" w:rsidR="0083639D" w:rsidRPr="0083639D" w:rsidRDefault="0083639D" w:rsidP="00C94B09">
            <w:pPr>
              <w:pStyle w:val="BodyText1"/>
              <w:jc w:val="right"/>
              <w:rPr>
                <w:rFonts w:asciiTheme="minorHAnsi" w:hAnsiTheme="minorHAnsi"/>
                <w:sz w:val="22"/>
                <w:szCs w:val="22"/>
              </w:rPr>
            </w:pPr>
          </w:p>
        </w:tc>
        <w:tc>
          <w:tcPr>
            <w:tcW w:w="1386" w:type="dxa"/>
            <w:tcBorders>
              <w:left w:val="nil"/>
              <w:bottom w:val="single" w:sz="4" w:space="0" w:color="auto"/>
              <w:right w:val="nil"/>
            </w:tcBorders>
            <w:shd w:val="clear" w:color="auto" w:fill="BFBFBF" w:themeFill="background1" w:themeFillShade="BF"/>
            <w:noWrap/>
            <w:hideMark/>
          </w:tcPr>
          <w:p w14:paraId="7650D36F" w14:textId="77777777" w:rsidR="0083639D" w:rsidRPr="0083639D" w:rsidRDefault="0083639D" w:rsidP="00C94B09">
            <w:pPr>
              <w:pStyle w:val="BodyText1"/>
              <w:jc w:val="right"/>
              <w:rPr>
                <w:rFonts w:asciiTheme="minorHAnsi" w:hAnsiTheme="minorHAnsi"/>
                <w:sz w:val="22"/>
                <w:szCs w:val="22"/>
              </w:rPr>
            </w:pPr>
          </w:p>
        </w:tc>
        <w:tc>
          <w:tcPr>
            <w:tcW w:w="791" w:type="dxa"/>
            <w:tcBorders>
              <w:left w:val="nil"/>
              <w:bottom w:val="single" w:sz="4" w:space="0" w:color="auto"/>
              <w:right w:val="nil"/>
            </w:tcBorders>
            <w:shd w:val="clear" w:color="auto" w:fill="BFBFBF" w:themeFill="background1" w:themeFillShade="BF"/>
            <w:noWrap/>
            <w:hideMark/>
          </w:tcPr>
          <w:p w14:paraId="15CC4123" w14:textId="77777777" w:rsidR="0083639D" w:rsidRPr="0083639D" w:rsidRDefault="0083639D" w:rsidP="00C94B09">
            <w:pPr>
              <w:pStyle w:val="BodyText1"/>
              <w:jc w:val="right"/>
              <w:rPr>
                <w:rFonts w:asciiTheme="minorHAnsi" w:hAnsiTheme="minorHAnsi"/>
                <w:sz w:val="22"/>
                <w:szCs w:val="22"/>
              </w:rPr>
            </w:pPr>
          </w:p>
        </w:tc>
        <w:tc>
          <w:tcPr>
            <w:tcW w:w="743" w:type="dxa"/>
            <w:tcBorders>
              <w:left w:val="nil"/>
              <w:bottom w:val="single" w:sz="4" w:space="0" w:color="auto"/>
            </w:tcBorders>
            <w:shd w:val="clear" w:color="auto" w:fill="BFBFBF" w:themeFill="background1" w:themeFillShade="BF"/>
            <w:noWrap/>
            <w:hideMark/>
          </w:tcPr>
          <w:p w14:paraId="57EBA046" w14:textId="77777777" w:rsidR="0083639D" w:rsidRPr="0083639D" w:rsidRDefault="0083639D" w:rsidP="00C94B09">
            <w:pPr>
              <w:pStyle w:val="BodyText1"/>
              <w:jc w:val="right"/>
              <w:rPr>
                <w:rFonts w:asciiTheme="minorHAnsi" w:hAnsiTheme="minorHAnsi"/>
                <w:sz w:val="22"/>
                <w:szCs w:val="22"/>
              </w:rPr>
            </w:pPr>
          </w:p>
        </w:tc>
      </w:tr>
      <w:tr w:rsidR="0083639D" w:rsidRPr="0083639D" w14:paraId="57CB2845" w14:textId="77777777" w:rsidTr="00E24C80">
        <w:trPr>
          <w:trHeight w:val="300"/>
        </w:trPr>
        <w:tc>
          <w:tcPr>
            <w:tcW w:w="1719" w:type="dxa"/>
            <w:tcBorders>
              <w:bottom w:val="nil"/>
            </w:tcBorders>
            <w:noWrap/>
            <w:hideMark/>
          </w:tcPr>
          <w:p w14:paraId="47C4766B" w14:textId="3895D03E"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bottom w:val="nil"/>
            </w:tcBorders>
            <w:noWrap/>
            <w:hideMark/>
          </w:tcPr>
          <w:p w14:paraId="56FFBDC9"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2C20BCD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2013.5</w:t>
            </w:r>
          </w:p>
        </w:tc>
        <w:tc>
          <w:tcPr>
            <w:tcW w:w="1275" w:type="dxa"/>
            <w:tcBorders>
              <w:bottom w:val="nil"/>
            </w:tcBorders>
            <w:shd w:val="clear" w:color="auto" w:fill="F2F2F2" w:themeFill="background1" w:themeFillShade="F2"/>
            <w:noWrap/>
            <w:hideMark/>
          </w:tcPr>
          <w:p w14:paraId="7EF9180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351BF73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0CE90DF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&lt; 2.2e-16</w:t>
            </w:r>
          </w:p>
        </w:tc>
        <w:tc>
          <w:tcPr>
            <w:tcW w:w="1274" w:type="dxa"/>
            <w:tcBorders>
              <w:bottom w:val="nil"/>
            </w:tcBorders>
            <w:shd w:val="clear" w:color="auto" w:fill="F2F2F2" w:themeFill="background1" w:themeFillShade="F2"/>
            <w:noWrap/>
            <w:hideMark/>
          </w:tcPr>
          <w:p w14:paraId="63C9B40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4C0BDDE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7E4C1E8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493C5C2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2BA799FC"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0F05670F" w14:textId="77777777" w:rsidTr="00E24C80">
        <w:trPr>
          <w:trHeight w:val="300"/>
        </w:trPr>
        <w:tc>
          <w:tcPr>
            <w:tcW w:w="1719" w:type="dxa"/>
            <w:tcBorders>
              <w:top w:val="nil"/>
              <w:bottom w:val="nil"/>
            </w:tcBorders>
            <w:noWrap/>
            <w:hideMark/>
          </w:tcPr>
          <w:p w14:paraId="27D4C319" w14:textId="39FCDD3B"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top w:val="nil"/>
              <w:bottom w:val="nil"/>
            </w:tcBorders>
            <w:noWrap/>
            <w:hideMark/>
          </w:tcPr>
          <w:p w14:paraId="284D5C5E"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3ADD4429" w14:textId="1F6B914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5</w:t>
            </w:r>
          </w:p>
        </w:tc>
        <w:tc>
          <w:tcPr>
            <w:tcW w:w="1275" w:type="dxa"/>
            <w:tcBorders>
              <w:top w:val="nil"/>
              <w:bottom w:val="nil"/>
            </w:tcBorders>
            <w:noWrap/>
            <w:hideMark/>
          </w:tcPr>
          <w:p w14:paraId="558CB3B5" w14:textId="2D66997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2012.8</w:t>
            </w:r>
          </w:p>
        </w:tc>
        <w:tc>
          <w:tcPr>
            <w:tcW w:w="1313" w:type="dxa"/>
            <w:tcBorders>
              <w:top w:val="nil"/>
              <w:bottom w:val="nil"/>
            </w:tcBorders>
            <w:noWrap/>
            <w:hideMark/>
          </w:tcPr>
          <w:p w14:paraId="11D7064A" w14:textId="472857FF"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1</w:t>
            </w:r>
          </w:p>
        </w:tc>
        <w:tc>
          <w:tcPr>
            <w:tcW w:w="1083" w:type="dxa"/>
            <w:tcBorders>
              <w:top w:val="nil"/>
              <w:bottom w:val="nil"/>
            </w:tcBorders>
            <w:shd w:val="clear" w:color="auto" w:fill="F2F2F2" w:themeFill="background1" w:themeFillShade="F2"/>
            <w:noWrap/>
            <w:hideMark/>
          </w:tcPr>
          <w:p w14:paraId="01190F1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3963ABE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3FC6CDF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48D8EE4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453ACAD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874</w:t>
            </w:r>
          </w:p>
        </w:tc>
        <w:tc>
          <w:tcPr>
            <w:tcW w:w="743" w:type="dxa"/>
            <w:tcBorders>
              <w:top w:val="nil"/>
              <w:bottom w:val="nil"/>
            </w:tcBorders>
            <w:noWrap/>
            <w:hideMark/>
          </w:tcPr>
          <w:p w14:paraId="7B83EC1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888</w:t>
            </w:r>
          </w:p>
        </w:tc>
      </w:tr>
      <w:tr w:rsidR="0083639D" w:rsidRPr="0083639D" w14:paraId="04EC02C5" w14:textId="77777777" w:rsidTr="00E24C80">
        <w:trPr>
          <w:trHeight w:val="300"/>
        </w:trPr>
        <w:tc>
          <w:tcPr>
            <w:tcW w:w="1719" w:type="dxa"/>
            <w:tcBorders>
              <w:top w:val="nil"/>
              <w:bottom w:val="nil"/>
            </w:tcBorders>
            <w:noWrap/>
            <w:hideMark/>
          </w:tcPr>
          <w:p w14:paraId="5D4F542F" w14:textId="642D9AEE"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top w:val="nil"/>
              <w:bottom w:val="nil"/>
            </w:tcBorders>
            <w:noWrap/>
            <w:hideMark/>
          </w:tcPr>
          <w:p w14:paraId="475D6F9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bottom w:val="nil"/>
            </w:tcBorders>
            <w:noWrap/>
          </w:tcPr>
          <w:p w14:paraId="668E7F2B" w14:textId="321CB08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w:t>
            </w:r>
            <w:r w:rsidR="00123ADC">
              <w:rPr>
                <w:rFonts w:asciiTheme="minorHAnsi" w:hAnsiTheme="minorHAnsi"/>
                <w:sz w:val="22"/>
                <w:szCs w:val="22"/>
              </w:rPr>
              <w:t>3</w:t>
            </w:r>
            <w:r w:rsidRPr="0083639D">
              <w:rPr>
                <w:rFonts w:asciiTheme="minorHAnsi" w:hAnsiTheme="minorHAnsi"/>
                <w:sz w:val="22"/>
                <w:szCs w:val="22"/>
              </w:rPr>
              <w:t>.</w:t>
            </w:r>
            <w:r w:rsidR="00123ADC">
              <w:rPr>
                <w:rFonts w:asciiTheme="minorHAnsi" w:hAnsiTheme="minorHAnsi"/>
                <w:sz w:val="22"/>
                <w:szCs w:val="22"/>
              </w:rPr>
              <w:t>0</w:t>
            </w:r>
          </w:p>
        </w:tc>
        <w:tc>
          <w:tcPr>
            <w:tcW w:w="1275" w:type="dxa"/>
            <w:tcBorders>
              <w:top w:val="nil"/>
              <w:bottom w:val="nil"/>
            </w:tcBorders>
            <w:noWrap/>
          </w:tcPr>
          <w:p w14:paraId="03B17EE0" w14:textId="4004854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w:t>
            </w:r>
            <w:r w:rsidR="00123ADC">
              <w:rPr>
                <w:rFonts w:asciiTheme="minorHAnsi" w:hAnsiTheme="minorHAnsi"/>
                <w:sz w:val="22"/>
                <w:szCs w:val="22"/>
              </w:rPr>
              <w:t>5</w:t>
            </w:r>
          </w:p>
        </w:tc>
        <w:tc>
          <w:tcPr>
            <w:tcW w:w="1313" w:type="dxa"/>
            <w:tcBorders>
              <w:top w:val="nil"/>
              <w:bottom w:val="nil"/>
            </w:tcBorders>
            <w:noWrap/>
          </w:tcPr>
          <w:p w14:paraId="4B5CFA37" w14:textId="619B018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5</w:t>
            </w:r>
          </w:p>
        </w:tc>
        <w:tc>
          <w:tcPr>
            <w:tcW w:w="1083" w:type="dxa"/>
            <w:tcBorders>
              <w:top w:val="nil"/>
              <w:bottom w:val="nil"/>
            </w:tcBorders>
            <w:shd w:val="clear" w:color="auto" w:fill="F2F2F2" w:themeFill="background1" w:themeFillShade="F2"/>
            <w:noWrap/>
            <w:hideMark/>
          </w:tcPr>
          <w:p w14:paraId="48F7FB9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noWrap/>
          </w:tcPr>
          <w:p w14:paraId="6C7B304F" w14:textId="45FE3129"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1994.1</w:t>
            </w:r>
          </w:p>
        </w:tc>
        <w:tc>
          <w:tcPr>
            <w:tcW w:w="1322" w:type="dxa"/>
            <w:tcBorders>
              <w:top w:val="nil"/>
              <w:bottom w:val="nil"/>
            </w:tcBorders>
            <w:noWrap/>
          </w:tcPr>
          <w:p w14:paraId="4CF934D8" w14:textId="6FDD4C7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1993.</w:t>
            </w:r>
            <w:r w:rsidR="00123ADC">
              <w:rPr>
                <w:rFonts w:asciiTheme="minorHAnsi" w:hAnsiTheme="minorHAnsi"/>
                <w:sz w:val="22"/>
                <w:szCs w:val="22"/>
              </w:rPr>
              <w:t>3</w:t>
            </w:r>
          </w:p>
        </w:tc>
        <w:tc>
          <w:tcPr>
            <w:tcW w:w="1386" w:type="dxa"/>
            <w:tcBorders>
              <w:top w:val="nil"/>
              <w:bottom w:val="nil"/>
            </w:tcBorders>
            <w:noWrap/>
          </w:tcPr>
          <w:p w14:paraId="0F6D1CE9" w14:textId="243C1452"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1995.0</w:t>
            </w:r>
          </w:p>
        </w:tc>
        <w:tc>
          <w:tcPr>
            <w:tcW w:w="791" w:type="dxa"/>
            <w:tcBorders>
              <w:top w:val="nil"/>
              <w:bottom w:val="nil"/>
            </w:tcBorders>
            <w:noWrap/>
            <w:hideMark/>
          </w:tcPr>
          <w:p w14:paraId="67FAD35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835</w:t>
            </w:r>
          </w:p>
        </w:tc>
        <w:tc>
          <w:tcPr>
            <w:tcW w:w="743" w:type="dxa"/>
            <w:tcBorders>
              <w:top w:val="nil"/>
              <w:bottom w:val="nil"/>
            </w:tcBorders>
            <w:noWrap/>
            <w:hideMark/>
          </w:tcPr>
          <w:p w14:paraId="1C8A690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735</w:t>
            </w:r>
          </w:p>
        </w:tc>
      </w:tr>
      <w:tr w:rsidR="0083639D" w:rsidRPr="0083639D" w14:paraId="2624C96C" w14:textId="77777777" w:rsidTr="00C94B09">
        <w:trPr>
          <w:trHeight w:val="80"/>
        </w:trPr>
        <w:tc>
          <w:tcPr>
            <w:tcW w:w="1719" w:type="dxa"/>
            <w:tcBorders>
              <w:top w:val="nil"/>
              <w:bottom w:val="single" w:sz="4" w:space="0" w:color="auto"/>
            </w:tcBorders>
            <w:shd w:val="clear" w:color="auto" w:fill="BFBFBF" w:themeFill="background1" w:themeFillShade="BF"/>
            <w:noWrap/>
            <w:hideMark/>
          </w:tcPr>
          <w:p w14:paraId="6D32EF25" w14:textId="77777777" w:rsidR="0083639D" w:rsidRPr="0083639D" w:rsidRDefault="0083639D" w:rsidP="00067492">
            <w:pPr>
              <w:pStyle w:val="BodyText1"/>
              <w:rPr>
                <w:rFonts w:asciiTheme="minorHAnsi" w:hAnsiTheme="minorHAnsi"/>
                <w:sz w:val="22"/>
                <w:szCs w:val="22"/>
              </w:rPr>
            </w:pPr>
          </w:p>
        </w:tc>
        <w:tc>
          <w:tcPr>
            <w:tcW w:w="2251" w:type="dxa"/>
            <w:tcBorders>
              <w:top w:val="nil"/>
              <w:bottom w:val="single" w:sz="4" w:space="0" w:color="auto"/>
            </w:tcBorders>
            <w:shd w:val="clear" w:color="auto" w:fill="BFBFBF" w:themeFill="background1" w:themeFillShade="BF"/>
            <w:noWrap/>
            <w:hideMark/>
          </w:tcPr>
          <w:p w14:paraId="560D4564" w14:textId="77777777" w:rsidR="0083639D" w:rsidRPr="0083639D" w:rsidRDefault="0083639D" w:rsidP="00067492">
            <w:pPr>
              <w:pStyle w:val="BodyText1"/>
              <w:rPr>
                <w:rFonts w:asciiTheme="minorHAnsi" w:hAnsiTheme="minorHAnsi"/>
                <w:sz w:val="22"/>
                <w:szCs w:val="22"/>
              </w:rPr>
            </w:pPr>
          </w:p>
        </w:tc>
        <w:tc>
          <w:tcPr>
            <w:tcW w:w="1228" w:type="dxa"/>
            <w:tcBorders>
              <w:top w:val="nil"/>
              <w:bottom w:val="single" w:sz="4" w:space="0" w:color="auto"/>
            </w:tcBorders>
            <w:shd w:val="clear" w:color="auto" w:fill="BFBFBF" w:themeFill="background1" w:themeFillShade="BF"/>
            <w:noWrap/>
            <w:hideMark/>
          </w:tcPr>
          <w:p w14:paraId="562BFD58" w14:textId="77777777" w:rsidR="0083639D" w:rsidRPr="0083639D" w:rsidRDefault="0083639D" w:rsidP="00C94B09">
            <w:pPr>
              <w:pStyle w:val="BodyText1"/>
              <w:jc w:val="right"/>
              <w:rPr>
                <w:rFonts w:asciiTheme="minorHAnsi" w:hAnsiTheme="minorHAnsi"/>
                <w:sz w:val="22"/>
                <w:szCs w:val="22"/>
              </w:rPr>
            </w:pPr>
          </w:p>
        </w:tc>
        <w:tc>
          <w:tcPr>
            <w:tcW w:w="1275" w:type="dxa"/>
            <w:tcBorders>
              <w:top w:val="nil"/>
              <w:bottom w:val="single" w:sz="4" w:space="0" w:color="auto"/>
            </w:tcBorders>
            <w:shd w:val="clear" w:color="auto" w:fill="BFBFBF" w:themeFill="background1" w:themeFillShade="BF"/>
            <w:noWrap/>
            <w:hideMark/>
          </w:tcPr>
          <w:p w14:paraId="70A30803" w14:textId="77777777" w:rsidR="0083639D" w:rsidRPr="0083639D" w:rsidRDefault="0083639D" w:rsidP="00C94B09">
            <w:pPr>
              <w:pStyle w:val="BodyText1"/>
              <w:jc w:val="right"/>
              <w:rPr>
                <w:rFonts w:asciiTheme="minorHAnsi" w:hAnsiTheme="minorHAnsi"/>
                <w:sz w:val="22"/>
                <w:szCs w:val="22"/>
              </w:rPr>
            </w:pPr>
          </w:p>
        </w:tc>
        <w:tc>
          <w:tcPr>
            <w:tcW w:w="1313" w:type="dxa"/>
            <w:tcBorders>
              <w:top w:val="nil"/>
              <w:bottom w:val="single" w:sz="4" w:space="0" w:color="auto"/>
            </w:tcBorders>
            <w:shd w:val="clear" w:color="auto" w:fill="BFBFBF" w:themeFill="background1" w:themeFillShade="BF"/>
            <w:noWrap/>
            <w:hideMark/>
          </w:tcPr>
          <w:p w14:paraId="39773C46" w14:textId="77777777" w:rsidR="0083639D" w:rsidRPr="0083639D" w:rsidRDefault="0083639D" w:rsidP="00C94B09">
            <w:pPr>
              <w:pStyle w:val="BodyText1"/>
              <w:jc w:val="right"/>
              <w:rPr>
                <w:rFonts w:asciiTheme="minorHAnsi" w:hAnsiTheme="minorHAnsi"/>
                <w:sz w:val="22"/>
                <w:szCs w:val="22"/>
              </w:rPr>
            </w:pPr>
          </w:p>
        </w:tc>
        <w:tc>
          <w:tcPr>
            <w:tcW w:w="1083" w:type="dxa"/>
            <w:tcBorders>
              <w:top w:val="nil"/>
              <w:bottom w:val="single" w:sz="4" w:space="0" w:color="auto"/>
            </w:tcBorders>
            <w:shd w:val="clear" w:color="auto" w:fill="BFBFBF" w:themeFill="background1" w:themeFillShade="BF"/>
            <w:noWrap/>
            <w:hideMark/>
          </w:tcPr>
          <w:p w14:paraId="2E501389" w14:textId="77777777" w:rsidR="0083639D" w:rsidRPr="0083639D" w:rsidRDefault="0083639D" w:rsidP="00C94B09">
            <w:pPr>
              <w:pStyle w:val="BodyText1"/>
              <w:jc w:val="right"/>
              <w:rPr>
                <w:rFonts w:asciiTheme="minorHAnsi" w:hAnsiTheme="minorHAnsi"/>
                <w:sz w:val="22"/>
                <w:szCs w:val="22"/>
              </w:rPr>
            </w:pPr>
          </w:p>
        </w:tc>
        <w:tc>
          <w:tcPr>
            <w:tcW w:w="1274" w:type="dxa"/>
            <w:tcBorders>
              <w:top w:val="nil"/>
              <w:bottom w:val="single" w:sz="4" w:space="0" w:color="auto"/>
            </w:tcBorders>
            <w:shd w:val="clear" w:color="auto" w:fill="BFBFBF" w:themeFill="background1" w:themeFillShade="BF"/>
            <w:noWrap/>
            <w:hideMark/>
          </w:tcPr>
          <w:p w14:paraId="510A3AE5" w14:textId="77777777" w:rsidR="0083639D" w:rsidRPr="0083639D" w:rsidRDefault="0083639D" w:rsidP="00C94B09">
            <w:pPr>
              <w:pStyle w:val="BodyText1"/>
              <w:jc w:val="right"/>
              <w:rPr>
                <w:rFonts w:asciiTheme="minorHAnsi" w:hAnsiTheme="minorHAnsi"/>
                <w:sz w:val="22"/>
                <w:szCs w:val="22"/>
              </w:rPr>
            </w:pPr>
          </w:p>
        </w:tc>
        <w:tc>
          <w:tcPr>
            <w:tcW w:w="1322" w:type="dxa"/>
            <w:tcBorders>
              <w:top w:val="nil"/>
              <w:bottom w:val="single" w:sz="4" w:space="0" w:color="auto"/>
            </w:tcBorders>
            <w:shd w:val="clear" w:color="auto" w:fill="BFBFBF" w:themeFill="background1" w:themeFillShade="BF"/>
            <w:noWrap/>
            <w:hideMark/>
          </w:tcPr>
          <w:p w14:paraId="10825203" w14:textId="77777777" w:rsidR="0083639D" w:rsidRPr="0083639D" w:rsidRDefault="0083639D" w:rsidP="00C94B09">
            <w:pPr>
              <w:pStyle w:val="BodyText1"/>
              <w:jc w:val="right"/>
              <w:rPr>
                <w:rFonts w:asciiTheme="minorHAnsi" w:hAnsiTheme="minorHAnsi"/>
                <w:sz w:val="22"/>
                <w:szCs w:val="22"/>
              </w:rPr>
            </w:pPr>
          </w:p>
        </w:tc>
        <w:tc>
          <w:tcPr>
            <w:tcW w:w="1386" w:type="dxa"/>
            <w:tcBorders>
              <w:top w:val="nil"/>
              <w:bottom w:val="single" w:sz="4" w:space="0" w:color="auto"/>
            </w:tcBorders>
            <w:shd w:val="clear" w:color="auto" w:fill="BFBFBF" w:themeFill="background1" w:themeFillShade="BF"/>
            <w:noWrap/>
            <w:hideMark/>
          </w:tcPr>
          <w:p w14:paraId="7291095D" w14:textId="77777777" w:rsidR="0083639D" w:rsidRPr="0083639D" w:rsidRDefault="0083639D" w:rsidP="00C94B09">
            <w:pPr>
              <w:pStyle w:val="BodyText1"/>
              <w:jc w:val="right"/>
              <w:rPr>
                <w:rFonts w:asciiTheme="minorHAnsi" w:hAnsiTheme="minorHAnsi"/>
                <w:sz w:val="22"/>
                <w:szCs w:val="22"/>
              </w:rPr>
            </w:pPr>
          </w:p>
        </w:tc>
        <w:tc>
          <w:tcPr>
            <w:tcW w:w="791" w:type="dxa"/>
            <w:tcBorders>
              <w:top w:val="nil"/>
              <w:bottom w:val="single" w:sz="4" w:space="0" w:color="auto"/>
            </w:tcBorders>
            <w:shd w:val="clear" w:color="auto" w:fill="BFBFBF" w:themeFill="background1" w:themeFillShade="BF"/>
            <w:noWrap/>
            <w:hideMark/>
          </w:tcPr>
          <w:p w14:paraId="4121318B" w14:textId="77777777" w:rsidR="0083639D" w:rsidRPr="0083639D" w:rsidRDefault="0083639D" w:rsidP="00C94B09">
            <w:pPr>
              <w:pStyle w:val="BodyText1"/>
              <w:jc w:val="right"/>
              <w:rPr>
                <w:rFonts w:asciiTheme="minorHAnsi" w:hAnsiTheme="minorHAnsi"/>
                <w:sz w:val="22"/>
                <w:szCs w:val="22"/>
              </w:rPr>
            </w:pPr>
          </w:p>
        </w:tc>
        <w:tc>
          <w:tcPr>
            <w:tcW w:w="743" w:type="dxa"/>
            <w:tcBorders>
              <w:top w:val="nil"/>
              <w:bottom w:val="single" w:sz="4" w:space="0" w:color="auto"/>
            </w:tcBorders>
            <w:shd w:val="clear" w:color="auto" w:fill="BFBFBF" w:themeFill="background1" w:themeFillShade="BF"/>
            <w:noWrap/>
            <w:hideMark/>
          </w:tcPr>
          <w:p w14:paraId="3176659B" w14:textId="77777777" w:rsidR="0083639D" w:rsidRPr="0083639D" w:rsidRDefault="0083639D" w:rsidP="00C94B09">
            <w:pPr>
              <w:pStyle w:val="BodyText1"/>
              <w:jc w:val="right"/>
              <w:rPr>
                <w:rFonts w:asciiTheme="minorHAnsi" w:hAnsiTheme="minorHAnsi"/>
                <w:sz w:val="22"/>
                <w:szCs w:val="22"/>
              </w:rPr>
            </w:pPr>
          </w:p>
        </w:tc>
      </w:tr>
      <w:tr w:rsidR="0083639D" w:rsidRPr="0083639D" w14:paraId="1D52EA87" w14:textId="77777777" w:rsidTr="00E24C80">
        <w:trPr>
          <w:trHeight w:val="300"/>
        </w:trPr>
        <w:tc>
          <w:tcPr>
            <w:tcW w:w="1719" w:type="dxa"/>
            <w:tcBorders>
              <w:bottom w:val="nil"/>
            </w:tcBorders>
            <w:noWrap/>
            <w:hideMark/>
          </w:tcPr>
          <w:p w14:paraId="6C4FED1A" w14:textId="0269B973"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bottom w:val="nil"/>
            </w:tcBorders>
            <w:noWrap/>
            <w:hideMark/>
          </w:tcPr>
          <w:p w14:paraId="5147F97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513AA10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275" w:type="dxa"/>
            <w:tcBorders>
              <w:bottom w:val="nil"/>
            </w:tcBorders>
            <w:shd w:val="clear" w:color="auto" w:fill="F2F2F2" w:themeFill="background1" w:themeFillShade="F2"/>
            <w:noWrap/>
            <w:hideMark/>
          </w:tcPr>
          <w:p w14:paraId="5141407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4F541AA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688E922A"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&lt; 2.2e-16</w:t>
            </w:r>
          </w:p>
        </w:tc>
        <w:tc>
          <w:tcPr>
            <w:tcW w:w="1274" w:type="dxa"/>
            <w:tcBorders>
              <w:bottom w:val="nil"/>
            </w:tcBorders>
            <w:shd w:val="clear" w:color="auto" w:fill="F2F2F2" w:themeFill="background1" w:themeFillShade="F2"/>
            <w:noWrap/>
            <w:hideMark/>
          </w:tcPr>
          <w:p w14:paraId="408A42E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1334819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605D2FA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71F964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0795EA8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19243C3B" w14:textId="77777777" w:rsidTr="00E24C80">
        <w:trPr>
          <w:trHeight w:val="300"/>
        </w:trPr>
        <w:tc>
          <w:tcPr>
            <w:tcW w:w="1719" w:type="dxa"/>
            <w:tcBorders>
              <w:top w:val="nil"/>
              <w:bottom w:val="nil"/>
            </w:tcBorders>
            <w:noWrap/>
            <w:hideMark/>
          </w:tcPr>
          <w:p w14:paraId="10FBFA56" w14:textId="4798B3C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top w:val="nil"/>
              <w:bottom w:val="nil"/>
            </w:tcBorders>
            <w:noWrap/>
            <w:hideMark/>
          </w:tcPr>
          <w:p w14:paraId="2DBF7F0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2679C5FA" w14:textId="5C2D94C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275" w:type="dxa"/>
            <w:tcBorders>
              <w:top w:val="nil"/>
              <w:bottom w:val="nil"/>
            </w:tcBorders>
            <w:noWrap/>
            <w:hideMark/>
          </w:tcPr>
          <w:p w14:paraId="28ACE0C3" w14:textId="4C264F6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w:t>
            </w:r>
            <w:r w:rsidR="00123ADC">
              <w:rPr>
                <w:rFonts w:asciiTheme="minorHAnsi" w:hAnsiTheme="minorHAnsi"/>
                <w:sz w:val="22"/>
                <w:szCs w:val="22"/>
              </w:rPr>
              <w:t>9</w:t>
            </w:r>
          </w:p>
        </w:tc>
        <w:tc>
          <w:tcPr>
            <w:tcW w:w="1313" w:type="dxa"/>
            <w:tcBorders>
              <w:top w:val="nil"/>
              <w:bottom w:val="nil"/>
            </w:tcBorders>
            <w:noWrap/>
            <w:hideMark/>
          </w:tcPr>
          <w:p w14:paraId="0B37639F" w14:textId="13DC32B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2</w:t>
            </w:r>
          </w:p>
        </w:tc>
        <w:tc>
          <w:tcPr>
            <w:tcW w:w="1083" w:type="dxa"/>
            <w:tcBorders>
              <w:top w:val="nil"/>
              <w:bottom w:val="nil"/>
            </w:tcBorders>
            <w:shd w:val="clear" w:color="auto" w:fill="F2F2F2" w:themeFill="background1" w:themeFillShade="F2"/>
            <w:noWrap/>
            <w:hideMark/>
          </w:tcPr>
          <w:p w14:paraId="66F588E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7490E97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7659703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6033D7A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3FE53FD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722</w:t>
            </w:r>
          </w:p>
        </w:tc>
        <w:tc>
          <w:tcPr>
            <w:tcW w:w="743" w:type="dxa"/>
            <w:tcBorders>
              <w:top w:val="nil"/>
              <w:bottom w:val="nil"/>
            </w:tcBorders>
            <w:noWrap/>
            <w:hideMark/>
          </w:tcPr>
          <w:p w14:paraId="58CF05F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854</w:t>
            </w:r>
          </w:p>
        </w:tc>
      </w:tr>
      <w:tr w:rsidR="0083639D" w:rsidRPr="0083639D" w14:paraId="2FEDD544" w14:textId="77777777" w:rsidTr="00E24C80">
        <w:trPr>
          <w:trHeight w:val="300"/>
        </w:trPr>
        <w:tc>
          <w:tcPr>
            <w:tcW w:w="1719" w:type="dxa"/>
            <w:tcBorders>
              <w:top w:val="nil"/>
            </w:tcBorders>
            <w:noWrap/>
            <w:hideMark/>
          </w:tcPr>
          <w:p w14:paraId="1E276E11" w14:textId="5F79672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 xml:space="preserve">Female </w:t>
            </w:r>
            <w:r w:rsidR="00123ADC">
              <w:rPr>
                <w:rFonts w:asciiTheme="minorHAnsi" w:hAnsiTheme="minorHAnsi"/>
                <w:sz w:val="22"/>
                <w:szCs w:val="22"/>
              </w:rPr>
              <w:t>&lt;</w:t>
            </w:r>
            <w:r w:rsidRPr="0083639D">
              <w:rPr>
                <w:rFonts w:asciiTheme="minorHAnsi" w:hAnsiTheme="minorHAnsi"/>
                <w:sz w:val="22"/>
                <w:szCs w:val="22"/>
              </w:rPr>
              <w:t>75 yrs</w:t>
            </w:r>
          </w:p>
        </w:tc>
        <w:tc>
          <w:tcPr>
            <w:tcW w:w="2251" w:type="dxa"/>
            <w:tcBorders>
              <w:top w:val="nil"/>
            </w:tcBorders>
            <w:noWrap/>
            <w:hideMark/>
          </w:tcPr>
          <w:p w14:paraId="69B6325A"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0DB69F09" w14:textId="2211CD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.4</w:t>
            </w:r>
          </w:p>
        </w:tc>
        <w:tc>
          <w:tcPr>
            <w:tcW w:w="1275" w:type="dxa"/>
            <w:tcBorders>
              <w:top w:val="nil"/>
            </w:tcBorders>
            <w:noWrap/>
          </w:tcPr>
          <w:p w14:paraId="31FFC4CF" w14:textId="6C6CD82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7</w:t>
            </w:r>
          </w:p>
        </w:tc>
        <w:tc>
          <w:tcPr>
            <w:tcW w:w="1313" w:type="dxa"/>
            <w:tcBorders>
              <w:top w:val="nil"/>
            </w:tcBorders>
            <w:noWrap/>
          </w:tcPr>
          <w:p w14:paraId="3C2DF6F1" w14:textId="7B251DD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2015.</w:t>
            </w:r>
            <w:r w:rsidR="00123ADC">
              <w:rPr>
                <w:rFonts w:asciiTheme="minorHAnsi" w:hAnsiTheme="minorHAnsi"/>
                <w:sz w:val="22"/>
                <w:szCs w:val="22"/>
              </w:rPr>
              <w:t>1</w:t>
            </w:r>
          </w:p>
        </w:tc>
        <w:tc>
          <w:tcPr>
            <w:tcW w:w="1083" w:type="dxa"/>
            <w:tcBorders>
              <w:top w:val="nil"/>
            </w:tcBorders>
            <w:shd w:val="clear" w:color="auto" w:fill="F2F2F2" w:themeFill="background1" w:themeFillShade="F2"/>
            <w:noWrap/>
            <w:hideMark/>
          </w:tcPr>
          <w:p w14:paraId="4A6748C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7760C4B9" w14:textId="1489E32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2005.</w:t>
            </w:r>
            <w:r w:rsidR="00123ADC">
              <w:rPr>
                <w:rFonts w:asciiTheme="minorHAnsi" w:hAnsiTheme="minorHAnsi"/>
                <w:sz w:val="22"/>
                <w:szCs w:val="22"/>
              </w:rPr>
              <w:t>9</w:t>
            </w:r>
          </w:p>
        </w:tc>
        <w:tc>
          <w:tcPr>
            <w:tcW w:w="1322" w:type="dxa"/>
            <w:tcBorders>
              <w:top w:val="nil"/>
            </w:tcBorders>
            <w:noWrap/>
          </w:tcPr>
          <w:p w14:paraId="5667EEC2" w14:textId="48795936"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2003.0</w:t>
            </w:r>
          </w:p>
        </w:tc>
        <w:tc>
          <w:tcPr>
            <w:tcW w:w="1386" w:type="dxa"/>
            <w:tcBorders>
              <w:top w:val="nil"/>
            </w:tcBorders>
            <w:noWrap/>
          </w:tcPr>
          <w:p w14:paraId="6C3F6490" w14:textId="07C58630"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2008.7</w:t>
            </w:r>
          </w:p>
        </w:tc>
        <w:tc>
          <w:tcPr>
            <w:tcW w:w="791" w:type="dxa"/>
            <w:tcBorders>
              <w:top w:val="nil"/>
            </w:tcBorders>
            <w:noWrap/>
            <w:hideMark/>
          </w:tcPr>
          <w:p w14:paraId="5701CB3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709</w:t>
            </w:r>
          </w:p>
        </w:tc>
        <w:tc>
          <w:tcPr>
            <w:tcW w:w="743" w:type="dxa"/>
            <w:tcBorders>
              <w:top w:val="nil"/>
            </w:tcBorders>
            <w:noWrap/>
            <w:hideMark/>
          </w:tcPr>
          <w:p w14:paraId="7ADDF43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728</w:t>
            </w:r>
          </w:p>
        </w:tc>
      </w:tr>
      <w:tr w:rsidR="0083639D" w:rsidRPr="0083639D" w14:paraId="5861331A" w14:textId="77777777" w:rsidTr="00E24C80">
        <w:trPr>
          <w:trHeight w:val="70"/>
        </w:trPr>
        <w:tc>
          <w:tcPr>
            <w:tcW w:w="1719" w:type="dxa"/>
            <w:tcBorders>
              <w:bottom w:val="single" w:sz="4" w:space="0" w:color="auto"/>
            </w:tcBorders>
            <w:shd w:val="clear" w:color="auto" w:fill="BFBFBF" w:themeFill="background1" w:themeFillShade="BF"/>
            <w:noWrap/>
            <w:hideMark/>
          </w:tcPr>
          <w:p w14:paraId="521B670C" w14:textId="77777777" w:rsidR="0083639D" w:rsidRPr="0083639D" w:rsidRDefault="0083639D" w:rsidP="00067492">
            <w:pPr>
              <w:pStyle w:val="BodyText1"/>
              <w:rPr>
                <w:rFonts w:asciiTheme="minorHAnsi" w:hAnsiTheme="minorHAnsi"/>
                <w:sz w:val="22"/>
                <w:szCs w:val="22"/>
              </w:rPr>
            </w:pPr>
          </w:p>
        </w:tc>
        <w:tc>
          <w:tcPr>
            <w:tcW w:w="2251" w:type="dxa"/>
            <w:tcBorders>
              <w:bottom w:val="single" w:sz="4" w:space="0" w:color="auto"/>
            </w:tcBorders>
            <w:shd w:val="clear" w:color="auto" w:fill="BFBFBF" w:themeFill="background1" w:themeFillShade="BF"/>
            <w:noWrap/>
            <w:hideMark/>
          </w:tcPr>
          <w:p w14:paraId="004D0CEF" w14:textId="77777777" w:rsidR="0083639D" w:rsidRPr="0083639D" w:rsidRDefault="0083639D" w:rsidP="00067492">
            <w:pPr>
              <w:pStyle w:val="BodyText1"/>
              <w:rPr>
                <w:rFonts w:asciiTheme="minorHAnsi" w:hAnsiTheme="minorHAnsi"/>
                <w:sz w:val="22"/>
                <w:szCs w:val="22"/>
              </w:rPr>
            </w:pPr>
          </w:p>
        </w:tc>
        <w:tc>
          <w:tcPr>
            <w:tcW w:w="1228" w:type="dxa"/>
            <w:tcBorders>
              <w:bottom w:val="single" w:sz="4" w:space="0" w:color="auto"/>
            </w:tcBorders>
            <w:shd w:val="clear" w:color="auto" w:fill="BFBFBF" w:themeFill="background1" w:themeFillShade="BF"/>
            <w:noWrap/>
            <w:hideMark/>
          </w:tcPr>
          <w:p w14:paraId="26F5CA93" w14:textId="77777777" w:rsidR="0083639D" w:rsidRPr="0083639D" w:rsidRDefault="0083639D" w:rsidP="00C94B09">
            <w:pPr>
              <w:pStyle w:val="BodyText1"/>
              <w:jc w:val="right"/>
              <w:rPr>
                <w:rFonts w:asciiTheme="minorHAnsi" w:hAnsiTheme="minorHAnsi"/>
                <w:sz w:val="22"/>
                <w:szCs w:val="22"/>
              </w:rPr>
            </w:pPr>
          </w:p>
        </w:tc>
        <w:tc>
          <w:tcPr>
            <w:tcW w:w="1275" w:type="dxa"/>
            <w:tcBorders>
              <w:bottom w:val="single" w:sz="4" w:space="0" w:color="auto"/>
            </w:tcBorders>
            <w:shd w:val="clear" w:color="auto" w:fill="BFBFBF" w:themeFill="background1" w:themeFillShade="BF"/>
            <w:noWrap/>
            <w:hideMark/>
          </w:tcPr>
          <w:p w14:paraId="3E692127" w14:textId="77777777" w:rsidR="0083639D" w:rsidRPr="0083639D" w:rsidRDefault="0083639D" w:rsidP="00C94B09">
            <w:pPr>
              <w:pStyle w:val="BodyText1"/>
              <w:jc w:val="right"/>
              <w:rPr>
                <w:rFonts w:asciiTheme="minorHAnsi" w:hAnsiTheme="minorHAnsi"/>
                <w:sz w:val="22"/>
                <w:szCs w:val="22"/>
              </w:rPr>
            </w:pPr>
          </w:p>
        </w:tc>
        <w:tc>
          <w:tcPr>
            <w:tcW w:w="1313" w:type="dxa"/>
            <w:tcBorders>
              <w:bottom w:val="single" w:sz="4" w:space="0" w:color="auto"/>
            </w:tcBorders>
            <w:shd w:val="clear" w:color="auto" w:fill="BFBFBF" w:themeFill="background1" w:themeFillShade="BF"/>
            <w:noWrap/>
            <w:hideMark/>
          </w:tcPr>
          <w:p w14:paraId="62299C6C" w14:textId="77777777" w:rsidR="0083639D" w:rsidRPr="0083639D" w:rsidRDefault="0083639D" w:rsidP="00C94B09">
            <w:pPr>
              <w:pStyle w:val="BodyText1"/>
              <w:jc w:val="right"/>
              <w:rPr>
                <w:rFonts w:asciiTheme="minorHAnsi" w:hAnsiTheme="minorHAnsi"/>
                <w:sz w:val="22"/>
                <w:szCs w:val="22"/>
              </w:rPr>
            </w:pPr>
          </w:p>
        </w:tc>
        <w:tc>
          <w:tcPr>
            <w:tcW w:w="1083" w:type="dxa"/>
            <w:tcBorders>
              <w:bottom w:val="single" w:sz="4" w:space="0" w:color="auto"/>
            </w:tcBorders>
            <w:shd w:val="clear" w:color="auto" w:fill="BFBFBF" w:themeFill="background1" w:themeFillShade="BF"/>
            <w:noWrap/>
            <w:hideMark/>
          </w:tcPr>
          <w:p w14:paraId="7162D178" w14:textId="77777777" w:rsidR="0083639D" w:rsidRPr="0083639D" w:rsidRDefault="0083639D" w:rsidP="00C94B09">
            <w:pPr>
              <w:pStyle w:val="BodyText1"/>
              <w:jc w:val="right"/>
              <w:rPr>
                <w:rFonts w:asciiTheme="minorHAnsi" w:hAnsiTheme="minorHAnsi"/>
                <w:sz w:val="22"/>
                <w:szCs w:val="22"/>
              </w:rPr>
            </w:pPr>
          </w:p>
        </w:tc>
        <w:tc>
          <w:tcPr>
            <w:tcW w:w="1274" w:type="dxa"/>
            <w:tcBorders>
              <w:bottom w:val="single" w:sz="4" w:space="0" w:color="auto"/>
            </w:tcBorders>
            <w:shd w:val="clear" w:color="auto" w:fill="BFBFBF" w:themeFill="background1" w:themeFillShade="BF"/>
            <w:noWrap/>
            <w:hideMark/>
          </w:tcPr>
          <w:p w14:paraId="770ADA8F" w14:textId="77777777" w:rsidR="0083639D" w:rsidRPr="0083639D" w:rsidRDefault="0083639D" w:rsidP="00C94B09">
            <w:pPr>
              <w:pStyle w:val="BodyText1"/>
              <w:jc w:val="right"/>
              <w:rPr>
                <w:rFonts w:asciiTheme="minorHAnsi" w:hAnsiTheme="minorHAnsi"/>
                <w:sz w:val="22"/>
                <w:szCs w:val="22"/>
              </w:rPr>
            </w:pPr>
          </w:p>
        </w:tc>
        <w:tc>
          <w:tcPr>
            <w:tcW w:w="1322" w:type="dxa"/>
            <w:tcBorders>
              <w:bottom w:val="single" w:sz="4" w:space="0" w:color="auto"/>
            </w:tcBorders>
            <w:shd w:val="clear" w:color="auto" w:fill="BFBFBF" w:themeFill="background1" w:themeFillShade="BF"/>
            <w:noWrap/>
            <w:hideMark/>
          </w:tcPr>
          <w:p w14:paraId="766F846D" w14:textId="77777777" w:rsidR="0083639D" w:rsidRPr="0083639D" w:rsidRDefault="0083639D" w:rsidP="00C94B09">
            <w:pPr>
              <w:pStyle w:val="BodyText1"/>
              <w:jc w:val="right"/>
              <w:rPr>
                <w:rFonts w:asciiTheme="minorHAnsi" w:hAnsiTheme="minorHAnsi"/>
                <w:sz w:val="22"/>
                <w:szCs w:val="22"/>
              </w:rPr>
            </w:pPr>
          </w:p>
        </w:tc>
        <w:tc>
          <w:tcPr>
            <w:tcW w:w="1386" w:type="dxa"/>
            <w:tcBorders>
              <w:bottom w:val="single" w:sz="4" w:space="0" w:color="auto"/>
            </w:tcBorders>
            <w:shd w:val="clear" w:color="auto" w:fill="BFBFBF" w:themeFill="background1" w:themeFillShade="BF"/>
            <w:noWrap/>
            <w:hideMark/>
          </w:tcPr>
          <w:p w14:paraId="2F3839C4" w14:textId="77777777" w:rsidR="0083639D" w:rsidRPr="0083639D" w:rsidRDefault="0083639D" w:rsidP="00C94B09">
            <w:pPr>
              <w:pStyle w:val="BodyText1"/>
              <w:jc w:val="right"/>
              <w:rPr>
                <w:rFonts w:asciiTheme="minorHAnsi" w:hAnsiTheme="minorHAnsi"/>
                <w:sz w:val="22"/>
                <w:szCs w:val="22"/>
              </w:rPr>
            </w:pPr>
          </w:p>
        </w:tc>
        <w:tc>
          <w:tcPr>
            <w:tcW w:w="791" w:type="dxa"/>
            <w:tcBorders>
              <w:bottom w:val="single" w:sz="4" w:space="0" w:color="auto"/>
            </w:tcBorders>
            <w:shd w:val="clear" w:color="auto" w:fill="BFBFBF" w:themeFill="background1" w:themeFillShade="BF"/>
            <w:noWrap/>
            <w:hideMark/>
          </w:tcPr>
          <w:p w14:paraId="1B0CEAE6" w14:textId="77777777" w:rsidR="0083639D" w:rsidRPr="0083639D" w:rsidRDefault="0083639D" w:rsidP="00C94B09">
            <w:pPr>
              <w:pStyle w:val="BodyText1"/>
              <w:jc w:val="right"/>
              <w:rPr>
                <w:rFonts w:asciiTheme="minorHAnsi" w:hAnsiTheme="minorHAnsi"/>
                <w:sz w:val="22"/>
                <w:szCs w:val="22"/>
              </w:rPr>
            </w:pPr>
          </w:p>
        </w:tc>
        <w:tc>
          <w:tcPr>
            <w:tcW w:w="743" w:type="dxa"/>
            <w:tcBorders>
              <w:bottom w:val="single" w:sz="4" w:space="0" w:color="auto"/>
            </w:tcBorders>
            <w:shd w:val="clear" w:color="auto" w:fill="BFBFBF" w:themeFill="background1" w:themeFillShade="BF"/>
            <w:noWrap/>
            <w:hideMark/>
          </w:tcPr>
          <w:p w14:paraId="599C3319" w14:textId="77777777" w:rsidR="0083639D" w:rsidRPr="0083639D" w:rsidRDefault="0083639D" w:rsidP="00C94B09">
            <w:pPr>
              <w:pStyle w:val="BodyText1"/>
              <w:jc w:val="right"/>
              <w:rPr>
                <w:rFonts w:asciiTheme="minorHAnsi" w:hAnsiTheme="minorHAnsi"/>
                <w:sz w:val="22"/>
                <w:szCs w:val="22"/>
              </w:rPr>
            </w:pPr>
          </w:p>
        </w:tc>
      </w:tr>
      <w:tr w:rsidR="0083639D" w:rsidRPr="0083639D" w14:paraId="525F30BE" w14:textId="77777777" w:rsidTr="00E24C80">
        <w:trPr>
          <w:trHeight w:val="300"/>
        </w:trPr>
        <w:tc>
          <w:tcPr>
            <w:tcW w:w="1719" w:type="dxa"/>
            <w:tcBorders>
              <w:bottom w:val="nil"/>
            </w:tcBorders>
            <w:noWrap/>
            <w:hideMark/>
          </w:tcPr>
          <w:p w14:paraId="23F2514D"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bottom w:val="nil"/>
            </w:tcBorders>
            <w:noWrap/>
            <w:hideMark/>
          </w:tcPr>
          <w:p w14:paraId="2225BD2F"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1CD76F1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2014.2</w:t>
            </w:r>
          </w:p>
        </w:tc>
        <w:tc>
          <w:tcPr>
            <w:tcW w:w="1275" w:type="dxa"/>
            <w:tcBorders>
              <w:bottom w:val="nil"/>
            </w:tcBorders>
            <w:shd w:val="clear" w:color="auto" w:fill="F2F2F2" w:themeFill="background1" w:themeFillShade="F2"/>
            <w:noWrap/>
            <w:hideMark/>
          </w:tcPr>
          <w:p w14:paraId="0FCEB0D6"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0762BA8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719B0DD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3.34E-09</w:t>
            </w:r>
          </w:p>
        </w:tc>
        <w:tc>
          <w:tcPr>
            <w:tcW w:w="1274" w:type="dxa"/>
            <w:tcBorders>
              <w:bottom w:val="nil"/>
            </w:tcBorders>
            <w:shd w:val="clear" w:color="auto" w:fill="F2F2F2" w:themeFill="background1" w:themeFillShade="F2"/>
            <w:noWrap/>
            <w:hideMark/>
          </w:tcPr>
          <w:p w14:paraId="646E8C1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0000C41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386F84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93F683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008D937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4618E698" w14:textId="77777777" w:rsidTr="00E24C80">
        <w:trPr>
          <w:trHeight w:val="300"/>
        </w:trPr>
        <w:tc>
          <w:tcPr>
            <w:tcW w:w="1719" w:type="dxa"/>
            <w:tcBorders>
              <w:top w:val="nil"/>
              <w:bottom w:val="nil"/>
            </w:tcBorders>
            <w:noWrap/>
            <w:hideMark/>
          </w:tcPr>
          <w:p w14:paraId="28DDD42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top w:val="nil"/>
              <w:bottom w:val="nil"/>
            </w:tcBorders>
            <w:noWrap/>
            <w:hideMark/>
          </w:tcPr>
          <w:p w14:paraId="6121778C"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5BF40E59" w14:textId="094FD682"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2014.1</w:t>
            </w:r>
          </w:p>
        </w:tc>
        <w:tc>
          <w:tcPr>
            <w:tcW w:w="1275" w:type="dxa"/>
            <w:tcBorders>
              <w:top w:val="nil"/>
              <w:bottom w:val="nil"/>
            </w:tcBorders>
            <w:noWrap/>
            <w:hideMark/>
          </w:tcPr>
          <w:p w14:paraId="3CD75A07" w14:textId="0E96100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w:t>
            </w:r>
            <w:r w:rsidR="00123ADC">
              <w:rPr>
                <w:rFonts w:asciiTheme="minorHAnsi" w:hAnsiTheme="minorHAnsi"/>
                <w:sz w:val="22"/>
                <w:szCs w:val="22"/>
              </w:rPr>
              <w:t>3.0</w:t>
            </w:r>
          </w:p>
        </w:tc>
        <w:tc>
          <w:tcPr>
            <w:tcW w:w="1313" w:type="dxa"/>
            <w:tcBorders>
              <w:top w:val="nil"/>
              <w:bottom w:val="nil"/>
            </w:tcBorders>
            <w:noWrap/>
            <w:hideMark/>
          </w:tcPr>
          <w:p w14:paraId="2CA59563" w14:textId="301B0EE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2015.2</w:t>
            </w:r>
          </w:p>
        </w:tc>
        <w:tc>
          <w:tcPr>
            <w:tcW w:w="1083" w:type="dxa"/>
            <w:tcBorders>
              <w:top w:val="nil"/>
              <w:bottom w:val="nil"/>
            </w:tcBorders>
            <w:shd w:val="clear" w:color="auto" w:fill="F2F2F2" w:themeFill="background1" w:themeFillShade="F2"/>
            <w:noWrap/>
            <w:hideMark/>
          </w:tcPr>
          <w:p w14:paraId="6760BE7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0577003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414F3D6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17F37DF3"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73338B7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1578</w:t>
            </w:r>
          </w:p>
        </w:tc>
        <w:tc>
          <w:tcPr>
            <w:tcW w:w="743" w:type="dxa"/>
            <w:tcBorders>
              <w:top w:val="nil"/>
              <w:bottom w:val="nil"/>
            </w:tcBorders>
            <w:noWrap/>
            <w:hideMark/>
          </w:tcPr>
          <w:p w14:paraId="1B7A83A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1592</w:t>
            </w:r>
          </w:p>
        </w:tc>
      </w:tr>
      <w:tr w:rsidR="0083639D" w:rsidRPr="0083639D" w14:paraId="55C0BAFD" w14:textId="77777777" w:rsidTr="00E24C80">
        <w:trPr>
          <w:trHeight w:val="300"/>
        </w:trPr>
        <w:tc>
          <w:tcPr>
            <w:tcW w:w="1719" w:type="dxa"/>
            <w:tcBorders>
              <w:top w:val="nil"/>
              <w:bottom w:val="nil"/>
            </w:tcBorders>
            <w:noWrap/>
            <w:hideMark/>
          </w:tcPr>
          <w:p w14:paraId="44534204"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Male 75+yrs</w:t>
            </w:r>
          </w:p>
        </w:tc>
        <w:tc>
          <w:tcPr>
            <w:tcW w:w="2251" w:type="dxa"/>
            <w:tcBorders>
              <w:top w:val="nil"/>
              <w:bottom w:val="nil"/>
            </w:tcBorders>
            <w:noWrap/>
            <w:hideMark/>
          </w:tcPr>
          <w:p w14:paraId="4918636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bottom w:val="nil"/>
            </w:tcBorders>
            <w:noWrap/>
          </w:tcPr>
          <w:p w14:paraId="47AA38FD" w14:textId="336E86E9"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2012.7</w:t>
            </w:r>
          </w:p>
        </w:tc>
        <w:tc>
          <w:tcPr>
            <w:tcW w:w="1275" w:type="dxa"/>
            <w:tcBorders>
              <w:top w:val="nil"/>
              <w:bottom w:val="nil"/>
            </w:tcBorders>
            <w:noWrap/>
          </w:tcPr>
          <w:p w14:paraId="68592231" w14:textId="0948DF1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2011.5</w:t>
            </w:r>
          </w:p>
        </w:tc>
        <w:tc>
          <w:tcPr>
            <w:tcW w:w="1313" w:type="dxa"/>
            <w:tcBorders>
              <w:top w:val="nil"/>
              <w:bottom w:val="nil"/>
            </w:tcBorders>
            <w:noWrap/>
          </w:tcPr>
          <w:p w14:paraId="3E819B4D" w14:textId="361E16FE"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9</w:t>
            </w:r>
          </w:p>
        </w:tc>
        <w:tc>
          <w:tcPr>
            <w:tcW w:w="1083" w:type="dxa"/>
            <w:tcBorders>
              <w:top w:val="nil"/>
              <w:bottom w:val="nil"/>
            </w:tcBorders>
            <w:shd w:val="clear" w:color="auto" w:fill="F2F2F2" w:themeFill="background1" w:themeFillShade="F2"/>
            <w:noWrap/>
            <w:hideMark/>
          </w:tcPr>
          <w:p w14:paraId="0D2FA93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noWrap/>
          </w:tcPr>
          <w:p w14:paraId="787BB7C9" w14:textId="4282EF10"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1993.6</w:t>
            </w:r>
          </w:p>
        </w:tc>
        <w:tc>
          <w:tcPr>
            <w:tcW w:w="1322" w:type="dxa"/>
            <w:tcBorders>
              <w:top w:val="nil"/>
              <w:bottom w:val="nil"/>
            </w:tcBorders>
            <w:noWrap/>
          </w:tcPr>
          <w:p w14:paraId="3D46902F" w14:textId="26C7C905"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1992.3</w:t>
            </w:r>
          </w:p>
        </w:tc>
        <w:tc>
          <w:tcPr>
            <w:tcW w:w="1386" w:type="dxa"/>
            <w:tcBorders>
              <w:top w:val="nil"/>
              <w:bottom w:val="nil"/>
            </w:tcBorders>
            <w:noWrap/>
          </w:tcPr>
          <w:p w14:paraId="57161FC8" w14:textId="6F859134"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1994.</w:t>
            </w:r>
            <w:r w:rsidR="00123ADC">
              <w:rPr>
                <w:rFonts w:asciiTheme="minorHAnsi" w:hAnsiTheme="minorHAnsi"/>
                <w:sz w:val="22"/>
                <w:szCs w:val="22"/>
              </w:rPr>
              <w:t>9</w:t>
            </w:r>
          </w:p>
        </w:tc>
        <w:tc>
          <w:tcPr>
            <w:tcW w:w="791" w:type="dxa"/>
            <w:tcBorders>
              <w:top w:val="nil"/>
              <w:bottom w:val="nil"/>
            </w:tcBorders>
            <w:noWrap/>
            <w:hideMark/>
          </w:tcPr>
          <w:p w14:paraId="06CE2B2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1561</w:t>
            </w:r>
          </w:p>
        </w:tc>
        <w:tc>
          <w:tcPr>
            <w:tcW w:w="743" w:type="dxa"/>
            <w:tcBorders>
              <w:top w:val="nil"/>
              <w:bottom w:val="nil"/>
            </w:tcBorders>
            <w:noWrap/>
            <w:hideMark/>
          </w:tcPr>
          <w:p w14:paraId="2E5A356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1580</w:t>
            </w:r>
          </w:p>
        </w:tc>
      </w:tr>
      <w:tr w:rsidR="0083639D" w:rsidRPr="0083639D" w14:paraId="3BF85C4B" w14:textId="77777777" w:rsidTr="00E24C80">
        <w:trPr>
          <w:trHeight w:val="70"/>
        </w:trPr>
        <w:tc>
          <w:tcPr>
            <w:tcW w:w="1719" w:type="dxa"/>
            <w:tcBorders>
              <w:top w:val="nil"/>
              <w:bottom w:val="single" w:sz="4" w:space="0" w:color="auto"/>
            </w:tcBorders>
            <w:shd w:val="clear" w:color="auto" w:fill="BFBFBF" w:themeFill="background1" w:themeFillShade="BF"/>
            <w:noWrap/>
            <w:hideMark/>
          </w:tcPr>
          <w:p w14:paraId="5DD269AE" w14:textId="77777777" w:rsidR="0083639D" w:rsidRPr="0083639D" w:rsidRDefault="0083639D" w:rsidP="00067492">
            <w:pPr>
              <w:pStyle w:val="BodyText1"/>
              <w:rPr>
                <w:rFonts w:asciiTheme="minorHAnsi" w:hAnsiTheme="minorHAnsi"/>
                <w:sz w:val="22"/>
                <w:szCs w:val="22"/>
              </w:rPr>
            </w:pPr>
          </w:p>
        </w:tc>
        <w:tc>
          <w:tcPr>
            <w:tcW w:w="2251" w:type="dxa"/>
            <w:tcBorders>
              <w:top w:val="nil"/>
              <w:bottom w:val="single" w:sz="4" w:space="0" w:color="auto"/>
            </w:tcBorders>
            <w:shd w:val="clear" w:color="auto" w:fill="BFBFBF" w:themeFill="background1" w:themeFillShade="BF"/>
            <w:noWrap/>
            <w:hideMark/>
          </w:tcPr>
          <w:p w14:paraId="6C2D1605" w14:textId="77777777" w:rsidR="0083639D" w:rsidRPr="0083639D" w:rsidRDefault="0083639D" w:rsidP="00067492">
            <w:pPr>
              <w:pStyle w:val="BodyText1"/>
              <w:rPr>
                <w:rFonts w:asciiTheme="minorHAnsi" w:hAnsiTheme="minorHAnsi"/>
                <w:sz w:val="22"/>
                <w:szCs w:val="22"/>
              </w:rPr>
            </w:pPr>
          </w:p>
        </w:tc>
        <w:tc>
          <w:tcPr>
            <w:tcW w:w="1228" w:type="dxa"/>
            <w:tcBorders>
              <w:top w:val="nil"/>
              <w:bottom w:val="single" w:sz="4" w:space="0" w:color="auto"/>
            </w:tcBorders>
            <w:shd w:val="clear" w:color="auto" w:fill="BFBFBF" w:themeFill="background1" w:themeFillShade="BF"/>
            <w:noWrap/>
            <w:hideMark/>
          </w:tcPr>
          <w:p w14:paraId="18B2A78B" w14:textId="77777777" w:rsidR="0083639D" w:rsidRPr="0083639D" w:rsidRDefault="0083639D" w:rsidP="00C94B09">
            <w:pPr>
              <w:pStyle w:val="BodyText1"/>
              <w:jc w:val="right"/>
              <w:rPr>
                <w:rFonts w:asciiTheme="minorHAnsi" w:hAnsiTheme="minorHAnsi"/>
                <w:sz w:val="22"/>
                <w:szCs w:val="22"/>
              </w:rPr>
            </w:pPr>
          </w:p>
        </w:tc>
        <w:tc>
          <w:tcPr>
            <w:tcW w:w="1275" w:type="dxa"/>
            <w:tcBorders>
              <w:top w:val="nil"/>
              <w:bottom w:val="single" w:sz="4" w:space="0" w:color="auto"/>
            </w:tcBorders>
            <w:shd w:val="clear" w:color="auto" w:fill="BFBFBF" w:themeFill="background1" w:themeFillShade="BF"/>
            <w:noWrap/>
            <w:hideMark/>
          </w:tcPr>
          <w:p w14:paraId="18D23E5D" w14:textId="77777777" w:rsidR="0083639D" w:rsidRPr="0083639D" w:rsidRDefault="0083639D" w:rsidP="00C94B09">
            <w:pPr>
              <w:pStyle w:val="BodyText1"/>
              <w:jc w:val="right"/>
              <w:rPr>
                <w:rFonts w:asciiTheme="minorHAnsi" w:hAnsiTheme="minorHAnsi"/>
                <w:sz w:val="22"/>
                <w:szCs w:val="22"/>
              </w:rPr>
            </w:pPr>
          </w:p>
        </w:tc>
        <w:tc>
          <w:tcPr>
            <w:tcW w:w="1313" w:type="dxa"/>
            <w:tcBorders>
              <w:top w:val="nil"/>
              <w:bottom w:val="single" w:sz="4" w:space="0" w:color="auto"/>
            </w:tcBorders>
            <w:shd w:val="clear" w:color="auto" w:fill="BFBFBF" w:themeFill="background1" w:themeFillShade="BF"/>
            <w:noWrap/>
            <w:hideMark/>
          </w:tcPr>
          <w:p w14:paraId="54AF3878" w14:textId="77777777" w:rsidR="0083639D" w:rsidRPr="0083639D" w:rsidRDefault="0083639D" w:rsidP="00C94B09">
            <w:pPr>
              <w:pStyle w:val="BodyText1"/>
              <w:jc w:val="right"/>
              <w:rPr>
                <w:rFonts w:asciiTheme="minorHAnsi" w:hAnsiTheme="minorHAnsi"/>
                <w:sz w:val="22"/>
                <w:szCs w:val="22"/>
              </w:rPr>
            </w:pPr>
          </w:p>
        </w:tc>
        <w:tc>
          <w:tcPr>
            <w:tcW w:w="1083" w:type="dxa"/>
            <w:tcBorders>
              <w:top w:val="nil"/>
              <w:bottom w:val="single" w:sz="4" w:space="0" w:color="auto"/>
            </w:tcBorders>
            <w:shd w:val="clear" w:color="auto" w:fill="BFBFBF" w:themeFill="background1" w:themeFillShade="BF"/>
            <w:noWrap/>
            <w:hideMark/>
          </w:tcPr>
          <w:p w14:paraId="611646C2" w14:textId="77777777" w:rsidR="0083639D" w:rsidRPr="0083639D" w:rsidRDefault="0083639D" w:rsidP="00C94B09">
            <w:pPr>
              <w:pStyle w:val="BodyText1"/>
              <w:jc w:val="right"/>
              <w:rPr>
                <w:rFonts w:asciiTheme="minorHAnsi" w:hAnsiTheme="minorHAnsi"/>
                <w:sz w:val="22"/>
                <w:szCs w:val="22"/>
              </w:rPr>
            </w:pPr>
          </w:p>
        </w:tc>
        <w:tc>
          <w:tcPr>
            <w:tcW w:w="1274" w:type="dxa"/>
            <w:tcBorders>
              <w:top w:val="nil"/>
              <w:bottom w:val="single" w:sz="4" w:space="0" w:color="auto"/>
            </w:tcBorders>
            <w:shd w:val="clear" w:color="auto" w:fill="BFBFBF" w:themeFill="background1" w:themeFillShade="BF"/>
            <w:noWrap/>
            <w:hideMark/>
          </w:tcPr>
          <w:p w14:paraId="2EA56149" w14:textId="77777777" w:rsidR="0083639D" w:rsidRPr="0083639D" w:rsidRDefault="0083639D" w:rsidP="00C94B09">
            <w:pPr>
              <w:pStyle w:val="BodyText1"/>
              <w:jc w:val="right"/>
              <w:rPr>
                <w:rFonts w:asciiTheme="minorHAnsi" w:hAnsiTheme="minorHAnsi"/>
                <w:sz w:val="22"/>
                <w:szCs w:val="22"/>
              </w:rPr>
            </w:pPr>
          </w:p>
        </w:tc>
        <w:tc>
          <w:tcPr>
            <w:tcW w:w="1322" w:type="dxa"/>
            <w:tcBorders>
              <w:top w:val="nil"/>
              <w:bottom w:val="single" w:sz="4" w:space="0" w:color="auto"/>
            </w:tcBorders>
            <w:shd w:val="clear" w:color="auto" w:fill="BFBFBF" w:themeFill="background1" w:themeFillShade="BF"/>
            <w:noWrap/>
            <w:hideMark/>
          </w:tcPr>
          <w:p w14:paraId="1991FB13" w14:textId="77777777" w:rsidR="0083639D" w:rsidRPr="0083639D" w:rsidRDefault="0083639D" w:rsidP="00C94B09">
            <w:pPr>
              <w:pStyle w:val="BodyText1"/>
              <w:jc w:val="right"/>
              <w:rPr>
                <w:rFonts w:asciiTheme="minorHAnsi" w:hAnsiTheme="minorHAnsi"/>
                <w:sz w:val="22"/>
                <w:szCs w:val="22"/>
              </w:rPr>
            </w:pPr>
          </w:p>
        </w:tc>
        <w:tc>
          <w:tcPr>
            <w:tcW w:w="1386" w:type="dxa"/>
            <w:tcBorders>
              <w:top w:val="nil"/>
              <w:bottom w:val="single" w:sz="4" w:space="0" w:color="auto"/>
            </w:tcBorders>
            <w:shd w:val="clear" w:color="auto" w:fill="BFBFBF" w:themeFill="background1" w:themeFillShade="BF"/>
            <w:noWrap/>
            <w:hideMark/>
          </w:tcPr>
          <w:p w14:paraId="1059BB4E" w14:textId="77777777" w:rsidR="0083639D" w:rsidRPr="0083639D" w:rsidRDefault="0083639D" w:rsidP="00C94B09">
            <w:pPr>
              <w:pStyle w:val="BodyText1"/>
              <w:jc w:val="right"/>
              <w:rPr>
                <w:rFonts w:asciiTheme="minorHAnsi" w:hAnsiTheme="minorHAnsi"/>
                <w:sz w:val="22"/>
                <w:szCs w:val="22"/>
              </w:rPr>
            </w:pPr>
          </w:p>
        </w:tc>
        <w:tc>
          <w:tcPr>
            <w:tcW w:w="791" w:type="dxa"/>
            <w:tcBorders>
              <w:top w:val="nil"/>
              <w:bottom w:val="single" w:sz="4" w:space="0" w:color="auto"/>
            </w:tcBorders>
            <w:shd w:val="clear" w:color="auto" w:fill="BFBFBF" w:themeFill="background1" w:themeFillShade="BF"/>
            <w:noWrap/>
            <w:hideMark/>
          </w:tcPr>
          <w:p w14:paraId="5D736A0A" w14:textId="77777777" w:rsidR="0083639D" w:rsidRPr="0083639D" w:rsidRDefault="0083639D" w:rsidP="00C94B09">
            <w:pPr>
              <w:pStyle w:val="BodyText1"/>
              <w:jc w:val="right"/>
              <w:rPr>
                <w:rFonts w:asciiTheme="minorHAnsi" w:hAnsiTheme="minorHAnsi"/>
                <w:sz w:val="22"/>
                <w:szCs w:val="22"/>
              </w:rPr>
            </w:pPr>
          </w:p>
        </w:tc>
        <w:tc>
          <w:tcPr>
            <w:tcW w:w="743" w:type="dxa"/>
            <w:tcBorders>
              <w:top w:val="nil"/>
              <w:bottom w:val="single" w:sz="4" w:space="0" w:color="auto"/>
            </w:tcBorders>
            <w:shd w:val="clear" w:color="auto" w:fill="BFBFBF" w:themeFill="background1" w:themeFillShade="BF"/>
            <w:noWrap/>
            <w:hideMark/>
          </w:tcPr>
          <w:p w14:paraId="2FB7DF25" w14:textId="77777777" w:rsidR="0083639D" w:rsidRPr="0083639D" w:rsidRDefault="0083639D" w:rsidP="00C94B09">
            <w:pPr>
              <w:pStyle w:val="BodyText1"/>
              <w:jc w:val="right"/>
              <w:rPr>
                <w:rFonts w:asciiTheme="minorHAnsi" w:hAnsiTheme="minorHAnsi"/>
                <w:sz w:val="22"/>
                <w:szCs w:val="22"/>
              </w:rPr>
            </w:pPr>
          </w:p>
        </w:tc>
      </w:tr>
      <w:tr w:rsidR="0083639D" w:rsidRPr="0083639D" w14:paraId="14E3D194" w14:textId="77777777" w:rsidTr="00E24C80">
        <w:trPr>
          <w:trHeight w:val="300"/>
        </w:trPr>
        <w:tc>
          <w:tcPr>
            <w:tcW w:w="1719" w:type="dxa"/>
            <w:tcBorders>
              <w:bottom w:val="nil"/>
            </w:tcBorders>
            <w:noWrap/>
            <w:hideMark/>
          </w:tcPr>
          <w:p w14:paraId="41F97885"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bottom w:val="nil"/>
            </w:tcBorders>
            <w:noWrap/>
            <w:hideMark/>
          </w:tcPr>
          <w:p w14:paraId="1A9166E7"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Davies test</w:t>
            </w:r>
          </w:p>
        </w:tc>
        <w:tc>
          <w:tcPr>
            <w:tcW w:w="1228" w:type="dxa"/>
            <w:tcBorders>
              <w:bottom w:val="nil"/>
            </w:tcBorders>
            <w:noWrap/>
            <w:hideMark/>
          </w:tcPr>
          <w:p w14:paraId="5725649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2014.4</w:t>
            </w:r>
          </w:p>
        </w:tc>
        <w:tc>
          <w:tcPr>
            <w:tcW w:w="1275" w:type="dxa"/>
            <w:tcBorders>
              <w:bottom w:val="nil"/>
            </w:tcBorders>
            <w:shd w:val="clear" w:color="auto" w:fill="F2F2F2" w:themeFill="background1" w:themeFillShade="F2"/>
            <w:noWrap/>
            <w:hideMark/>
          </w:tcPr>
          <w:p w14:paraId="508FCE70"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13" w:type="dxa"/>
            <w:tcBorders>
              <w:bottom w:val="nil"/>
            </w:tcBorders>
            <w:shd w:val="clear" w:color="auto" w:fill="F2F2F2" w:themeFill="background1" w:themeFillShade="F2"/>
            <w:noWrap/>
            <w:hideMark/>
          </w:tcPr>
          <w:p w14:paraId="37EF8EA2"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083" w:type="dxa"/>
            <w:tcBorders>
              <w:bottom w:val="nil"/>
            </w:tcBorders>
            <w:noWrap/>
            <w:hideMark/>
          </w:tcPr>
          <w:p w14:paraId="7C3F9E8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0.008742</w:t>
            </w:r>
          </w:p>
        </w:tc>
        <w:tc>
          <w:tcPr>
            <w:tcW w:w="1274" w:type="dxa"/>
            <w:tcBorders>
              <w:bottom w:val="nil"/>
            </w:tcBorders>
            <w:shd w:val="clear" w:color="auto" w:fill="F2F2F2" w:themeFill="background1" w:themeFillShade="F2"/>
            <w:noWrap/>
            <w:hideMark/>
          </w:tcPr>
          <w:p w14:paraId="2FB2DF9E"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bottom w:val="nil"/>
            </w:tcBorders>
            <w:shd w:val="clear" w:color="auto" w:fill="F2F2F2" w:themeFill="background1" w:themeFillShade="F2"/>
            <w:noWrap/>
            <w:hideMark/>
          </w:tcPr>
          <w:p w14:paraId="7C397A0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bottom w:val="nil"/>
            </w:tcBorders>
            <w:shd w:val="clear" w:color="auto" w:fill="F2F2F2" w:themeFill="background1" w:themeFillShade="F2"/>
            <w:noWrap/>
            <w:hideMark/>
          </w:tcPr>
          <w:p w14:paraId="440C33C4"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bottom w:val="nil"/>
            </w:tcBorders>
            <w:shd w:val="clear" w:color="auto" w:fill="F2F2F2" w:themeFill="background1" w:themeFillShade="F2"/>
            <w:noWrap/>
            <w:hideMark/>
          </w:tcPr>
          <w:p w14:paraId="232AC789"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43" w:type="dxa"/>
            <w:tcBorders>
              <w:bottom w:val="nil"/>
            </w:tcBorders>
            <w:shd w:val="clear" w:color="auto" w:fill="F2F2F2" w:themeFill="background1" w:themeFillShade="F2"/>
            <w:noWrap/>
            <w:hideMark/>
          </w:tcPr>
          <w:p w14:paraId="3B35AABC"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r>
      <w:tr w:rsidR="0083639D" w:rsidRPr="0083639D" w14:paraId="21FFEFB1" w14:textId="77777777" w:rsidTr="00E24C80">
        <w:trPr>
          <w:trHeight w:val="300"/>
        </w:trPr>
        <w:tc>
          <w:tcPr>
            <w:tcW w:w="1719" w:type="dxa"/>
            <w:tcBorders>
              <w:top w:val="nil"/>
              <w:bottom w:val="nil"/>
            </w:tcBorders>
            <w:noWrap/>
            <w:hideMark/>
          </w:tcPr>
          <w:p w14:paraId="02EBE818"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top w:val="nil"/>
              <w:bottom w:val="nil"/>
            </w:tcBorders>
            <w:noWrap/>
            <w:hideMark/>
          </w:tcPr>
          <w:p w14:paraId="2F33A594"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one break</w:t>
            </w:r>
          </w:p>
        </w:tc>
        <w:tc>
          <w:tcPr>
            <w:tcW w:w="1228" w:type="dxa"/>
            <w:tcBorders>
              <w:top w:val="nil"/>
              <w:bottom w:val="nil"/>
            </w:tcBorders>
            <w:noWrap/>
            <w:hideMark/>
          </w:tcPr>
          <w:p w14:paraId="6B63F5D5" w14:textId="266FD27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2014.</w:t>
            </w:r>
            <w:r w:rsidR="00123ADC">
              <w:rPr>
                <w:rFonts w:asciiTheme="minorHAnsi" w:hAnsiTheme="minorHAnsi"/>
                <w:sz w:val="22"/>
                <w:szCs w:val="22"/>
              </w:rPr>
              <w:t>6</w:t>
            </w:r>
          </w:p>
        </w:tc>
        <w:tc>
          <w:tcPr>
            <w:tcW w:w="1275" w:type="dxa"/>
            <w:tcBorders>
              <w:top w:val="nil"/>
              <w:bottom w:val="nil"/>
            </w:tcBorders>
            <w:noWrap/>
            <w:hideMark/>
          </w:tcPr>
          <w:p w14:paraId="74DADFC4" w14:textId="4D319ACC"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2012.5</w:t>
            </w:r>
          </w:p>
        </w:tc>
        <w:tc>
          <w:tcPr>
            <w:tcW w:w="1313" w:type="dxa"/>
            <w:tcBorders>
              <w:top w:val="nil"/>
              <w:bottom w:val="nil"/>
            </w:tcBorders>
            <w:noWrap/>
            <w:hideMark/>
          </w:tcPr>
          <w:p w14:paraId="0BC757EB" w14:textId="462B7D4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2016.6</w:t>
            </w:r>
          </w:p>
        </w:tc>
        <w:tc>
          <w:tcPr>
            <w:tcW w:w="1083" w:type="dxa"/>
            <w:tcBorders>
              <w:top w:val="nil"/>
              <w:bottom w:val="nil"/>
            </w:tcBorders>
            <w:shd w:val="clear" w:color="auto" w:fill="F2F2F2" w:themeFill="background1" w:themeFillShade="F2"/>
            <w:noWrap/>
            <w:hideMark/>
          </w:tcPr>
          <w:p w14:paraId="798493A1"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bottom w:val="nil"/>
            </w:tcBorders>
            <w:shd w:val="clear" w:color="auto" w:fill="F2F2F2" w:themeFill="background1" w:themeFillShade="F2"/>
            <w:noWrap/>
            <w:hideMark/>
          </w:tcPr>
          <w:p w14:paraId="6E208FB5"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22" w:type="dxa"/>
            <w:tcBorders>
              <w:top w:val="nil"/>
              <w:bottom w:val="nil"/>
            </w:tcBorders>
            <w:shd w:val="clear" w:color="auto" w:fill="F2F2F2" w:themeFill="background1" w:themeFillShade="F2"/>
            <w:noWrap/>
            <w:hideMark/>
          </w:tcPr>
          <w:p w14:paraId="7235F548"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386" w:type="dxa"/>
            <w:tcBorders>
              <w:top w:val="nil"/>
              <w:bottom w:val="nil"/>
            </w:tcBorders>
            <w:shd w:val="clear" w:color="auto" w:fill="F2F2F2" w:themeFill="background1" w:themeFillShade="F2"/>
            <w:noWrap/>
            <w:hideMark/>
          </w:tcPr>
          <w:p w14:paraId="1B0FC5F7"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791" w:type="dxa"/>
            <w:tcBorders>
              <w:top w:val="nil"/>
              <w:bottom w:val="nil"/>
            </w:tcBorders>
            <w:noWrap/>
            <w:hideMark/>
          </w:tcPr>
          <w:p w14:paraId="472A637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1536</w:t>
            </w:r>
          </w:p>
        </w:tc>
        <w:tc>
          <w:tcPr>
            <w:tcW w:w="743" w:type="dxa"/>
            <w:tcBorders>
              <w:top w:val="nil"/>
              <w:bottom w:val="nil"/>
            </w:tcBorders>
            <w:noWrap/>
            <w:hideMark/>
          </w:tcPr>
          <w:p w14:paraId="40373BDA"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1549</w:t>
            </w:r>
          </w:p>
        </w:tc>
      </w:tr>
      <w:tr w:rsidR="0083639D" w:rsidRPr="0083639D" w14:paraId="6B307168" w14:textId="77777777" w:rsidTr="00E24C80">
        <w:trPr>
          <w:trHeight w:val="300"/>
        </w:trPr>
        <w:tc>
          <w:tcPr>
            <w:tcW w:w="1719" w:type="dxa"/>
            <w:tcBorders>
              <w:top w:val="nil"/>
            </w:tcBorders>
            <w:noWrap/>
            <w:hideMark/>
          </w:tcPr>
          <w:p w14:paraId="729B1671"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Female 75+yrs</w:t>
            </w:r>
          </w:p>
        </w:tc>
        <w:tc>
          <w:tcPr>
            <w:tcW w:w="2251" w:type="dxa"/>
            <w:tcBorders>
              <w:top w:val="nil"/>
            </w:tcBorders>
            <w:noWrap/>
            <w:hideMark/>
          </w:tcPr>
          <w:p w14:paraId="42B8CF48" w14:textId="77777777" w:rsidR="0083639D" w:rsidRPr="0083639D" w:rsidRDefault="0083639D" w:rsidP="00067492">
            <w:pPr>
              <w:pStyle w:val="BodyText1"/>
              <w:rPr>
                <w:rFonts w:asciiTheme="minorHAnsi" w:hAnsiTheme="minorHAnsi"/>
                <w:sz w:val="22"/>
                <w:szCs w:val="22"/>
              </w:rPr>
            </w:pPr>
            <w:r w:rsidRPr="0083639D">
              <w:rPr>
                <w:rFonts w:asciiTheme="minorHAnsi" w:hAnsiTheme="minorHAnsi"/>
                <w:sz w:val="22"/>
                <w:szCs w:val="22"/>
              </w:rPr>
              <w:t>Segmented: two break</w:t>
            </w:r>
          </w:p>
        </w:tc>
        <w:tc>
          <w:tcPr>
            <w:tcW w:w="1228" w:type="dxa"/>
            <w:tcBorders>
              <w:top w:val="nil"/>
            </w:tcBorders>
            <w:noWrap/>
          </w:tcPr>
          <w:p w14:paraId="46F4DC17" w14:textId="3F78C54B"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2011.7</w:t>
            </w:r>
          </w:p>
        </w:tc>
        <w:tc>
          <w:tcPr>
            <w:tcW w:w="1275" w:type="dxa"/>
            <w:tcBorders>
              <w:top w:val="nil"/>
            </w:tcBorders>
            <w:noWrap/>
          </w:tcPr>
          <w:p w14:paraId="3AAC3D84" w14:textId="5C543BA6"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2010.2</w:t>
            </w:r>
          </w:p>
        </w:tc>
        <w:tc>
          <w:tcPr>
            <w:tcW w:w="1313" w:type="dxa"/>
            <w:tcBorders>
              <w:top w:val="nil"/>
            </w:tcBorders>
            <w:noWrap/>
          </w:tcPr>
          <w:p w14:paraId="7CC0BEA6" w14:textId="4CA754CA"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2013.</w:t>
            </w:r>
            <w:r w:rsidR="00123ADC">
              <w:rPr>
                <w:rFonts w:asciiTheme="minorHAnsi" w:hAnsiTheme="minorHAnsi"/>
                <w:sz w:val="22"/>
                <w:szCs w:val="22"/>
              </w:rPr>
              <w:t>3</w:t>
            </w:r>
          </w:p>
        </w:tc>
        <w:tc>
          <w:tcPr>
            <w:tcW w:w="1083" w:type="dxa"/>
            <w:tcBorders>
              <w:top w:val="nil"/>
            </w:tcBorders>
            <w:shd w:val="clear" w:color="auto" w:fill="F2F2F2" w:themeFill="background1" w:themeFillShade="F2"/>
            <w:noWrap/>
            <w:hideMark/>
          </w:tcPr>
          <w:p w14:paraId="095EF45F"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 </w:t>
            </w:r>
          </w:p>
        </w:tc>
        <w:tc>
          <w:tcPr>
            <w:tcW w:w="1274" w:type="dxa"/>
            <w:tcBorders>
              <w:top w:val="nil"/>
            </w:tcBorders>
            <w:noWrap/>
          </w:tcPr>
          <w:p w14:paraId="1AD1A2FA" w14:textId="36892528"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2004.3</w:t>
            </w:r>
          </w:p>
        </w:tc>
        <w:tc>
          <w:tcPr>
            <w:tcW w:w="1322" w:type="dxa"/>
            <w:tcBorders>
              <w:top w:val="nil"/>
            </w:tcBorders>
            <w:noWrap/>
          </w:tcPr>
          <w:p w14:paraId="776608B7" w14:textId="32E501A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w:t>
            </w:r>
            <w:r w:rsidR="00123ADC">
              <w:rPr>
                <w:rFonts w:asciiTheme="minorHAnsi" w:hAnsiTheme="minorHAnsi"/>
                <w:sz w:val="22"/>
                <w:szCs w:val="22"/>
              </w:rPr>
              <w:t>2.0</w:t>
            </w:r>
          </w:p>
        </w:tc>
        <w:tc>
          <w:tcPr>
            <w:tcW w:w="1386" w:type="dxa"/>
            <w:tcBorders>
              <w:top w:val="nil"/>
            </w:tcBorders>
            <w:noWrap/>
          </w:tcPr>
          <w:p w14:paraId="206941A7" w14:textId="0BFAE3FD"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2006.7</w:t>
            </w:r>
          </w:p>
        </w:tc>
        <w:tc>
          <w:tcPr>
            <w:tcW w:w="791" w:type="dxa"/>
            <w:tcBorders>
              <w:top w:val="nil"/>
            </w:tcBorders>
            <w:noWrap/>
            <w:hideMark/>
          </w:tcPr>
          <w:p w14:paraId="0108702D"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1520</w:t>
            </w:r>
          </w:p>
        </w:tc>
        <w:tc>
          <w:tcPr>
            <w:tcW w:w="743" w:type="dxa"/>
            <w:tcBorders>
              <w:top w:val="nil"/>
            </w:tcBorders>
            <w:noWrap/>
            <w:hideMark/>
          </w:tcPr>
          <w:p w14:paraId="3BC40CEB" w14:textId="77777777" w:rsidR="0083639D" w:rsidRPr="0083639D" w:rsidRDefault="0083639D" w:rsidP="00C94B09">
            <w:pPr>
              <w:pStyle w:val="BodyText1"/>
              <w:jc w:val="right"/>
              <w:rPr>
                <w:rFonts w:asciiTheme="minorHAnsi" w:hAnsiTheme="minorHAnsi"/>
                <w:sz w:val="22"/>
                <w:szCs w:val="22"/>
              </w:rPr>
            </w:pPr>
            <w:r w:rsidRPr="0083639D">
              <w:rPr>
                <w:rFonts w:asciiTheme="minorHAnsi" w:hAnsiTheme="minorHAnsi"/>
                <w:sz w:val="22"/>
                <w:szCs w:val="22"/>
              </w:rPr>
              <w:t>1539</w:t>
            </w:r>
          </w:p>
        </w:tc>
      </w:tr>
    </w:tbl>
    <w:p w14:paraId="354DE1B5" w14:textId="77777777" w:rsidR="0083639D" w:rsidRDefault="0083639D" w:rsidP="002F5F24">
      <w:pPr>
        <w:spacing w:after="0" w:line="240" w:lineRule="auto"/>
        <w:rPr>
          <w:rFonts w:asciiTheme="minorHAnsi" w:hAnsiTheme="minorHAnsi"/>
          <w:b/>
          <w:sz w:val="22"/>
        </w:rPr>
        <w:sectPr w:rsidR="0083639D" w:rsidSect="00C43706">
          <w:endnotePr>
            <w:numFmt w:val="decimal"/>
          </w:endnotePr>
          <w:pgSz w:w="16838" w:h="11906" w:orient="landscape"/>
          <w:pgMar w:top="1800" w:right="1440" w:bottom="1800" w:left="1440" w:header="708" w:footer="708" w:gutter="0"/>
          <w:cols w:space="708"/>
          <w:docGrid w:linePitch="360"/>
        </w:sectPr>
      </w:pPr>
    </w:p>
    <w:p w14:paraId="33558977" w14:textId="77777777" w:rsidR="00C01689" w:rsidRDefault="00A7442F" w:rsidP="00C01689">
      <w:pPr>
        <w:pStyle w:val="BodyText1"/>
        <w:rPr>
          <w:rFonts w:asciiTheme="minorHAnsi" w:hAnsiTheme="minorHAnsi"/>
          <w:b/>
          <w:sz w:val="28"/>
          <w:szCs w:val="28"/>
        </w:rPr>
      </w:pPr>
      <w:r w:rsidRPr="002C5000">
        <w:rPr>
          <w:rFonts w:asciiTheme="minorHAnsi" w:hAnsiTheme="minorHAnsi"/>
          <w:b/>
          <w:sz w:val="28"/>
          <w:szCs w:val="28"/>
        </w:rPr>
        <w:t>Discussion</w:t>
      </w:r>
    </w:p>
    <w:p w14:paraId="52471ED0" w14:textId="77777777" w:rsidR="007847AF" w:rsidRPr="002C5000" w:rsidRDefault="007847AF" w:rsidP="00C01689">
      <w:pPr>
        <w:pStyle w:val="BodyText1"/>
        <w:rPr>
          <w:rFonts w:asciiTheme="minorHAnsi" w:hAnsiTheme="minorHAnsi"/>
          <w:b/>
          <w:sz w:val="28"/>
          <w:szCs w:val="28"/>
        </w:rPr>
      </w:pPr>
    </w:p>
    <w:p w14:paraId="51CA0D84" w14:textId="77777777" w:rsidR="007847AF" w:rsidRPr="007847AF" w:rsidRDefault="007847AF" w:rsidP="007847AF">
      <w:pPr>
        <w:pStyle w:val="BodyText1"/>
        <w:rPr>
          <w:rFonts w:asciiTheme="minorHAnsi" w:hAnsiTheme="minorHAnsi"/>
          <w:b/>
          <w:sz w:val="22"/>
        </w:rPr>
      </w:pPr>
      <w:r w:rsidRPr="007847AF">
        <w:rPr>
          <w:rFonts w:asciiTheme="minorHAnsi" w:hAnsiTheme="minorHAnsi"/>
          <w:b/>
          <w:sz w:val="22"/>
        </w:rPr>
        <w:t>Principal findings</w:t>
      </w:r>
    </w:p>
    <w:p w14:paraId="3BF77541" w14:textId="5E477075" w:rsidR="007B058F" w:rsidRDefault="007847AF" w:rsidP="007847AF">
      <w:pPr>
        <w:pStyle w:val="BodyText1"/>
        <w:rPr>
          <w:rFonts w:asciiTheme="minorHAnsi" w:hAnsiTheme="minorHAnsi"/>
          <w:sz w:val="22"/>
        </w:rPr>
      </w:pPr>
      <w:r w:rsidRPr="007847AF">
        <w:rPr>
          <w:rFonts w:asciiTheme="minorHAnsi" w:hAnsiTheme="minorHAnsi"/>
          <w:sz w:val="22"/>
        </w:rPr>
        <w:t>The increase in life expectancy in Scotland since 1855 has occurred at different rates over time. Over the first one hundred years</w:t>
      </w:r>
      <w:r w:rsidR="007B058F">
        <w:rPr>
          <w:rFonts w:asciiTheme="minorHAnsi" w:hAnsiTheme="minorHAnsi"/>
          <w:sz w:val="22"/>
        </w:rPr>
        <w:t xml:space="preserve"> examined here</w:t>
      </w:r>
      <w:r w:rsidR="00885BCF">
        <w:rPr>
          <w:rFonts w:asciiTheme="minorHAnsi" w:hAnsiTheme="minorHAnsi"/>
          <w:sz w:val="22"/>
        </w:rPr>
        <w:t>,</w:t>
      </w:r>
      <w:r w:rsidRPr="007847AF">
        <w:rPr>
          <w:rFonts w:asciiTheme="minorHAnsi" w:hAnsiTheme="minorHAnsi"/>
          <w:sz w:val="22"/>
        </w:rPr>
        <w:t xml:space="preserve"> there were periods of rapid increase, but also notable declines. Since 1957, however, there has been a pattern of smaller, steadier increases in life expectancy for both males and females. The life expectancy gains between 2012 and 2016 are amongst the smallest seen in this later period, with average increases of only 2.5 weeks/year for women and 4.5 weeks/year for men</w:t>
      </w:r>
      <w:r>
        <w:rPr>
          <w:rFonts w:asciiTheme="minorHAnsi" w:hAnsiTheme="minorHAnsi"/>
          <w:sz w:val="22"/>
        </w:rPr>
        <w:t xml:space="preserve">. </w:t>
      </w:r>
    </w:p>
    <w:p w14:paraId="5E380E02" w14:textId="77777777" w:rsidR="007B058F" w:rsidRDefault="007B058F" w:rsidP="007847AF">
      <w:pPr>
        <w:pStyle w:val="BodyText1"/>
        <w:rPr>
          <w:rFonts w:asciiTheme="minorHAnsi" w:hAnsiTheme="minorHAnsi"/>
          <w:sz w:val="22"/>
        </w:rPr>
      </w:pPr>
    </w:p>
    <w:p w14:paraId="277E5BD0" w14:textId="7E215A24" w:rsidR="007B058F" w:rsidRDefault="007847AF" w:rsidP="007847AF">
      <w:pPr>
        <w:pStyle w:val="BodyText1"/>
        <w:rPr>
          <w:rFonts w:asciiTheme="minorHAnsi" w:hAnsiTheme="minorHAnsi"/>
          <w:sz w:val="22"/>
        </w:rPr>
      </w:pPr>
      <w:r w:rsidRPr="001F731E">
        <w:rPr>
          <w:rFonts w:asciiTheme="minorHAnsi" w:hAnsiTheme="minorHAnsi"/>
          <w:sz w:val="22"/>
          <w:highlight w:val="yellow"/>
        </w:rPr>
        <w:t xml:space="preserve">Of the </w:t>
      </w:r>
      <w:r w:rsidR="0069548C" w:rsidRPr="001F731E">
        <w:rPr>
          <w:rFonts w:asciiTheme="minorHAnsi" w:hAnsiTheme="minorHAnsi"/>
          <w:sz w:val="22"/>
          <w:highlight w:val="yellow"/>
        </w:rPr>
        <w:t>24</w:t>
      </w:r>
      <w:r w:rsidRPr="001F731E">
        <w:rPr>
          <w:rFonts w:asciiTheme="minorHAnsi" w:hAnsiTheme="minorHAnsi"/>
          <w:sz w:val="22"/>
          <w:highlight w:val="yellow"/>
        </w:rPr>
        <w:t xml:space="preserve"> high-income countries for which data were available, </w:t>
      </w:r>
      <w:r w:rsidR="0069548C" w:rsidRPr="001F731E">
        <w:rPr>
          <w:rFonts w:asciiTheme="minorHAnsi" w:hAnsiTheme="minorHAnsi"/>
          <w:sz w:val="22"/>
          <w:highlight w:val="yellow"/>
        </w:rPr>
        <w:t xml:space="preserve">nearly all had smaller life expectancy gains in 2012-2016 than in the immediately preceding period, with Japan and Korea notable exceptions. Among these countries, however, there is large variation in </w:t>
      </w:r>
      <w:r w:rsidR="001F731E">
        <w:rPr>
          <w:rFonts w:asciiTheme="minorHAnsi" w:hAnsiTheme="minorHAnsi"/>
          <w:sz w:val="22"/>
          <w:highlight w:val="yellow"/>
        </w:rPr>
        <w:t xml:space="preserve">levels of life expectancy gains, and in </w:t>
      </w:r>
      <w:r w:rsidR="0069548C" w:rsidRPr="001F731E">
        <w:rPr>
          <w:rFonts w:asciiTheme="minorHAnsi" w:hAnsiTheme="minorHAnsi"/>
          <w:sz w:val="22"/>
          <w:highlight w:val="yellow"/>
        </w:rPr>
        <w:t>the scale of the difference</w:t>
      </w:r>
      <w:r w:rsidR="001F731E">
        <w:rPr>
          <w:rFonts w:asciiTheme="minorHAnsi" w:hAnsiTheme="minorHAnsi"/>
          <w:sz w:val="22"/>
          <w:highlight w:val="yellow"/>
        </w:rPr>
        <w:t xml:space="preserve"> between periods</w:t>
      </w:r>
      <w:r w:rsidR="0069548C" w:rsidRPr="001F731E">
        <w:rPr>
          <w:rFonts w:asciiTheme="minorHAnsi" w:hAnsiTheme="minorHAnsi"/>
          <w:sz w:val="22"/>
          <w:highlight w:val="yellow"/>
        </w:rPr>
        <w:t xml:space="preserve">. Iceland, the USA, </w:t>
      </w:r>
      <w:r w:rsidRPr="001F731E">
        <w:rPr>
          <w:rFonts w:asciiTheme="minorHAnsi" w:hAnsiTheme="minorHAnsi"/>
          <w:sz w:val="22"/>
          <w:highlight w:val="yellow"/>
        </w:rPr>
        <w:t>England &amp; Wales</w:t>
      </w:r>
      <w:r w:rsidR="0069548C" w:rsidRPr="001F731E">
        <w:rPr>
          <w:rFonts w:asciiTheme="minorHAnsi" w:hAnsiTheme="minorHAnsi"/>
          <w:sz w:val="22"/>
          <w:highlight w:val="yellow"/>
        </w:rPr>
        <w:t>, Scotland, and for females Northern Ireland</w:t>
      </w:r>
      <w:r w:rsidR="001F731E">
        <w:rPr>
          <w:rFonts w:asciiTheme="minorHAnsi" w:hAnsiTheme="minorHAnsi"/>
          <w:sz w:val="22"/>
          <w:highlight w:val="yellow"/>
        </w:rPr>
        <w:t>,</w:t>
      </w:r>
      <w:r w:rsidR="0069548C" w:rsidRPr="001F731E">
        <w:rPr>
          <w:rFonts w:asciiTheme="minorHAnsi" w:hAnsiTheme="minorHAnsi"/>
          <w:sz w:val="22"/>
          <w:highlight w:val="yellow"/>
        </w:rPr>
        <w:t xml:space="preserve"> </w:t>
      </w:r>
      <w:r w:rsidR="001F731E">
        <w:rPr>
          <w:rFonts w:asciiTheme="minorHAnsi" w:hAnsiTheme="minorHAnsi"/>
          <w:sz w:val="22"/>
          <w:highlight w:val="yellow"/>
        </w:rPr>
        <w:t>had</w:t>
      </w:r>
      <w:r w:rsidR="0069548C" w:rsidRPr="001F731E">
        <w:rPr>
          <w:rFonts w:asciiTheme="minorHAnsi" w:hAnsiTheme="minorHAnsi"/>
          <w:sz w:val="22"/>
          <w:highlight w:val="yellow"/>
        </w:rPr>
        <w:t xml:space="preserve"> the smallest gains</w:t>
      </w:r>
      <w:r w:rsidR="001F731E">
        <w:rPr>
          <w:rFonts w:asciiTheme="minorHAnsi" w:hAnsiTheme="minorHAnsi"/>
          <w:sz w:val="22"/>
          <w:highlight w:val="yellow"/>
        </w:rPr>
        <w:t xml:space="preserve"> in 2012-2016</w:t>
      </w:r>
      <w:r w:rsidR="0069548C" w:rsidRPr="001F731E">
        <w:rPr>
          <w:rFonts w:asciiTheme="minorHAnsi" w:hAnsiTheme="minorHAnsi"/>
          <w:sz w:val="22"/>
          <w:highlight w:val="yellow"/>
        </w:rPr>
        <w:t xml:space="preserve"> and the most marked stalling. In </w:t>
      </w:r>
      <w:r w:rsidR="001F731E" w:rsidRPr="001F731E">
        <w:rPr>
          <w:rFonts w:asciiTheme="minorHAnsi" w:hAnsiTheme="minorHAnsi"/>
          <w:sz w:val="22"/>
          <w:highlight w:val="yellow"/>
        </w:rPr>
        <w:t>general,</w:t>
      </w:r>
      <w:r w:rsidR="0069548C" w:rsidRPr="001F731E">
        <w:rPr>
          <w:rFonts w:asciiTheme="minorHAnsi" w:hAnsiTheme="minorHAnsi"/>
          <w:sz w:val="22"/>
          <w:highlight w:val="yellow"/>
        </w:rPr>
        <w:t xml:space="preserve"> the countries of western Europe saw smaller gains in 2012-2016,</w:t>
      </w:r>
      <w:r w:rsidRPr="001F731E">
        <w:rPr>
          <w:rFonts w:asciiTheme="minorHAnsi" w:hAnsiTheme="minorHAnsi"/>
          <w:sz w:val="22"/>
          <w:highlight w:val="yellow"/>
        </w:rPr>
        <w:t xml:space="preserve"> </w:t>
      </w:r>
      <w:r w:rsidR="0069548C" w:rsidRPr="001F731E">
        <w:rPr>
          <w:rFonts w:asciiTheme="minorHAnsi" w:hAnsiTheme="minorHAnsi"/>
          <w:sz w:val="22"/>
          <w:highlight w:val="yellow"/>
        </w:rPr>
        <w:t xml:space="preserve">with some degree of slow-down, compared to countries of eastern Europe, where steadier gains have been maintained. Denmark is notable for having maintained mean life expectancy gains of around 10 weeks/year among females across the period 1997-2016, and greater </w:t>
      </w:r>
      <w:r w:rsidR="001F731E" w:rsidRPr="001F731E">
        <w:rPr>
          <w:rFonts w:asciiTheme="minorHAnsi" w:hAnsiTheme="minorHAnsi"/>
          <w:sz w:val="22"/>
          <w:highlight w:val="yellow"/>
        </w:rPr>
        <w:t>gains among males</w:t>
      </w:r>
      <w:r w:rsidR="001F731E">
        <w:rPr>
          <w:rFonts w:asciiTheme="minorHAnsi" w:hAnsiTheme="minorHAnsi"/>
          <w:sz w:val="22"/>
        </w:rPr>
        <w:t xml:space="preserve">. </w:t>
      </w:r>
      <w:r w:rsidR="0069548C">
        <w:rPr>
          <w:rFonts w:asciiTheme="minorHAnsi" w:hAnsiTheme="minorHAnsi"/>
          <w:sz w:val="22"/>
        </w:rPr>
        <w:t xml:space="preserve"> </w:t>
      </w:r>
    </w:p>
    <w:p w14:paraId="308AA421" w14:textId="77777777" w:rsidR="007B058F" w:rsidRDefault="007B058F" w:rsidP="007847AF">
      <w:pPr>
        <w:pStyle w:val="BodyText1"/>
        <w:rPr>
          <w:rFonts w:asciiTheme="minorHAnsi" w:hAnsiTheme="minorHAnsi"/>
          <w:sz w:val="22"/>
        </w:rPr>
      </w:pPr>
    </w:p>
    <w:p w14:paraId="4C7640E3" w14:textId="58F31080" w:rsidR="007847AF" w:rsidRPr="007847AF" w:rsidRDefault="007847AF" w:rsidP="007847AF">
      <w:pPr>
        <w:pStyle w:val="BodyText1"/>
        <w:rPr>
          <w:rFonts w:asciiTheme="minorHAnsi" w:hAnsiTheme="minorHAnsi"/>
          <w:sz w:val="22"/>
        </w:rPr>
      </w:pPr>
      <w:r w:rsidRPr="007847AF">
        <w:rPr>
          <w:rFonts w:asciiTheme="minorHAnsi" w:hAnsiTheme="minorHAnsi"/>
          <w:sz w:val="22"/>
        </w:rPr>
        <w:t xml:space="preserve">The two-break segmented regression model suggests that mortality trends changed to a pattern of more rapid improvement for both males and females in the year ending 1993 Q4. In the year ending 2012 Q4 for males, and 2014 Q2 for females, the trend in mortality rates changes again, with </w:t>
      </w:r>
      <w:r w:rsidR="00123ADC">
        <w:rPr>
          <w:rFonts w:asciiTheme="minorHAnsi" w:hAnsiTheme="minorHAnsi"/>
          <w:sz w:val="22"/>
        </w:rPr>
        <w:t>an increase</w:t>
      </w:r>
      <w:r w:rsidRPr="007847AF">
        <w:rPr>
          <w:rFonts w:asciiTheme="minorHAnsi" w:hAnsiTheme="minorHAnsi"/>
          <w:sz w:val="22"/>
        </w:rPr>
        <w:t xml:space="preserve"> thereafter. For all the models tested, a negative turning point in mortality rates was consistently identified within the period 2011 to 2015. </w:t>
      </w:r>
    </w:p>
    <w:p w14:paraId="6D5C4FB1" w14:textId="77777777" w:rsidR="00E91886" w:rsidRDefault="00E91886" w:rsidP="00C01689">
      <w:pPr>
        <w:pStyle w:val="BodyText1"/>
        <w:rPr>
          <w:rFonts w:asciiTheme="minorHAnsi" w:hAnsiTheme="minorHAnsi"/>
          <w:sz w:val="22"/>
          <w:szCs w:val="22"/>
        </w:rPr>
      </w:pPr>
    </w:p>
    <w:p w14:paraId="096A2354" w14:textId="77777777" w:rsidR="00030E74" w:rsidRPr="002C5000" w:rsidRDefault="00030E74" w:rsidP="00C01689">
      <w:pPr>
        <w:pStyle w:val="BodyText1"/>
        <w:rPr>
          <w:rFonts w:asciiTheme="minorHAnsi" w:hAnsiTheme="minorHAnsi"/>
          <w:b/>
          <w:sz w:val="22"/>
          <w:szCs w:val="22"/>
        </w:rPr>
      </w:pPr>
      <w:r w:rsidRPr="002C5000">
        <w:rPr>
          <w:rFonts w:asciiTheme="minorHAnsi" w:hAnsiTheme="minorHAnsi"/>
          <w:b/>
          <w:sz w:val="22"/>
          <w:szCs w:val="22"/>
        </w:rPr>
        <w:t>Strengths</w:t>
      </w:r>
      <w:r w:rsidR="00E728F7">
        <w:rPr>
          <w:rFonts w:asciiTheme="minorHAnsi" w:hAnsiTheme="minorHAnsi"/>
          <w:b/>
          <w:sz w:val="22"/>
          <w:szCs w:val="22"/>
        </w:rPr>
        <w:t xml:space="preserve"> and limitations </w:t>
      </w:r>
    </w:p>
    <w:p w14:paraId="1C8AFDF6" w14:textId="77777777" w:rsidR="007B058F" w:rsidRDefault="007847AF" w:rsidP="007847AF">
      <w:pPr>
        <w:pStyle w:val="BodyText1"/>
        <w:rPr>
          <w:rFonts w:asciiTheme="minorHAnsi" w:hAnsiTheme="minorHAnsi"/>
          <w:sz w:val="22"/>
        </w:rPr>
      </w:pPr>
      <w:r w:rsidRPr="007847AF">
        <w:rPr>
          <w:rFonts w:asciiTheme="minorHAnsi" w:hAnsiTheme="minorHAnsi"/>
          <w:sz w:val="22"/>
        </w:rPr>
        <w:t xml:space="preserve">Using life expectancy and age-standardised mortality rates ensures that the analyses in this paper are not prone to confounding by changes in the age structure of the population. We used all-cause mortality rates, thus avoiding difficulties due to competing causes of death and coding uncertainties. We performed sensitivity analyses on the periodisation of the average gain in life expectancy comparisons to identify the potential for the findings to be affected by the selection of a particular start date for the analyses. </w:t>
      </w:r>
    </w:p>
    <w:p w14:paraId="21EDD455" w14:textId="77777777" w:rsidR="007B058F" w:rsidRDefault="007B058F" w:rsidP="007847AF">
      <w:pPr>
        <w:pStyle w:val="BodyText1"/>
        <w:rPr>
          <w:rFonts w:asciiTheme="minorHAnsi" w:hAnsiTheme="minorHAnsi"/>
          <w:sz w:val="22"/>
        </w:rPr>
      </w:pPr>
    </w:p>
    <w:p w14:paraId="7E64C3DD" w14:textId="02AF918C" w:rsidR="007847AF" w:rsidRDefault="007B058F" w:rsidP="007847AF">
      <w:pPr>
        <w:pStyle w:val="BodyText1"/>
        <w:rPr>
          <w:rFonts w:asciiTheme="minorHAnsi" w:hAnsiTheme="minorHAnsi"/>
          <w:sz w:val="22"/>
        </w:rPr>
      </w:pPr>
      <w:r w:rsidRPr="007847AF">
        <w:rPr>
          <w:rFonts w:asciiTheme="minorHAnsi" w:hAnsiTheme="minorHAnsi"/>
          <w:sz w:val="22"/>
        </w:rPr>
        <w:t>The use of single-year life expectancy estimates from the HMD allowed international comparison</w:t>
      </w:r>
      <w:r w:rsidR="00885BCF">
        <w:rPr>
          <w:rFonts w:asciiTheme="minorHAnsi" w:hAnsiTheme="minorHAnsi"/>
          <w:sz w:val="22"/>
        </w:rPr>
        <w:t>;</w:t>
      </w:r>
      <w:r w:rsidRPr="007847AF">
        <w:rPr>
          <w:rFonts w:asciiTheme="minorHAnsi" w:hAnsiTheme="minorHAnsi"/>
          <w:sz w:val="22"/>
        </w:rPr>
        <w:t xml:space="preserve"> it should be noted that these data differ slightly </w:t>
      </w:r>
      <w:r w:rsidR="00046C73">
        <w:rPr>
          <w:rFonts w:asciiTheme="minorHAnsi" w:hAnsiTheme="minorHAnsi"/>
          <w:sz w:val="22"/>
        </w:rPr>
        <w:t>from</w:t>
      </w:r>
      <w:r w:rsidRPr="007847AF">
        <w:rPr>
          <w:rFonts w:asciiTheme="minorHAnsi" w:hAnsiTheme="minorHAnsi"/>
          <w:sz w:val="22"/>
        </w:rPr>
        <w:t xml:space="preserve"> life expectancy estimates published by NRS using 3-yearly rolling averages.  </w:t>
      </w:r>
      <w:r w:rsidR="007847AF" w:rsidRPr="007847AF">
        <w:rPr>
          <w:rFonts w:asciiTheme="minorHAnsi" w:hAnsiTheme="minorHAnsi"/>
          <w:sz w:val="22"/>
        </w:rPr>
        <w:t xml:space="preserve">The </w:t>
      </w:r>
      <w:r>
        <w:rPr>
          <w:rFonts w:asciiTheme="minorHAnsi" w:hAnsiTheme="minorHAnsi"/>
          <w:sz w:val="22"/>
        </w:rPr>
        <w:t>international</w:t>
      </w:r>
      <w:r w:rsidR="007847AF" w:rsidRPr="007847AF">
        <w:rPr>
          <w:rFonts w:asciiTheme="minorHAnsi" w:hAnsiTheme="minorHAnsi"/>
          <w:sz w:val="22"/>
        </w:rPr>
        <w:t xml:space="preserve"> analysis </w:t>
      </w:r>
      <w:r w:rsidR="001F731E">
        <w:rPr>
          <w:rFonts w:asciiTheme="minorHAnsi" w:hAnsiTheme="minorHAnsi"/>
          <w:sz w:val="22"/>
        </w:rPr>
        <w:t>is limited to</w:t>
      </w:r>
      <w:r w:rsidR="007847AF" w:rsidRPr="007847AF">
        <w:rPr>
          <w:rFonts w:asciiTheme="minorHAnsi" w:hAnsiTheme="minorHAnsi"/>
          <w:sz w:val="22"/>
        </w:rPr>
        <w:t xml:space="preserve"> the range of countries </w:t>
      </w:r>
      <w:r w:rsidR="001F731E">
        <w:rPr>
          <w:rFonts w:asciiTheme="minorHAnsi" w:hAnsiTheme="minorHAnsi"/>
          <w:sz w:val="22"/>
        </w:rPr>
        <w:t xml:space="preserve">for </w:t>
      </w:r>
      <w:r w:rsidR="007847AF" w:rsidRPr="007847AF">
        <w:rPr>
          <w:rFonts w:asciiTheme="minorHAnsi" w:hAnsiTheme="minorHAnsi"/>
          <w:sz w:val="22"/>
        </w:rPr>
        <w:t xml:space="preserve">which </w:t>
      </w:r>
      <w:r w:rsidR="001F731E">
        <w:rPr>
          <w:rFonts w:asciiTheme="minorHAnsi" w:hAnsiTheme="minorHAnsi"/>
          <w:sz w:val="22"/>
        </w:rPr>
        <w:t>data were available</w:t>
      </w:r>
      <w:r w:rsidR="007847AF" w:rsidRPr="007847AF">
        <w:rPr>
          <w:rFonts w:asciiTheme="minorHAnsi" w:hAnsiTheme="minorHAnsi"/>
          <w:sz w:val="22"/>
        </w:rPr>
        <w:t xml:space="preserve"> through the HMD at the time of extraction. We were only able to conduct segmented regression employing four-quarter rolling mortality rates for Scotland, as we did not have access to equivalent data for other countries.  </w:t>
      </w:r>
      <w:r>
        <w:rPr>
          <w:rFonts w:asciiTheme="minorHAnsi" w:hAnsiTheme="minorHAnsi"/>
          <w:sz w:val="22"/>
        </w:rPr>
        <w:t xml:space="preserve">We acknowledge that the confidence intervals presented for segmented regression may underestimate the true uncertainty, as the nature of the rolling quarterly mortality rate estimates means that the data points aren’t discrete. </w:t>
      </w:r>
    </w:p>
    <w:p w14:paraId="3ED23DCE" w14:textId="77777777" w:rsidR="007847AF" w:rsidRDefault="007847AF" w:rsidP="007847AF">
      <w:pPr>
        <w:pStyle w:val="BodyText1"/>
        <w:rPr>
          <w:rFonts w:asciiTheme="minorHAnsi" w:hAnsiTheme="minorHAnsi"/>
          <w:sz w:val="22"/>
        </w:rPr>
      </w:pPr>
    </w:p>
    <w:p w14:paraId="44A1C659" w14:textId="08173325" w:rsidR="00016FC7" w:rsidRPr="007847AF" w:rsidRDefault="007847AF" w:rsidP="00C01689">
      <w:pPr>
        <w:pStyle w:val="BodyText1"/>
        <w:rPr>
          <w:rFonts w:asciiTheme="minorHAnsi" w:hAnsiTheme="minorHAnsi"/>
          <w:sz w:val="22"/>
        </w:rPr>
      </w:pPr>
      <w:r w:rsidRPr="007847AF">
        <w:rPr>
          <w:rFonts w:asciiTheme="minorHAnsi" w:hAnsiTheme="minorHAnsi"/>
          <w:sz w:val="22"/>
        </w:rPr>
        <w:t>Whilst other studies have focused changes in mortality between single years (particularly 2014 to 2015), we were explicit in seeking to describe the longer-term mortality trends, and therefore employed five-year time periods for comparison to reduce the influence of year-to-year variation on observations. By extending life expectancy gain comparisons back over a longer time period we have sought to address concerns that</w:t>
      </w:r>
      <w:r w:rsidR="00046C73">
        <w:rPr>
          <w:rFonts w:asciiTheme="minorHAnsi" w:hAnsiTheme="minorHAnsi"/>
          <w:sz w:val="22"/>
        </w:rPr>
        <w:t xml:space="preserve"> the stalling of</w:t>
      </w:r>
      <w:r w:rsidRPr="007847AF">
        <w:rPr>
          <w:rFonts w:asciiTheme="minorHAnsi" w:hAnsiTheme="minorHAnsi"/>
          <w:sz w:val="22"/>
        </w:rPr>
        <w:t xml:space="preserve"> life expectancy in the</w:t>
      </w:r>
      <w:r w:rsidR="00046C73">
        <w:rPr>
          <w:rFonts w:asciiTheme="minorHAnsi" w:hAnsiTheme="minorHAnsi"/>
          <w:sz w:val="22"/>
        </w:rPr>
        <w:t xml:space="preserve"> most</w:t>
      </w:r>
      <w:r w:rsidRPr="007847AF">
        <w:rPr>
          <w:rFonts w:asciiTheme="minorHAnsi" w:hAnsiTheme="minorHAnsi"/>
          <w:sz w:val="22"/>
        </w:rPr>
        <w:t xml:space="preserve"> recent period may be over-emphasised due to notably large gains in the immediat</w:t>
      </w:r>
      <w:r w:rsidR="00046C73">
        <w:rPr>
          <w:rFonts w:asciiTheme="minorHAnsi" w:hAnsiTheme="minorHAnsi"/>
          <w:sz w:val="22"/>
        </w:rPr>
        <w:t>ely</w:t>
      </w:r>
      <w:r w:rsidRPr="007847AF">
        <w:rPr>
          <w:rFonts w:asciiTheme="minorHAnsi" w:hAnsiTheme="minorHAnsi"/>
          <w:sz w:val="22"/>
        </w:rPr>
        <w:t xml:space="preserve"> preceding period. </w:t>
      </w:r>
    </w:p>
    <w:p w14:paraId="6F2372FE" w14:textId="77777777" w:rsidR="00746ABA" w:rsidRDefault="00746ABA" w:rsidP="00C01689">
      <w:pPr>
        <w:pStyle w:val="BodyText1"/>
        <w:rPr>
          <w:rFonts w:asciiTheme="minorHAnsi" w:hAnsiTheme="minorHAnsi"/>
          <w:sz w:val="22"/>
          <w:szCs w:val="22"/>
        </w:rPr>
      </w:pPr>
    </w:p>
    <w:p w14:paraId="3DFF687E" w14:textId="77777777" w:rsidR="00030E74" w:rsidRDefault="00030E74" w:rsidP="00C01689">
      <w:pPr>
        <w:pStyle w:val="BodyText1"/>
        <w:rPr>
          <w:rFonts w:asciiTheme="minorHAnsi" w:hAnsiTheme="minorHAnsi"/>
          <w:b/>
          <w:sz w:val="22"/>
          <w:szCs w:val="22"/>
        </w:rPr>
      </w:pPr>
      <w:r w:rsidRPr="002C5000">
        <w:rPr>
          <w:rFonts w:asciiTheme="minorHAnsi" w:hAnsiTheme="minorHAnsi"/>
          <w:b/>
          <w:sz w:val="22"/>
          <w:szCs w:val="22"/>
        </w:rPr>
        <w:t>How this fits</w:t>
      </w:r>
    </w:p>
    <w:p w14:paraId="3B8F409D" w14:textId="1A238EB4" w:rsidR="007847AF" w:rsidRPr="007847AF" w:rsidRDefault="007847AF" w:rsidP="007847AF">
      <w:pPr>
        <w:pStyle w:val="BodyText1"/>
        <w:rPr>
          <w:rFonts w:asciiTheme="minorHAnsi" w:hAnsiTheme="minorHAnsi"/>
          <w:sz w:val="22"/>
          <w:szCs w:val="22"/>
        </w:rPr>
      </w:pPr>
      <w:r w:rsidRPr="007847AF">
        <w:rPr>
          <w:rFonts w:asciiTheme="minorHAnsi" w:hAnsiTheme="minorHAnsi"/>
          <w:sz w:val="22"/>
          <w:szCs w:val="22"/>
        </w:rPr>
        <w:t>Our overall findings are consistent with those of others, and the recent stalling of life expectancy gains across many high-income coun</w:t>
      </w:r>
      <w:r>
        <w:rPr>
          <w:rFonts w:asciiTheme="minorHAnsi" w:hAnsiTheme="minorHAnsi"/>
          <w:sz w:val="22"/>
          <w:szCs w:val="22"/>
        </w:rPr>
        <w:t>tries is now well recognised.</w:t>
      </w:r>
      <w:r w:rsidRPr="00941DD7">
        <w:rPr>
          <w:rFonts w:asciiTheme="minorHAnsi" w:hAnsiTheme="minorHAnsi"/>
          <w:sz w:val="22"/>
          <w:vertAlign w:val="superscript"/>
        </w:rPr>
        <w:fldChar w:fldCharType="begin"/>
      </w:r>
      <w:r w:rsidRPr="00941DD7">
        <w:rPr>
          <w:rFonts w:asciiTheme="minorHAnsi" w:hAnsiTheme="minorHAnsi"/>
          <w:sz w:val="22"/>
          <w:vertAlign w:val="superscript"/>
        </w:rPr>
        <w:instrText xml:space="preserve"> NOTEREF _Ref530131701 \h  \* MERGEFORMAT </w:instrText>
      </w:r>
      <w:r w:rsidRPr="00941DD7">
        <w:rPr>
          <w:rFonts w:asciiTheme="minorHAnsi" w:hAnsiTheme="minorHAnsi"/>
          <w:sz w:val="22"/>
          <w:vertAlign w:val="superscript"/>
        </w:rPr>
      </w:r>
      <w:r w:rsidRPr="00941DD7">
        <w:rPr>
          <w:rFonts w:asciiTheme="minorHAnsi" w:hAnsiTheme="minorHAnsi"/>
          <w:sz w:val="22"/>
          <w:vertAlign w:val="superscript"/>
        </w:rPr>
        <w:fldChar w:fldCharType="separate"/>
      </w:r>
      <w:r w:rsidR="00941DD7" w:rsidRPr="00941DD7">
        <w:rPr>
          <w:rFonts w:asciiTheme="minorHAnsi" w:hAnsiTheme="minorHAnsi"/>
          <w:sz w:val="22"/>
          <w:vertAlign w:val="superscript"/>
        </w:rPr>
        <w:t>4</w:t>
      </w:r>
      <w:r w:rsidRPr="00941DD7">
        <w:rPr>
          <w:rFonts w:asciiTheme="minorHAnsi" w:hAnsiTheme="minorHAnsi"/>
          <w:sz w:val="22"/>
          <w:vertAlign w:val="superscript"/>
        </w:rPr>
        <w:fldChar w:fldCharType="end"/>
      </w:r>
      <w:r w:rsidRPr="00941DD7">
        <w:rPr>
          <w:rFonts w:asciiTheme="minorHAnsi" w:hAnsiTheme="minorHAnsi"/>
          <w:sz w:val="22"/>
          <w:szCs w:val="22"/>
          <w:vertAlign w:val="superscript"/>
        </w:rPr>
        <w:t>-</w:t>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_Ref530397664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vanish/>
          <w:sz w:val="22"/>
          <w:vertAlign w:val="superscript"/>
        </w:rPr>
        <w:t>5</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_Ref530397666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vanish/>
          <w:sz w:val="22"/>
          <w:vertAlign w:val="superscript"/>
        </w:rPr>
        <w:t>6</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_Ref530397751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_Ref530397671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_Ref530131787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vanish/>
          <w:sz w:val="22"/>
          <w:vertAlign w:val="superscript"/>
        </w:rPr>
        <w:fldChar w:fldCharType="begin"/>
      </w:r>
      <w:r w:rsidRPr="00941DD7">
        <w:rPr>
          <w:rFonts w:asciiTheme="minorHAnsi" w:hAnsiTheme="minorHAnsi"/>
          <w:vanish/>
          <w:sz w:val="22"/>
          <w:vertAlign w:val="superscript"/>
        </w:rPr>
        <w:instrText xml:space="preserve"> NOTEREF _Ref530397679 \h  \* MERGEFORMAT </w:instrText>
      </w:r>
      <w:r w:rsidRPr="00941DD7">
        <w:rPr>
          <w:rFonts w:asciiTheme="minorHAnsi" w:hAnsiTheme="minorHAnsi"/>
          <w:vanish/>
          <w:sz w:val="22"/>
          <w:vertAlign w:val="superscript"/>
        </w:rPr>
      </w:r>
      <w:r w:rsidRPr="00941DD7">
        <w:rPr>
          <w:rFonts w:asciiTheme="minorHAnsi" w:hAnsiTheme="minorHAnsi"/>
          <w:vanish/>
          <w:sz w:val="22"/>
          <w:vertAlign w:val="superscript"/>
        </w:rPr>
        <w:fldChar w:fldCharType="separate"/>
      </w:r>
      <w:r w:rsidR="00941DD7" w:rsidRPr="00941DD7">
        <w:rPr>
          <w:rFonts w:asciiTheme="minorHAnsi" w:hAnsiTheme="minorHAnsi"/>
          <w:b/>
          <w:bCs/>
          <w:vanish/>
          <w:sz w:val="22"/>
          <w:vertAlign w:val="superscript"/>
          <w:lang w:val="en-US"/>
        </w:rPr>
        <w:t>Error! Bookmark not defined.</w:t>
      </w:r>
      <w:r w:rsidRPr="00941DD7">
        <w:rPr>
          <w:rFonts w:asciiTheme="minorHAnsi" w:hAnsiTheme="minorHAnsi"/>
          <w:vanish/>
          <w:sz w:val="22"/>
          <w:vertAlign w:val="superscript"/>
        </w:rPr>
        <w:fldChar w:fldCharType="end"/>
      </w:r>
      <w:r w:rsidRPr="00941DD7">
        <w:rPr>
          <w:rFonts w:asciiTheme="minorHAnsi" w:hAnsiTheme="minorHAnsi"/>
          <w:sz w:val="22"/>
          <w:vertAlign w:val="superscript"/>
        </w:rPr>
        <w:fldChar w:fldCharType="begin"/>
      </w:r>
      <w:r w:rsidRPr="00941DD7">
        <w:rPr>
          <w:rFonts w:asciiTheme="minorHAnsi" w:hAnsiTheme="minorHAnsi"/>
          <w:sz w:val="22"/>
          <w:vertAlign w:val="superscript"/>
        </w:rPr>
        <w:instrText xml:space="preserve"> NOTEREF _Ref530397680 \h  \* MERGEFORMAT </w:instrText>
      </w:r>
      <w:r w:rsidRPr="00941DD7">
        <w:rPr>
          <w:rFonts w:asciiTheme="minorHAnsi" w:hAnsiTheme="minorHAnsi"/>
          <w:sz w:val="22"/>
          <w:vertAlign w:val="superscript"/>
        </w:rPr>
      </w:r>
      <w:r w:rsidRPr="00941DD7">
        <w:rPr>
          <w:rFonts w:asciiTheme="minorHAnsi" w:hAnsiTheme="minorHAnsi"/>
          <w:sz w:val="22"/>
          <w:vertAlign w:val="superscript"/>
        </w:rPr>
        <w:fldChar w:fldCharType="separate"/>
      </w:r>
      <w:r w:rsidR="00941DD7" w:rsidRPr="00941DD7">
        <w:rPr>
          <w:rFonts w:asciiTheme="minorHAnsi" w:hAnsiTheme="minorHAnsi"/>
          <w:sz w:val="22"/>
          <w:szCs w:val="22"/>
          <w:vertAlign w:val="superscript"/>
        </w:rPr>
        <w:t>7</w:t>
      </w:r>
      <w:r w:rsidRPr="00941DD7">
        <w:rPr>
          <w:rFonts w:asciiTheme="minorHAnsi" w:hAnsiTheme="minorHAnsi"/>
          <w:sz w:val="22"/>
          <w:vertAlign w:val="superscript"/>
        </w:rPr>
        <w:fldChar w:fldCharType="end"/>
      </w:r>
      <w:r w:rsidR="00941DD7">
        <w:rPr>
          <w:rFonts w:asciiTheme="minorHAnsi" w:hAnsiTheme="minorHAnsi"/>
          <w:sz w:val="22"/>
          <w:vertAlign w:val="superscript"/>
        </w:rPr>
        <w:t xml:space="preserve"> </w:t>
      </w:r>
      <w:r w:rsidRPr="00941DD7">
        <w:rPr>
          <w:rFonts w:asciiTheme="minorHAnsi" w:hAnsiTheme="minorHAnsi"/>
          <w:sz w:val="22"/>
          <w:szCs w:val="22"/>
        </w:rPr>
        <w:t>Other</w:t>
      </w:r>
      <w:r w:rsidRPr="007847AF">
        <w:rPr>
          <w:rFonts w:asciiTheme="minorHAnsi" w:hAnsiTheme="minorHAnsi"/>
          <w:sz w:val="22"/>
          <w:szCs w:val="22"/>
        </w:rPr>
        <w:t xml:space="preserve"> analyses have emphasised the recent </w:t>
      </w:r>
      <w:r w:rsidR="00046C73">
        <w:rPr>
          <w:rFonts w:asciiTheme="minorHAnsi" w:hAnsiTheme="minorHAnsi"/>
          <w:sz w:val="22"/>
          <w:szCs w:val="22"/>
        </w:rPr>
        <w:t>reduction</w:t>
      </w:r>
      <w:r w:rsidRPr="007847AF">
        <w:rPr>
          <w:rFonts w:asciiTheme="minorHAnsi" w:hAnsiTheme="minorHAnsi"/>
          <w:sz w:val="22"/>
          <w:szCs w:val="22"/>
        </w:rPr>
        <w:t xml:space="preserve"> in mortality improvements relative to those seen in the immediate</w:t>
      </w:r>
      <w:r w:rsidR="00046C73">
        <w:rPr>
          <w:rFonts w:asciiTheme="minorHAnsi" w:hAnsiTheme="minorHAnsi"/>
          <w:sz w:val="22"/>
          <w:szCs w:val="22"/>
        </w:rPr>
        <w:t>ly</w:t>
      </w:r>
      <w:r w:rsidRPr="007847AF">
        <w:rPr>
          <w:rFonts w:asciiTheme="minorHAnsi" w:hAnsiTheme="minorHAnsi"/>
          <w:sz w:val="22"/>
          <w:szCs w:val="22"/>
        </w:rPr>
        <w:t xml:space="preserve"> preceding period.</w:t>
      </w:r>
      <w:r w:rsidR="007B058F" w:rsidRPr="00941DD7">
        <w:rPr>
          <w:rFonts w:asciiTheme="minorHAnsi" w:hAnsiTheme="minorHAnsi"/>
          <w:sz w:val="22"/>
          <w:szCs w:val="22"/>
          <w:vertAlign w:val="superscript"/>
        </w:rPr>
        <w:t>5</w:t>
      </w:r>
      <w:r w:rsidRPr="007847AF">
        <w:rPr>
          <w:rFonts w:asciiTheme="minorHAnsi" w:hAnsiTheme="minorHAnsi"/>
          <w:sz w:val="22"/>
          <w:szCs w:val="22"/>
        </w:rPr>
        <w:t xml:space="preserve"> We have shown that relatively large life expectancy gains were seen for both males and females in Scotland in the preceding 15 years (1997-2011), </w:t>
      </w:r>
      <w:r w:rsidR="00885BCF">
        <w:rPr>
          <w:rFonts w:asciiTheme="minorHAnsi" w:hAnsiTheme="minorHAnsi"/>
          <w:sz w:val="22"/>
          <w:szCs w:val="22"/>
        </w:rPr>
        <w:t>but</w:t>
      </w:r>
      <w:r w:rsidRPr="007847AF">
        <w:rPr>
          <w:rFonts w:asciiTheme="minorHAnsi" w:hAnsiTheme="minorHAnsi"/>
          <w:sz w:val="22"/>
          <w:szCs w:val="22"/>
        </w:rPr>
        <w:t xml:space="preserve"> that even before this gains as small as those seen recently have not been observed since at least the early 1970s. </w:t>
      </w:r>
      <w:r w:rsidRPr="007847AF">
        <w:rPr>
          <w:rFonts w:asciiTheme="minorHAnsi" w:hAnsiTheme="minorHAnsi"/>
          <w:sz w:val="22"/>
        </w:rPr>
        <w:t>Comparison of mortality trends within the UK suggest</w:t>
      </w:r>
      <w:r w:rsidR="00046C73">
        <w:rPr>
          <w:rFonts w:asciiTheme="minorHAnsi" w:hAnsiTheme="minorHAnsi"/>
          <w:sz w:val="22"/>
        </w:rPr>
        <w:t>s</w:t>
      </w:r>
      <w:r w:rsidRPr="007847AF">
        <w:rPr>
          <w:rFonts w:asciiTheme="minorHAnsi" w:hAnsiTheme="minorHAnsi"/>
          <w:sz w:val="22"/>
        </w:rPr>
        <w:t xml:space="preserve"> that the stalling seen in Scotland may not be as severe as</w:t>
      </w:r>
      <w:r w:rsidR="007B058F">
        <w:rPr>
          <w:rFonts w:asciiTheme="minorHAnsi" w:hAnsiTheme="minorHAnsi"/>
          <w:sz w:val="22"/>
        </w:rPr>
        <w:t xml:space="preserve"> that seen in England and Wales</w:t>
      </w:r>
      <w:r w:rsidR="007B058F" w:rsidRPr="00941DD7">
        <w:rPr>
          <w:rFonts w:asciiTheme="minorHAnsi" w:hAnsiTheme="minorHAnsi"/>
          <w:sz w:val="22"/>
        </w:rPr>
        <w:t>.</w:t>
      </w:r>
      <w:r w:rsidR="007B058F" w:rsidRPr="00941DD7">
        <w:rPr>
          <w:rFonts w:asciiTheme="minorHAnsi" w:hAnsiTheme="minorHAnsi"/>
          <w:sz w:val="22"/>
          <w:vertAlign w:val="superscript"/>
        </w:rPr>
        <w:t>6</w:t>
      </w:r>
      <w:r w:rsidR="007B058F">
        <w:rPr>
          <w:rFonts w:asciiTheme="minorHAnsi" w:hAnsiTheme="minorHAnsi"/>
          <w:sz w:val="22"/>
        </w:rPr>
        <w:t xml:space="preserve"> </w:t>
      </w:r>
      <w:r w:rsidRPr="007847AF">
        <w:rPr>
          <w:rFonts w:asciiTheme="minorHAnsi" w:hAnsiTheme="minorHAnsi"/>
          <w:sz w:val="22"/>
        </w:rPr>
        <w:t xml:space="preserve">Our findings confirm this, but allow us to place this difference within a wider international context which shows that the changes seen in Scotland are still more severe than those observed in many other high-income countries. </w:t>
      </w:r>
      <w:r w:rsidRPr="007847AF">
        <w:rPr>
          <w:rFonts w:asciiTheme="minorHAnsi" w:hAnsiTheme="minorHAnsi"/>
          <w:sz w:val="22"/>
          <w:szCs w:val="22"/>
        </w:rPr>
        <w:t>The timing of a change in overall mortality trends found in this analysis is consistent</w:t>
      </w:r>
      <w:r w:rsidR="007B058F">
        <w:rPr>
          <w:rFonts w:asciiTheme="minorHAnsi" w:hAnsiTheme="minorHAnsi"/>
          <w:sz w:val="22"/>
          <w:szCs w:val="22"/>
        </w:rPr>
        <w:t xml:space="preserve"> with that observed in England, </w:t>
      </w:r>
      <w:r w:rsidRPr="007847AF">
        <w:rPr>
          <w:rFonts w:asciiTheme="minorHAnsi" w:hAnsiTheme="minorHAnsi"/>
          <w:sz w:val="22"/>
          <w:szCs w:val="22"/>
        </w:rPr>
        <w:t>where a breakpoint for females was found in the year to 2014 Q2</w:t>
      </w:r>
      <w:r w:rsidR="007B058F">
        <w:rPr>
          <w:rFonts w:asciiTheme="minorHAnsi" w:hAnsiTheme="minorHAnsi"/>
          <w:sz w:val="22"/>
          <w:szCs w:val="22"/>
        </w:rPr>
        <w:t xml:space="preserve">, </w:t>
      </w:r>
      <w:r w:rsidRPr="007847AF">
        <w:rPr>
          <w:rFonts w:asciiTheme="minorHAnsi" w:hAnsiTheme="minorHAnsi"/>
          <w:sz w:val="22"/>
          <w:szCs w:val="22"/>
        </w:rPr>
        <w:t>and the year to 2012 Q1 for males</w:t>
      </w:r>
      <w:r>
        <w:rPr>
          <w:rFonts w:asciiTheme="minorHAnsi" w:hAnsiTheme="minorHAnsi"/>
          <w:sz w:val="22"/>
          <w:szCs w:val="22"/>
        </w:rPr>
        <w:t>.</w:t>
      </w:r>
      <w:r w:rsidR="00123ADC">
        <w:rPr>
          <w:rStyle w:val="EndnoteReference"/>
          <w:rFonts w:asciiTheme="minorHAnsi" w:hAnsiTheme="minorHAnsi"/>
          <w:sz w:val="22"/>
          <w:szCs w:val="22"/>
        </w:rPr>
        <w:endnoteReference w:id="19"/>
      </w:r>
      <w:r>
        <w:rPr>
          <w:rFonts w:asciiTheme="minorHAnsi" w:hAnsiTheme="minorHAnsi"/>
          <w:sz w:val="22"/>
          <w:szCs w:val="22"/>
          <w:vertAlign w:val="superscript"/>
        </w:rPr>
        <w:t xml:space="preserve"> </w:t>
      </w:r>
      <w:r w:rsidRPr="007847AF">
        <w:rPr>
          <w:rFonts w:asciiTheme="minorHAnsi" w:hAnsiTheme="minorHAnsi"/>
          <w:sz w:val="22"/>
          <w:szCs w:val="22"/>
        </w:rPr>
        <w:t>Some differences are seen when data are age-stratified, with an earlier breakpoint observed in England for males &lt;75 years and females 75+ years.</w:t>
      </w:r>
    </w:p>
    <w:p w14:paraId="2393A587" w14:textId="77777777" w:rsidR="007847AF" w:rsidRDefault="007847AF" w:rsidP="00C01689">
      <w:pPr>
        <w:pStyle w:val="BodyText1"/>
        <w:rPr>
          <w:rFonts w:asciiTheme="minorHAnsi" w:hAnsiTheme="minorHAnsi"/>
          <w:b/>
          <w:sz w:val="22"/>
          <w:szCs w:val="22"/>
        </w:rPr>
      </w:pPr>
    </w:p>
    <w:p w14:paraId="78D8C9FE" w14:textId="77777777" w:rsidR="007847AF" w:rsidRDefault="007847AF" w:rsidP="00C01689">
      <w:pPr>
        <w:pStyle w:val="BodyText1"/>
        <w:rPr>
          <w:rFonts w:asciiTheme="minorHAnsi" w:hAnsiTheme="minorHAnsi"/>
          <w:b/>
          <w:sz w:val="22"/>
          <w:szCs w:val="22"/>
        </w:rPr>
      </w:pPr>
    </w:p>
    <w:p w14:paraId="63A1A62A" w14:textId="77777777" w:rsidR="007847AF" w:rsidRPr="007847AF" w:rsidRDefault="007847AF" w:rsidP="007847AF">
      <w:pPr>
        <w:pStyle w:val="BodyText1"/>
        <w:rPr>
          <w:rFonts w:asciiTheme="minorHAnsi" w:hAnsiTheme="minorHAnsi"/>
          <w:b/>
          <w:sz w:val="22"/>
        </w:rPr>
      </w:pPr>
      <w:r w:rsidRPr="007847AF">
        <w:rPr>
          <w:rFonts w:asciiTheme="minorHAnsi" w:hAnsiTheme="minorHAnsi"/>
          <w:b/>
          <w:sz w:val="22"/>
        </w:rPr>
        <w:t>Meaning – explanations and implications</w:t>
      </w:r>
    </w:p>
    <w:p w14:paraId="4B707904" w14:textId="747EFDB5" w:rsidR="007847AF" w:rsidRDefault="007847AF" w:rsidP="007847AF">
      <w:pPr>
        <w:pStyle w:val="BodyText1"/>
        <w:rPr>
          <w:rFonts w:asciiTheme="minorHAnsi" w:hAnsiTheme="minorHAnsi"/>
          <w:sz w:val="22"/>
        </w:rPr>
      </w:pPr>
      <w:r w:rsidRPr="007847AF">
        <w:rPr>
          <w:rFonts w:asciiTheme="minorHAnsi" w:hAnsiTheme="minorHAnsi"/>
          <w:sz w:val="22"/>
        </w:rPr>
        <w:t xml:space="preserve">Various hypotheses have been proposed to explain these trends, in particular the period effects of influenza and of economic austerity, and cohort effects, such as the impact on mortality risk of population cohorts with a high prevalence of obesity. It seems likely that factors common to all of the countries displaying similar trends, and absent in countries without the change in trend, are causal.  It is also likely that several factors acting together are relevant to explaining the trends, whether that is some aspect of the context (such as the underlying political economy within a country) or two specific factors interacting. Many of the hypotheses proposed thus far are not mutually exclusive, but that does not mean that all the factors suggested are causal or have the same importance. It is possible that influenza and political economy explanations are both </w:t>
      </w:r>
      <w:r>
        <w:rPr>
          <w:rFonts w:asciiTheme="minorHAnsi" w:hAnsiTheme="minorHAnsi"/>
          <w:sz w:val="22"/>
        </w:rPr>
        <w:t xml:space="preserve">causal, </w:t>
      </w:r>
      <w:r w:rsidR="007B058F">
        <w:rPr>
          <w:rFonts w:asciiTheme="minorHAnsi" w:hAnsiTheme="minorHAnsi"/>
          <w:sz w:val="22"/>
        </w:rPr>
        <w:t xml:space="preserve">with interactions between population vulnerability, social and health care pressures, and influenza. </w:t>
      </w:r>
    </w:p>
    <w:p w14:paraId="580612CA" w14:textId="77777777" w:rsidR="007847AF" w:rsidRPr="007847AF" w:rsidRDefault="007847AF" w:rsidP="007847AF">
      <w:pPr>
        <w:pStyle w:val="BodyText1"/>
        <w:rPr>
          <w:rFonts w:asciiTheme="minorHAnsi" w:hAnsiTheme="minorHAnsi"/>
          <w:sz w:val="22"/>
        </w:rPr>
      </w:pPr>
    </w:p>
    <w:p w14:paraId="408024C7" w14:textId="77A05888" w:rsidR="00030E74" w:rsidRPr="007847AF" w:rsidRDefault="007847AF" w:rsidP="007847AF">
      <w:pPr>
        <w:pStyle w:val="BodyText1"/>
        <w:rPr>
          <w:rFonts w:asciiTheme="minorHAnsi" w:hAnsiTheme="minorHAnsi"/>
          <w:i/>
          <w:sz w:val="22"/>
          <w:szCs w:val="22"/>
        </w:rPr>
      </w:pPr>
      <w:r w:rsidRPr="007847AF">
        <w:rPr>
          <w:rFonts w:asciiTheme="minorHAnsi" w:hAnsiTheme="minorHAnsi"/>
          <w:sz w:val="22"/>
        </w:rPr>
        <w:t>The global financial crisis of 2008 led to a marked economic recession in many countries, and given that unemployment and income are important determinants of health,</w:t>
      </w:r>
      <w:r w:rsidRPr="00941DD7">
        <w:rPr>
          <w:rStyle w:val="EndnoteReference"/>
          <w:rFonts w:asciiTheme="minorHAnsi" w:hAnsiTheme="minorHAnsi"/>
          <w:sz w:val="22"/>
          <w:szCs w:val="22"/>
        </w:rPr>
        <w:endnoteReference w:id="20"/>
      </w:r>
      <w:r w:rsidRPr="00941DD7">
        <w:rPr>
          <w:rFonts w:asciiTheme="minorHAnsi" w:hAnsiTheme="minorHAnsi"/>
          <w:sz w:val="22"/>
        </w:rPr>
        <w:t xml:space="preserve"> </w:t>
      </w:r>
      <w:r w:rsidRPr="007847AF">
        <w:rPr>
          <w:rFonts w:asciiTheme="minorHAnsi" w:hAnsiTheme="minorHAnsi"/>
          <w:sz w:val="22"/>
        </w:rPr>
        <w:t>the potential for the crisis to adversely impact on mortality was highlighted early</w:t>
      </w:r>
      <w:r w:rsidR="00941DD7">
        <w:rPr>
          <w:rFonts w:asciiTheme="minorHAnsi" w:hAnsiTheme="minorHAnsi"/>
          <w:sz w:val="22"/>
        </w:rPr>
        <w:t>.</w:t>
      </w:r>
      <w:r w:rsidRPr="00941DD7">
        <w:rPr>
          <w:rStyle w:val="EndnoteReference"/>
          <w:rFonts w:asciiTheme="minorHAnsi" w:hAnsiTheme="minorHAnsi"/>
          <w:sz w:val="22"/>
          <w:szCs w:val="22"/>
        </w:rPr>
        <w:endnoteReference w:id="21"/>
      </w:r>
      <w:r w:rsidRPr="007847AF">
        <w:rPr>
          <w:rFonts w:asciiTheme="minorHAnsi" w:hAnsiTheme="minorHAnsi"/>
          <w:sz w:val="22"/>
        </w:rPr>
        <w:t xml:space="preserve"> However, the evidence around the impact of economic recession on health and mortality of populations, rather than individuals, is complex and contested.</w:t>
      </w:r>
      <w:r w:rsidRPr="00941DD7">
        <w:rPr>
          <w:rStyle w:val="EndnoteReference"/>
          <w:rFonts w:asciiTheme="minorHAnsi" w:hAnsiTheme="minorHAnsi"/>
          <w:sz w:val="22"/>
          <w:szCs w:val="22"/>
        </w:rPr>
        <w:endnoteReference w:id="22"/>
      </w:r>
      <w:r w:rsidRPr="007847AF">
        <w:rPr>
          <w:rFonts w:asciiTheme="minorHAnsi" w:hAnsiTheme="minorHAnsi"/>
          <w:sz w:val="22"/>
        </w:rPr>
        <w:t xml:space="preserve"> The response to this financial crisis, across many countries, was to implement a range of austerity policies whereby public spending was reduced in the pursuit of balanced budgets. As a result many public services experienced </w:t>
      </w:r>
      <w:r w:rsidRPr="007B058F">
        <w:rPr>
          <w:rFonts w:asciiTheme="minorHAnsi" w:hAnsiTheme="minorHAnsi"/>
          <w:sz w:val="22"/>
          <w:szCs w:val="22"/>
        </w:rPr>
        <w:t xml:space="preserve">substantial reductions in their </w:t>
      </w:r>
      <w:r w:rsidR="007B058F" w:rsidRPr="007B058F">
        <w:rPr>
          <w:rFonts w:asciiTheme="minorHAnsi" w:hAnsiTheme="minorHAnsi"/>
          <w:sz w:val="22"/>
          <w:szCs w:val="22"/>
        </w:rPr>
        <w:t>budgets</w:t>
      </w:r>
      <w:r w:rsidR="007B058F" w:rsidRPr="007847AF">
        <w:rPr>
          <w:rFonts w:asciiTheme="minorHAnsi" w:hAnsiTheme="minorHAnsi"/>
          <w:i/>
          <w:sz w:val="22"/>
          <w:szCs w:val="22"/>
        </w:rPr>
        <w:t xml:space="preserve"> </w:t>
      </w:r>
      <w:r w:rsidR="007B058F" w:rsidRPr="007847AF">
        <w:rPr>
          <w:rFonts w:asciiTheme="minorHAnsi" w:hAnsiTheme="minorHAnsi"/>
          <w:sz w:val="22"/>
        </w:rPr>
        <w:t>and</w:t>
      </w:r>
      <w:r w:rsidRPr="007847AF">
        <w:rPr>
          <w:rFonts w:asciiTheme="minorHAnsi" w:hAnsiTheme="minorHAnsi"/>
          <w:sz w:val="22"/>
        </w:rPr>
        <w:t xml:space="preserve"> public sector wages and income transfers to lower income groups were frequently reduced in real terms. There is evidence that this impacted on a range of health outcomes, but not always consistently or negatively.</w:t>
      </w:r>
      <w:r w:rsidRPr="00941DD7">
        <w:rPr>
          <w:rStyle w:val="EndnoteReference"/>
          <w:rFonts w:asciiTheme="minorHAnsi" w:hAnsiTheme="minorHAnsi"/>
          <w:sz w:val="22"/>
          <w:szCs w:val="22"/>
        </w:rPr>
        <w:endnoteReference w:id="23"/>
      </w:r>
      <w:r w:rsidRPr="00941DD7">
        <w:rPr>
          <w:rFonts w:asciiTheme="minorHAnsi" w:hAnsiTheme="minorHAnsi"/>
          <w:sz w:val="22"/>
          <w:szCs w:val="22"/>
          <w:vertAlign w:val="superscript"/>
        </w:rPr>
        <w:t>-</w:t>
      </w:r>
      <w:r w:rsidRPr="00941DD7">
        <w:rPr>
          <w:rStyle w:val="EndnoteReference"/>
          <w:rFonts w:asciiTheme="minorHAnsi" w:hAnsiTheme="minorHAnsi"/>
          <w:vanish/>
          <w:sz w:val="22"/>
          <w:szCs w:val="22"/>
        </w:rPr>
        <w:endnoteReference w:id="24"/>
      </w:r>
      <w:r w:rsidRPr="00941DD7">
        <w:rPr>
          <w:rStyle w:val="EndnoteReference"/>
          <w:rFonts w:asciiTheme="minorHAnsi" w:hAnsiTheme="minorHAnsi"/>
          <w:vanish/>
          <w:sz w:val="22"/>
          <w:szCs w:val="22"/>
        </w:rPr>
        <w:endnoteReference w:id="25"/>
      </w:r>
      <w:r w:rsidRPr="00941DD7">
        <w:rPr>
          <w:rStyle w:val="EndnoteReference"/>
          <w:rFonts w:asciiTheme="minorHAnsi" w:hAnsiTheme="minorHAnsi"/>
          <w:vanish/>
          <w:sz w:val="22"/>
          <w:szCs w:val="22"/>
        </w:rPr>
        <w:endnoteReference w:id="26"/>
      </w:r>
      <w:r w:rsidRPr="00941DD7">
        <w:rPr>
          <w:rStyle w:val="EndnoteReference"/>
          <w:rFonts w:asciiTheme="minorHAnsi" w:hAnsiTheme="minorHAnsi"/>
          <w:sz w:val="22"/>
          <w:szCs w:val="22"/>
        </w:rPr>
        <w:endnoteReference w:id="27"/>
      </w:r>
      <w:r w:rsidRPr="00941DD7">
        <w:rPr>
          <w:rFonts w:asciiTheme="minorHAnsi" w:hAnsiTheme="minorHAnsi"/>
          <w:sz w:val="22"/>
          <w:szCs w:val="22"/>
          <w:vertAlign w:val="superscript"/>
        </w:rPr>
        <w:t xml:space="preserve"> </w:t>
      </w:r>
      <w:r w:rsidRPr="00941DD7">
        <w:rPr>
          <w:rFonts w:asciiTheme="minorHAnsi" w:hAnsiTheme="minorHAnsi"/>
          <w:sz w:val="22"/>
        </w:rPr>
        <w:t xml:space="preserve"> </w:t>
      </w:r>
    </w:p>
    <w:p w14:paraId="0F0FB44C" w14:textId="77777777" w:rsidR="00030E74" w:rsidRPr="007847AF" w:rsidRDefault="00030E74" w:rsidP="00030E74">
      <w:pPr>
        <w:pStyle w:val="BodyText1"/>
        <w:rPr>
          <w:rFonts w:asciiTheme="minorHAnsi" w:hAnsiTheme="minorHAnsi"/>
          <w:i/>
          <w:sz w:val="22"/>
          <w:szCs w:val="22"/>
        </w:rPr>
      </w:pPr>
    </w:p>
    <w:p w14:paraId="0B536DEF" w14:textId="77777777" w:rsidR="007847AF" w:rsidRPr="007847AF" w:rsidRDefault="007847AF" w:rsidP="007847AF">
      <w:pPr>
        <w:pStyle w:val="BodyText1"/>
        <w:rPr>
          <w:rFonts w:asciiTheme="minorHAnsi" w:hAnsiTheme="minorHAnsi"/>
          <w:b/>
          <w:sz w:val="22"/>
          <w:szCs w:val="22"/>
        </w:rPr>
      </w:pPr>
      <w:r w:rsidRPr="007847AF">
        <w:rPr>
          <w:rFonts w:asciiTheme="minorHAnsi" w:hAnsiTheme="minorHAnsi"/>
          <w:b/>
          <w:sz w:val="22"/>
          <w:szCs w:val="22"/>
        </w:rPr>
        <w:t>Unanswered questions and further research</w:t>
      </w:r>
    </w:p>
    <w:p w14:paraId="1AAD14C3" w14:textId="10DD2F63" w:rsidR="007847AF" w:rsidRPr="007847AF" w:rsidRDefault="007847AF" w:rsidP="007847AF">
      <w:pPr>
        <w:pStyle w:val="BodyText1"/>
        <w:rPr>
          <w:rFonts w:asciiTheme="minorHAnsi" w:hAnsiTheme="minorHAnsi"/>
          <w:sz w:val="22"/>
        </w:rPr>
      </w:pPr>
      <w:r w:rsidRPr="007847AF">
        <w:rPr>
          <w:rFonts w:asciiTheme="minorHAnsi" w:hAnsiTheme="minorHAnsi"/>
          <w:sz w:val="22"/>
        </w:rPr>
        <w:t xml:space="preserve">Further descriptive work </w:t>
      </w:r>
      <w:r w:rsidR="007B058F">
        <w:rPr>
          <w:rFonts w:asciiTheme="minorHAnsi" w:hAnsiTheme="minorHAnsi"/>
          <w:sz w:val="22"/>
        </w:rPr>
        <w:t xml:space="preserve">is required </w:t>
      </w:r>
      <w:r w:rsidRPr="007847AF">
        <w:rPr>
          <w:rFonts w:asciiTheme="minorHAnsi" w:hAnsiTheme="minorHAnsi"/>
          <w:sz w:val="22"/>
        </w:rPr>
        <w:t xml:space="preserve">on the contribution of different causes of death, age-specific components and inequalities </w:t>
      </w:r>
      <w:r w:rsidR="007B058F">
        <w:rPr>
          <w:rFonts w:asciiTheme="minorHAnsi" w:hAnsiTheme="minorHAnsi"/>
          <w:sz w:val="22"/>
        </w:rPr>
        <w:t>to</w:t>
      </w:r>
      <w:r w:rsidRPr="007847AF">
        <w:rPr>
          <w:rFonts w:asciiTheme="minorHAnsi" w:hAnsiTheme="minorHAnsi"/>
          <w:sz w:val="22"/>
        </w:rPr>
        <w:t xml:space="preserve"> the trends in Scotland. Work to understand the theoretical interaction of different hypothesised causes</w:t>
      </w:r>
      <w:r w:rsidR="007B058F">
        <w:rPr>
          <w:rFonts w:asciiTheme="minorHAnsi" w:hAnsiTheme="minorHAnsi"/>
          <w:sz w:val="22"/>
        </w:rPr>
        <w:t>, and to test these theories is</w:t>
      </w:r>
      <w:r w:rsidRPr="007847AF">
        <w:rPr>
          <w:rFonts w:asciiTheme="minorHAnsi" w:hAnsiTheme="minorHAnsi"/>
          <w:sz w:val="22"/>
        </w:rPr>
        <w:t xml:space="preserve"> urgently required. In the meantime, governments at all levels should seek to provide public services according to need and sufficient social protection for all of their populations as key determinants of health. Providing effective vaccination programmes against influenza and sufficient health and social care capacity to deal with surges in demand is also required.</w:t>
      </w:r>
    </w:p>
    <w:p w14:paraId="06BE5D1D" w14:textId="1066CEA7" w:rsidR="00F50D1F" w:rsidRDefault="00092709" w:rsidP="00C01689">
      <w:pPr>
        <w:pStyle w:val="BodyText1"/>
        <w:rPr>
          <w:rFonts w:asciiTheme="minorHAnsi" w:hAnsiTheme="minorHAnsi"/>
          <w:sz w:val="22"/>
          <w:szCs w:val="22"/>
        </w:rPr>
      </w:pPr>
      <w:r>
        <w:rPr>
          <w:rFonts w:asciiTheme="minorHAnsi" w:hAnsiTheme="minorHAnsi"/>
          <w:sz w:val="22"/>
          <w:szCs w:val="22"/>
        </w:rPr>
        <w:tab/>
      </w:r>
    </w:p>
    <w:p w14:paraId="54506ACE"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Conclusion</w:t>
      </w:r>
    </w:p>
    <w:p w14:paraId="2C1E55BA" w14:textId="77777777" w:rsidR="00746ABA" w:rsidRDefault="00746ABA" w:rsidP="00C01689">
      <w:pPr>
        <w:pStyle w:val="BodyText1"/>
        <w:rPr>
          <w:rFonts w:asciiTheme="minorHAnsi" w:hAnsiTheme="minorHAnsi"/>
          <w:sz w:val="22"/>
          <w:szCs w:val="22"/>
        </w:rPr>
      </w:pPr>
    </w:p>
    <w:p w14:paraId="22CB81D6" w14:textId="1ED0A9D8" w:rsidR="00C01689" w:rsidRDefault="00E728F7" w:rsidP="008218E9">
      <w:pPr>
        <w:pStyle w:val="BodyText1"/>
        <w:rPr>
          <w:rFonts w:asciiTheme="minorHAnsi" w:hAnsiTheme="minorHAnsi"/>
          <w:sz w:val="22"/>
          <w:szCs w:val="22"/>
        </w:rPr>
      </w:pPr>
      <w:r w:rsidRPr="001F731E">
        <w:rPr>
          <w:rFonts w:asciiTheme="minorHAnsi" w:hAnsiTheme="minorHAnsi"/>
          <w:sz w:val="22"/>
          <w:szCs w:val="22"/>
          <w:highlight w:val="yellow"/>
        </w:rPr>
        <w:t>Between 2012 and 2016 the rate of improvement in mortality markedly slowed across many high</w:t>
      </w:r>
      <w:r w:rsidR="00046C73" w:rsidRPr="001F731E">
        <w:rPr>
          <w:rFonts w:asciiTheme="minorHAnsi" w:hAnsiTheme="minorHAnsi"/>
          <w:sz w:val="22"/>
          <w:szCs w:val="22"/>
          <w:highlight w:val="yellow"/>
        </w:rPr>
        <w:t>-</w:t>
      </w:r>
      <w:r w:rsidRPr="001F731E">
        <w:rPr>
          <w:rFonts w:asciiTheme="minorHAnsi" w:hAnsiTheme="minorHAnsi"/>
          <w:sz w:val="22"/>
          <w:szCs w:val="22"/>
          <w:highlight w:val="yellow"/>
        </w:rPr>
        <w:t>income countries, and particularly in England &amp; Wales, the USA, Scotland</w:t>
      </w:r>
      <w:r w:rsidR="001F731E" w:rsidRPr="001F731E">
        <w:rPr>
          <w:rFonts w:asciiTheme="minorHAnsi" w:hAnsiTheme="minorHAnsi"/>
          <w:sz w:val="22"/>
          <w:szCs w:val="22"/>
          <w:highlight w:val="yellow"/>
        </w:rPr>
        <w:t>, Iceland</w:t>
      </w:r>
      <w:r w:rsidRPr="001F731E">
        <w:rPr>
          <w:rFonts w:asciiTheme="minorHAnsi" w:hAnsiTheme="minorHAnsi"/>
          <w:sz w:val="22"/>
          <w:szCs w:val="22"/>
          <w:highlight w:val="yellow"/>
        </w:rPr>
        <w:t xml:space="preserve"> and </w:t>
      </w:r>
      <w:r w:rsidR="001F731E" w:rsidRPr="001F731E">
        <w:rPr>
          <w:rFonts w:asciiTheme="minorHAnsi" w:hAnsiTheme="minorHAnsi"/>
          <w:sz w:val="22"/>
          <w:szCs w:val="22"/>
          <w:highlight w:val="yellow"/>
        </w:rPr>
        <w:t>Northern Ireland</w:t>
      </w:r>
      <w:r>
        <w:rPr>
          <w:rFonts w:asciiTheme="minorHAnsi" w:hAnsiTheme="minorHAnsi"/>
          <w:sz w:val="22"/>
          <w:szCs w:val="22"/>
        </w:rPr>
        <w:t xml:space="preserve">. For this period in Scotland, </w:t>
      </w:r>
      <w:r w:rsidRPr="00E728F7">
        <w:rPr>
          <w:rFonts w:asciiTheme="minorHAnsi" w:hAnsiTheme="minorHAnsi"/>
          <w:sz w:val="22"/>
          <w:szCs w:val="22"/>
        </w:rPr>
        <w:t xml:space="preserve">the increases were only 2.5 weeks/year for women and 4.5 weeks for men. </w:t>
      </w:r>
      <w:r>
        <w:rPr>
          <w:rFonts w:asciiTheme="minorHAnsi" w:hAnsiTheme="minorHAnsi"/>
          <w:sz w:val="22"/>
          <w:szCs w:val="22"/>
        </w:rPr>
        <w:t xml:space="preserve">The </w:t>
      </w:r>
      <w:r w:rsidR="00FD25C2">
        <w:rPr>
          <w:rFonts w:asciiTheme="minorHAnsi" w:hAnsiTheme="minorHAnsi"/>
          <w:sz w:val="22"/>
          <w:szCs w:val="22"/>
        </w:rPr>
        <w:t xml:space="preserve">timing of the </w:t>
      </w:r>
      <w:r>
        <w:rPr>
          <w:rFonts w:asciiTheme="minorHAnsi" w:hAnsiTheme="minorHAnsi"/>
          <w:sz w:val="22"/>
          <w:szCs w:val="22"/>
        </w:rPr>
        <w:t xml:space="preserve">change in mortality trend in Scotland </w:t>
      </w:r>
      <w:r w:rsidR="008218E9">
        <w:rPr>
          <w:rFonts w:asciiTheme="minorHAnsi" w:hAnsiTheme="minorHAnsi"/>
          <w:sz w:val="22"/>
          <w:szCs w:val="22"/>
        </w:rPr>
        <w:t xml:space="preserve">for all ages is best estimated for men </w:t>
      </w:r>
      <w:r w:rsidR="008218E9" w:rsidRPr="008218E9">
        <w:rPr>
          <w:rFonts w:asciiTheme="minorHAnsi" w:hAnsiTheme="minorHAnsi"/>
          <w:sz w:val="22"/>
          <w:szCs w:val="22"/>
        </w:rPr>
        <w:t>in the year to 2012</w:t>
      </w:r>
      <w:r w:rsidR="007B058F">
        <w:rPr>
          <w:rFonts w:asciiTheme="minorHAnsi" w:hAnsiTheme="minorHAnsi"/>
          <w:sz w:val="22"/>
          <w:szCs w:val="22"/>
        </w:rPr>
        <w:t xml:space="preserve"> Q4</w:t>
      </w:r>
      <w:r w:rsidR="008218E9" w:rsidRPr="008218E9">
        <w:rPr>
          <w:rFonts w:asciiTheme="minorHAnsi" w:hAnsiTheme="minorHAnsi"/>
          <w:sz w:val="22"/>
          <w:szCs w:val="22"/>
        </w:rPr>
        <w:t xml:space="preserve"> and for women in the year to </w:t>
      </w:r>
      <w:r w:rsidR="007B058F">
        <w:rPr>
          <w:rFonts w:asciiTheme="minorHAnsi" w:hAnsiTheme="minorHAnsi"/>
          <w:sz w:val="22"/>
          <w:szCs w:val="22"/>
        </w:rPr>
        <w:t>2014 Q2</w:t>
      </w:r>
      <w:r w:rsidR="008218E9" w:rsidRPr="008218E9">
        <w:rPr>
          <w:rFonts w:asciiTheme="minorHAnsi" w:hAnsiTheme="minorHAnsi"/>
          <w:sz w:val="22"/>
          <w:szCs w:val="22"/>
        </w:rPr>
        <w:t>.</w:t>
      </w:r>
      <w:r>
        <w:rPr>
          <w:rFonts w:asciiTheme="minorHAnsi" w:hAnsiTheme="minorHAnsi"/>
          <w:sz w:val="22"/>
          <w:szCs w:val="22"/>
        </w:rPr>
        <w:t xml:space="preserve"> Further research is required to test the range of theories for the causes of these trends, but in the </w:t>
      </w:r>
      <w:r w:rsidR="001F731E">
        <w:rPr>
          <w:rFonts w:asciiTheme="minorHAnsi" w:hAnsiTheme="minorHAnsi"/>
          <w:sz w:val="22"/>
          <w:szCs w:val="22"/>
        </w:rPr>
        <w:t>meantime, governments</w:t>
      </w:r>
      <w:r>
        <w:rPr>
          <w:rFonts w:asciiTheme="minorHAnsi" w:hAnsiTheme="minorHAnsi"/>
          <w:sz w:val="22"/>
          <w:szCs w:val="22"/>
        </w:rPr>
        <w:t xml:space="preserve"> should take action to ensure effective public services,</w:t>
      </w:r>
      <w:r w:rsidR="007B058F">
        <w:rPr>
          <w:rFonts w:asciiTheme="minorHAnsi" w:hAnsiTheme="minorHAnsi"/>
          <w:sz w:val="22"/>
          <w:szCs w:val="22"/>
        </w:rPr>
        <w:t xml:space="preserve"> adequate</w:t>
      </w:r>
      <w:r>
        <w:rPr>
          <w:rFonts w:asciiTheme="minorHAnsi" w:hAnsiTheme="minorHAnsi"/>
          <w:sz w:val="22"/>
          <w:szCs w:val="22"/>
        </w:rPr>
        <w:t xml:space="preserve"> incomes, health and social care services and influenza vaccination programmes are in place. </w:t>
      </w:r>
    </w:p>
    <w:p w14:paraId="2A2CD3FE" w14:textId="77777777" w:rsidR="00F50D1F" w:rsidRDefault="00F50D1F" w:rsidP="00C01689">
      <w:pPr>
        <w:pStyle w:val="BodyText1"/>
        <w:rPr>
          <w:rFonts w:asciiTheme="minorHAnsi" w:hAnsiTheme="minorHAnsi"/>
          <w:sz w:val="22"/>
          <w:szCs w:val="22"/>
        </w:rPr>
      </w:pPr>
    </w:p>
    <w:p w14:paraId="6FCFA22D"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Competing interests</w:t>
      </w:r>
    </w:p>
    <w:p w14:paraId="0B8D8539" w14:textId="77777777" w:rsidR="00030E74" w:rsidRDefault="00030E74" w:rsidP="00C01689">
      <w:pPr>
        <w:pStyle w:val="BodyText1"/>
        <w:rPr>
          <w:rFonts w:asciiTheme="minorHAnsi" w:hAnsiTheme="minorHAnsi"/>
          <w:sz w:val="22"/>
          <w:szCs w:val="22"/>
        </w:rPr>
      </w:pPr>
    </w:p>
    <w:p w14:paraId="4F3C8C56" w14:textId="77777777" w:rsidR="00C01689" w:rsidRDefault="00030E74" w:rsidP="00C01689">
      <w:pPr>
        <w:pStyle w:val="BodyText1"/>
        <w:rPr>
          <w:rFonts w:asciiTheme="minorHAnsi" w:hAnsiTheme="minorHAnsi"/>
          <w:sz w:val="22"/>
          <w:szCs w:val="22"/>
        </w:rPr>
      </w:pPr>
      <w:r>
        <w:rPr>
          <w:rFonts w:asciiTheme="minorHAnsi" w:hAnsiTheme="minorHAnsi"/>
          <w:sz w:val="22"/>
          <w:szCs w:val="22"/>
        </w:rPr>
        <w:t xml:space="preserve">The authors declare that they have no competing interests. No funding was received for this work. </w:t>
      </w:r>
    </w:p>
    <w:p w14:paraId="60E094A9" w14:textId="77777777" w:rsidR="002C5000" w:rsidRDefault="002C5000" w:rsidP="00C01689">
      <w:pPr>
        <w:pStyle w:val="BodyText1"/>
        <w:rPr>
          <w:rFonts w:asciiTheme="minorHAnsi" w:hAnsiTheme="minorHAnsi"/>
          <w:sz w:val="22"/>
          <w:szCs w:val="22"/>
        </w:rPr>
      </w:pPr>
    </w:p>
    <w:p w14:paraId="22B3F3EF" w14:textId="77777777" w:rsidR="00B92E49" w:rsidRDefault="00B92E49" w:rsidP="00C01689">
      <w:pPr>
        <w:pStyle w:val="BodyText1"/>
        <w:rPr>
          <w:rFonts w:asciiTheme="minorHAnsi" w:hAnsiTheme="minorHAnsi"/>
          <w:b/>
          <w:sz w:val="28"/>
          <w:szCs w:val="28"/>
        </w:rPr>
      </w:pPr>
      <w:r>
        <w:rPr>
          <w:rFonts w:asciiTheme="minorHAnsi" w:hAnsiTheme="minorHAnsi"/>
          <w:b/>
          <w:sz w:val="28"/>
          <w:szCs w:val="28"/>
        </w:rPr>
        <w:t>Funding</w:t>
      </w:r>
    </w:p>
    <w:p w14:paraId="33571926" w14:textId="133CE06B" w:rsidR="00B92E49" w:rsidRPr="00B92E49" w:rsidRDefault="0083639D" w:rsidP="00C01689">
      <w:pPr>
        <w:pStyle w:val="BodyText1"/>
        <w:rPr>
          <w:rFonts w:asciiTheme="minorHAnsi" w:hAnsiTheme="minorHAnsi"/>
          <w:sz w:val="22"/>
          <w:szCs w:val="22"/>
        </w:rPr>
      </w:pPr>
      <w:r w:rsidRPr="0083639D">
        <w:rPr>
          <w:rFonts w:asciiTheme="minorHAnsi" w:hAnsiTheme="minorHAnsi"/>
          <w:sz w:val="22"/>
          <w:szCs w:val="22"/>
        </w:rPr>
        <w:t>This</w:t>
      </w:r>
      <w:r w:rsidR="004C37EE" w:rsidRPr="0083639D">
        <w:rPr>
          <w:rFonts w:asciiTheme="minorHAnsi" w:hAnsiTheme="minorHAnsi"/>
          <w:sz w:val="22"/>
          <w:szCs w:val="22"/>
        </w:rPr>
        <w:t xml:space="preserve"> research received no specific grant from any funding agency in the public, comme</w:t>
      </w:r>
      <w:r w:rsidRPr="0083639D">
        <w:rPr>
          <w:rFonts w:asciiTheme="minorHAnsi" w:hAnsiTheme="minorHAnsi"/>
          <w:sz w:val="22"/>
          <w:szCs w:val="22"/>
        </w:rPr>
        <w:t>rcial or not-for-profit sectors</w:t>
      </w:r>
      <w:r w:rsidR="004C37EE" w:rsidRPr="0083639D">
        <w:rPr>
          <w:rFonts w:asciiTheme="minorHAnsi" w:hAnsiTheme="minorHAnsi"/>
          <w:sz w:val="22"/>
          <w:szCs w:val="22"/>
        </w:rPr>
        <w:t xml:space="preserve">. </w:t>
      </w:r>
      <w:r>
        <w:rPr>
          <w:rFonts w:asciiTheme="minorHAnsi" w:hAnsiTheme="minorHAnsi"/>
          <w:sz w:val="22"/>
          <w:szCs w:val="22"/>
        </w:rPr>
        <w:t>GM, LF</w:t>
      </w:r>
      <w:r w:rsidR="00046C73">
        <w:rPr>
          <w:rFonts w:asciiTheme="minorHAnsi" w:hAnsiTheme="minorHAnsi"/>
          <w:sz w:val="22"/>
          <w:szCs w:val="22"/>
        </w:rPr>
        <w:t xml:space="preserve">, </w:t>
      </w:r>
      <w:r>
        <w:rPr>
          <w:rFonts w:asciiTheme="minorHAnsi" w:hAnsiTheme="minorHAnsi"/>
          <w:sz w:val="22"/>
          <w:szCs w:val="22"/>
        </w:rPr>
        <w:t>JM</w:t>
      </w:r>
      <w:r w:rsidR="00046C73">
        <w:rPr>
          <w:rFonts w:asciiTheme="minorHAnsi" w:hAnsiTheme="minorHAnsi"/>
          <w:sz w:val="22"/>
          <w:szCs w:val="22"/>
        </w:rPr>
        <w:t xml:space="preserve">, GW and CF </w:t>
      </w:r>
      <w:r>
        <w:rPr>
          <w:rFonts w:asciiTheme="minorHAnsi" w:hAnsiTheme="minorHAnsi"/>
          <w:sz w:val="22"/>
          <w:szCs w:val="22"/>
        </w:rPr>
        <w:t>are salaried by the NHS, and JR and MK are salaried by NRS.</w:t>
      </w:r>
    </w:p>
    <w:p w14:paraId="2263492B" w14:textId="77777777" w:rsidR="0083639D" w:rsidRDefault="0083639D" w:rsidP="00C01689">
      <w:pPr>
        <w:pStyle w:val="BodyText1"/>
        <w:rPr>
          <w:rFonts w:asciiTheme="minorHAnsi" w:hAnsiTheme="minorHAnsi"/>
          <w:b/>
          <w:sz w:val="28"/>
          <w:szCs w:val="28"/>
        </w:rPr>
      </w:pPr>
    </w:p>
    <w:p w14:paraId="2F6C8DD7" w14:textId="77777777" w:rsidR="00C01689" w:rsidRPr="002C5000" w:rsidRDefault="00C01689" w:rsidP="00C01689">
      <w:pPr>
        <w:pStyle w:val="BodyText1"/>
        <w:rPr>
          <w:rFonts w:asciiTheme="minorHAnsi" w:hAnsiTheme="minorHAnsi"/>
          <w:b/>
          <w:sz w:val="28"/>
          <w:szCs w:val="28"/>
        </w:rPr>
      </w:pPr>
      <w:r w:rsidRPr="002C5000">
        <w:rPr>
          <w:rFonts w:asciiTheme="minorHAnsi" w:hAnsiTheme="minorHAnsi"/>
          <w:b/>
          <w:sz w:val="28"/>
          <w:szCs w:val="28"/>
        </w:rPr>
        <w:t>Contributor statement</w:t>
      </w:r>
    </w:p>
    <w:p w14:paraId="728A2C12" w14:textId="77777777" w:rsidR="00C01689" w:rsidRDefault="00C01689" w:rsidP="00C01689">
      <w:pPr>
        <w:pStyle w:val="BodyText1"/>
        <w:rPr>
          <w:rFonts w:asciiTheme="minorHAnsi" w:hAnsiTheme="minorHAnsi"/>
          <w:sz w:val="22"/>
          <w:szCs w:val="22"/>
        </w:rPr>
      </w:pPr>
    </w:p>
    <w:p w14:paraId="39C9ACDE" w14:textId="5B9EBB62" w:rsidR="00C01689" w:rsidRDefault="00C43706" w:rsidP="00C01689">
      <w:pPr>
        <w:pStyle w:val="BodyText1"/>
        <w:rPr>
          <w:rFonts w:asciiTheme="minorHAnsi" w:hAnsiTheme="minorHAnsi"/>
          <w:sz w:val="22"/>
          <w:szCs w:val="22"/>
        </w:rPr>
      </w:pPr>
      <w:r>
        <w:rPr>
          <w:rFonts w:asciiTheme="minorHAnsi" w:hAnsiTheme="minorHAnsi"/>
          <w:sz w:val="22"/>
          <w:szCs w:val="22"/>
        </w:rPr>
        <w:t xml:space="preserve">GM drafted the manuscript. LF and JM </w:t>
      </w:r>
      <w:r w:rsidR="00DF336A">
        <w:rPr>
          <w:rFonts w:asciiTheme="minorHAnsi" w:hAnsiTheme="minorHAnsi"/>
          <w:sz w:val="22"/>
          <w:szCs w:val="22"/>
        </w:rPr>
        <w:t xml:space="preserve">undertook the analyses. </w:t>
      </w:r>
      <w:r w:rsidR="00B53D15">
        <w:rPr>
          <w:rFonts w:asciiTheme="minorHAnsi" w:hAnsiTheme="minorHAnsi"/>
          <w:sz w:val="22"/>
          <w:szCs w:val="22"/>
        </w:rPr>
        <w:t xml:space="preserve">JR and MK provided data for the segmented regression analysis. </w:t>
      </w:r>
      <w:r w:rsidR="00DF336A">
        <w:rPr>
          <w:rFonts w:asciiTheme="minorHAnsi" w:hAnsiTheme="minorHAnsi"/>
          <w:sz w:val="22"/>
          <w:szCs w:val="22"/>
        </w:rPr>
        <w:t xml:space="preserve">All authors made substantial contributions to editing the manuscript and approved the final draft. </w:t>
      </w:r>
    </w:p>
    <w:p w14:paraId="656FB51E" w14:textId="6A2098C4" w:rsidR="00DF336A" w:rsidRDefault="00DF336A" w:rsidP="0083639D">
      <w:pPr>
        <w:spacing w:after="0" w:line="240" w:lineRule="auto"/>
        <w:rPr>
          <w:rFonts w:asciiTheme="minorHAnsi" w:hAnsiTheme="minorHAnsi"/>
          <w:sz w:val="22"/>
        </w:rPr>
      </w:pPr>
    </w:p>
    <w:p w14:paraId="6C186E87" w14:textId="77777777" w:rsidR="002C5000" w:rsidRDefault="002C5000" w:rsidP="00C01689">
      <w:pPr>
        <w:pStyle w:val="BodyText1"/>
        <w:rPr>
          <w:rFonts w:asciiTheme="minorHAnsi" w:hAnsiTheme="minorHAnsi"/>
          <w:sz w:val="22"/>
          <w:szCs w:val="22"/>
        </w:rPr>
      </w:pPr>
    </w:p>
    <w:p w14:paraId="5DD355EC" w14:textId="77777777" w:rsidR="00024841" w:rsidRDefault="0083639D">
      <w:pPr>
        <w:spacing w:after="0" w:line="240" w:lineRule="auto"/>
        <w:rPr>
          <w:rFonts w:asciiTheme="minorHAnsi" w:hAnsiTheme="minorHAnsi"/>
          <w:b/>
          <w:sz w:val="28"/>
          <w:szCs w:val="28"/>
        </w:rPr>
        <w:sectPr w:rsidR="00024841" w:rsidSect="007B058F">
          <w:endnotePr>
            <w:numFmt w:val="decimal"/>
          </w:endnotePr>
          <w:pgSz w:w="11906" w:h="16838"/>
          <w:pgMar w:top="1440" w:right="1440" w:bottom="1440" w:left="1440" w:header="708" w:footer="708" w:gutter="0"/>
          <w:cols w:space="708"/>
          <w:docGrid w:linePitch="360"/>
        </w:sectPr>
      </w:pPr>
      <w:r>
        <w:rPr>
          <w:rFonts w:asciiTheme="minorHAnsi" w:hAnsiTheme="minorHAnsi"/>
          <w:b/>
          <w:sz w:val="28"/>
          <w:szCs w:val="28"/>
        </w:rPr>
        <w:br w:type="page"/>
      </w:r>
    </w:p>
    <w:p w14:paraId="6A499DD2" w14:textId="68CB320A" w:rsidR="0083639D" w:rsidRPr="00024841" w:rsidRDefault="00024841" w:rsidP="00024841">
      <w:pPr>
        <w:pStyle w:val="Caption"/>
        <w:rPr>
          <w:rFonts w:asciiTheme="minorHAnsi" w:eastAsiaTheme="minorHAnsi" w:hAnsiTheme="minorHAnsi" w:cs="Arial"/>
          <w:b/>
          <w:i w:val="0"/>
          <w:color w:val="auto"/>
          <w:sz w:val="22"/>
          <w:szCs w:val="22"/>
          <w:lang w:eastAsia="en-GB"/>
        </w:rPr>
      </w:pPr>
      <w:bookmarkStart w:id="8" w:name="_Ref532903690"/>
      <w:r w:rsidRPr="00024841">
        <w:rPr>
          <w:rFonts w:asciiTheme="minorHAnsi" w:hAnsiTheme="minorHAnsi"/>
          <w:b/>
          <w:i w:val="0"/>
          <w:color w:val="auto"/>
          <w:sz w:val="22"/>
          <w:szCs w:val="22"/>
        </w:rPr>
        <w:t xml:space="preserve">Appendix figure </w:t>
      </w:r>
      <w:r w:rsidRPr="00024841">
        <w:rPr>
          <w:rFonts w:asciiTheme="minorHAnsi" w:hAnsiTheme="minorHAnsi"/>
          <w:b/>
          <w:i w:val="0"/>
          <w:color w:val="auto"/>
          <w:sz w:val="22"/>
          <w:szCs w:val="22"/>
        </w:rPr>
        <w:fldChar w:fldCharType="begin"/>
      </w:r>
      <w:r w:rsidRPr="00024841">
        <w:rPr>
          <w:rFonts w:asciiTheme="minorHAnsi" w:hAnsiTheme="minorHAnsi"/>
          <w:b/>
          <w:i w:val="0"/>
          <w:color w:val="auto"/>
          <w:sz w:val="22"/>
          <w:szCs w:val="22"/>
        </w:rPr>
        <w:instrText xml:space="preserve"> SEQ Appendix_figure \* ARABIC </w:instrText>
      </w:r>
      <w:r w:rsidRPr="00024841">
        <w:rPr>
          <w:rFonts w:asciiTheme="minorHAnsi" w:hAnsiTheme="minorHAnsi"/>
          <w:b/>
          <w:i w:val="0"/>
          <w:color w:val="auto"/>
          <w:sz w:val="22"/>
          <w:szCs w:val="22"/>
        </w:rPr>
        <w:fldChar w:fldCharType="separate"/>
      </w:r>
      <w:r w:rsidR="00941DD7">
        <w:rPr>
          <w:rFonts w:asciiTheme="minorHAnsi" w:hAnsiTheme="minorHAnsi"/>
          <w:b/>
          <w:i w:val="0"/>
          <w:noProof/>
          <w:color w:val="auto"/>
          <w:sz w:val="22"/>
          <w:szCs w:val="22"/>
        </w:rPr>
        <w:t>1</w:t>
      </w:r>
      <w:r w:rsidRPr="00024841">
        <w:rPr>
          <w:rFonts w:asciiTheme="minorHAnsi" w:hAnsiTheme="minorHAnsi"/>
          <w:b/>
          <w:i w:val="0"/>
          <w:color w:val="auto"/>
          <w:sz w:val="22"/>
          <w:szCs w:val="22"/>
        </w:rPr>
        <w:fldChar w:fldCharType="end"/>
      </w:r>
      <w:bookmarkEnd w:id="8"/>
      <w:r w:rsidRPr="00024841">
        <w:rPr>
          <w:rFonts w:asciiTheme="minorHAnsi" w:hAnsiTheme="minorHAnsi"/>
          <w:b/>
          <w:i w:val="0"/>
          <w:color w:val="auto"/>
          <w:sz w:val="22"/>
          <w:szCs w:val="22"/>
        </w:rPr>
        <w:t>: Mean annual average change in life expectancy</w:t>
      </w:r>
      <w:r>
        <w:rPr>
          <w:rFonts w:asciiTheme="minorHAnsi" w:hAnsiTheme="minorHAnsi"/>
          <w:b/>
          <w:i w:val="0"/>
          <w:color w:val="auto"/>
          <w:sz w:val="22"/>
          <w:szCs w:val="22"/>
        </w:rPr>
        <w:t xml:space="preserve"> (civilian population) </w:t>
      </w:r>
      <w:r w:rsidRPr="00024841">
        <w:rPr>
          <w:rFonts w:asciiTheme="minorHAnsi" w:hAnsiTheme="minorHAnsi"/>
          <w:b/>
          <w:i w:val="0"/>
          <w:color w:val="auto"/>
          <w:sz w:val="22"/>
          <w:szCs w:val="22"/>
        </w:rPr>
        <w:t>for 5-year rolling periods, Scotland, males and females, 1859-2016</w:t>
      </w:r>
      <w:r>
        <w:rPr>
          <w:rFonts w:asciiTheme="minorHAnsi" w:hAnsiTheme="minorHAnsi"/>
          <w:b/>
          <w:i w:val="0"/>
          <w:color w:val="auto"/>
          <w:sz w:val="22"/>
          <w:szCs w:val="22"/>
        </w:rPr>
        <w:t xml:space="preserve">. Data source: Human Mortality Database. </w:t>
      </w:r>
    </w:p>
    <w:p w14:paraId="46CA965B" w14:textId="49831379" w:rsidR="00E24C80" w:rsidRDefault="00885BCF" w:rsidP="00C01689">
      <w:pPr>
        <w:pStyle w:val="BodyText1"/>
        <w:rPr>
          <w:rFonts w:asciiTheme="minorHAnsi" w:hAnsiTheme="minorHAnsi"/>
          <w:b/>
          <w:sz w:val="28"/>
          <w:szCs w:val="28"/>
        </w:rPr>
      </w:pPr>
      <w:r>
        <w:rPr>
          <w:noProof/>
        </w:rPr>
        <w:drawing>
          <wp:inline distT="0" distB="0" distL="0" distR="0" wp14:anchorId="215D429F" wp14:editId="6F16F1CE">
            <wp:extent cx="9777730" cy="5214620"/>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3B95DA2" w14:textId="77777777" w:rsidR="00CA1891" w:rsidRDefault="00CA1891" w:rsidP="00C01689">
      <w:pPr>
        <w:pStyle w:val="BodyText1"/>
        <w:rPr>
          <w:rFonts w:asciiTheme="minorHAnsi" w:hAnsiTheme="minorHAnsi"/>
          <w:b/>
          <w:sz w:val="28"/>
          <w:szCs w:val="28"/>
        </w:rPr>
      </w:pPr>
    </w:p>
    <w:p w14:paraId="0787540B" w14:textId="12D9BD0E" w:rsidR="00CA1891" w:rsidRPr="00CA1891" w:rsidRDefault="00CA1891" w:rsidP="00C01689">
      <w:pPr>
        <w:pStyle w:val="BodyText1"/>
        <w:rPr>
          <w:rFonts w:asciiTheme="minorHAnsi" w:hAnsiTheme="minorHAnsi"/>
          <w:b/>
          <w:sz w:val="28"/>
          <w:szCs w:val="28"/>
        </w:rPr>
      </w:pPr>
      <w:r w:rsidRPr="00024841">
        <w:rPr>
          <w:rFonts w:asciiTheme="minorHAnsi" w:hAnsiTheme="minorHAnsi"/>
          <w:b/>
          <w:sz w:val="22"/>
          <w:szCs w:val="22"/>
        </w:rPr>
        <w:t xml:space="preserve">Appendix figure </w:t>
      </w:r>
      <w:r>
        <w:rPr>
          <w:rFonts w:asciiTheme="minorHAnsi" w:hAnsiTheme="minorHAnsi"/>
          <w:b/>
          <w:sz w:val="22"/>
          <w:szCs w:val="22"/>
        </w:rPr>
        <w:t xml:space="preserve">2: Relationship between life expectancy in 2011, and mean annual gain in life expectancy 2012-2016, for 24 high-income countries: </w:t>
      </w:r>
      <w:r w:rsidRPr="00CA1891">
        <w:rPr>
          <w:rFonts w:asciiTheme="minorHAnsi" w:hAnsiTheme="minorHAnsi"/>
          <w:sz w:val="20"/>
          <w:szCs w:val="20"/>
        </w:rPr>
        <w:t>Austria, Croatia, Czech Republic, Denmark, England &amp; Wales, Estonia, France, Germany, Hungary, Iceland, Israel, Japan, Korea, Latvia, Lithuania, Netherlands, Northern Ireland, Poland, Scotland</w:t>
      </w:r>
      <w:r>
        <w:rPr>
          <w:rFonts w:asciiTheme="minorHAnsi" w:hAnsiTheme="minorHAnsi"/>
          <w:sz w:val="20"/>
          <w:szCs w:val="20"/>
        </w:rPr>
        <w:t xml:space="preserve"> (indicated by shaded markers)</w:t>
      </w:r>
      <w:r w:rsidRPr="00CA1891">
        <w:rPr>
          <w:rFonts w:asciiTheme="minorHAnsi" w:hAnsiTheme="minorHAnsi"/>
          <w:sz w:val="20"/>
          <w:szCs w:val="20"/>
        </w:rPr>
        <w:t>, Slovakia, Spain, Sweden, Switzerland, USA.</w:t>
      </w:r>
    </w:p>
    <w:p w14:paraId="1672B47E" w14:textId="146B106D" w:rsidR="00CA1891" w:rsidRDefault="00CA1891" w:rsidP="00C01689">
      <w:pPr>
        <w:pStyle w:val="BodyText1"/>
        <w:rPr>
          <w:rFonts w:asciiTheme="minorHAnsi" w:hAnsiTheme="minorHAnsi"/>
          <w:b/>
          <w:sz w:val="28"/>
          <w:szCs w:val="28"/>
        </w:rPr>
        <w:sectPr w:rsidR="00CA1891" w:rsidSect="00024841">
          <w:endnotePr>
            <w:numFmt w:val="decimal"/>
          </w:endnotePr>
          <w:pgSz w:w="16838" w:h="11906" w:orient="landscape"/>
          <w:pgMar w:top="720" w:right="720" w:bottom="720" w:left="720" w:header="708" w:footer="708" w:gutter="0"/>
          <w:cols w:space="708"/>
          <w:docGrid w:linePitch="360"/>
        </w:sectPr>
      </w:pPr>
      <w:r>
        <w:rPr>
          <w:noProof/>
        </w:rPr>
        <w:drawing>
          <wp:inline distT="0" distB="0" distL="0" distR="0" wp14:anchorId="6A61F4DF" wp14:editId="3D4DD357">
            <wp:extent cx="8829675" cy="51625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551407" w14:textId="74BB3F21" w:rsidR="00C01689" w:rsidRDefault="00C01689" w:rsidP="00C01689">
      <w:pPr>
        <w:pStyle w:val="BodyText1"/>
        <w:rPr>
          <w:rFonts w:asciiTheme="minorHAnsi" w:hAnsiTheme="minorHAnsi"/>
          <w:b/>
          <w:sz w:val="28"/>
          <w:szCs w:val="28"/>
        </w:rPr>
      </w:pPr>
      <w:r w:rsidRPr="002C5000">
        <w:rPr>
          <w:rFonts w:asciiTheme="minorHAnsi" w:hAnsiTheme="minorHAnsi"/>
          <w:b/>
          <w:sz w:val="28"/>
          <w:szCs w:val="28"/>
        </w:rPr>
        <w:t>References</w:t>
      </w:r>
    </w:p>
    <w:p w14:paraId="6F037C17" w14:textId="77777777" w:rsidR="00123ADC" w:rsidRPr="002C5000" w:rsidRDefault="00123ADC" w:rsidP="00C01689">
      <w:pPr>
        <w:pStyle w:val="BodyText1"/>
        <w:rPr>
          <w:rFonts w:asciiTheme="minorHAnsi" w:hAnsiTheme="minorHAnsi"/>
          <w:b/>
          <w:sz w:val="28"/>
          <w:szCs w:val="28"/>
        </w:rPr>
      </w:pPr>
    </w:p>
    <w:sectPr w:rsidR="00123ADC" w:rsidRPr="002C5000" w:rsidSect="0083639D">
      <w:endnotePr>
        <w:numFmt w:val="decimal"/>
      </w:endnotePr>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ynda Fenton" w:date="2019-01-09T16:45:00Z" w:initials="LF">
    <w:p w14:paraId="5E6A8CC3" w14:textId="77777777" w:rsidR="00E951F2" w:rsidRDefault="00E951F2">
      <w:pPr>
        <w:pStyle w:val="CommentText"/>
      </w:pPr>
      <w:r>
        <w:rPr>
          <w:rStyle w:val="CommentReference"/>
        </w:rPr>
        <w:annotationRef/>
      </w:r>
      <w:r>
        <w:t xml:space="preserve">The increased number of countries I think makes running this correlation more justifiable, and I also think more necessary, as it is an obvious first question when looking at figures 2&amp;3. </w:t>
      </w:r>
    </w:p>
    <w:p w14:paraId="76BABF68" w14:textId="77777777" w:rsidR="00E951F2" w:rsidRDefault="00E951F2">
      <w:pPr>
        <w:pStyle w:val="CommentText"/>
      </w:pPr>
    </w:p>
    <w:p w14:paraId="378385B7" w14:textId="384A8047" w:rsidR="00E951F2" w:rsidRDefault="00E951F2">
      <w:pPr>
        <w:pStyle w:val="CommentText"/>
      </w:pPr>
      <w:r>
        <w:t>Any comments on method, presentation and interpretation</w:t>
      </w:r>
      <w:r w:rsidR="001145D8">
        <w:t xml:space="preserve">, and whether to include at all, are </w:t>
      </w:r>
      <w:r>
        <w:t xml:space="preserve">welcome.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8385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385B7" w16cid:durableId="1FE0ECA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68BD9" w14:textId="77777777" w:rsidR="00C82A3A" w:rsidRDefault="00C82A3A" w:rsidP="00C01689">
      <w:pPr>
        <w:spacing w:after="0" w:line="240" w:lineRule="auto"/>
      </w:pPr>
      <w:r>
        <w:separator/>
      </w:r>
    </w:p>
  </w:endnote>
  <w:endnote w:type="continuationSeparator" w:id="0">
    <w:p w14:paraId="30D583D1" w14:textId="77777777" w:rsidR="00C82A3A" w:rsidRDefault="00C82A3A" w:rsidP="00C01689">
      <w:pPr>
        <w:spacing w:after="0" w:line="240" w:lineRule="auto"/>
      </w:pPr>
      <w:r>
        <w:continuationSeparator/>
      </w:r>
    </w:p>
  </w:endnote>
  <w:endnote w:type="continuationNotice" w:id="1">
    <w:p w14:paraId="3DAAF99E" w14:textId="77777777" w:rsidR="00C82A3A" w:rsidRDefault="00C82A3A">
      <w:pPr>
        <w:spacing w:after="0" w:line="240" w:lineRule="auto"/>
      </w:pPr>
    </w:p>
  </w:endnote>
  <w:endnote w:id="2">
    <w:p w14:paraId="16A63992"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McCartney G, Walsh D, Whyte B, Collins C. Has Scotland always been the ‘sick man’ of Europe? European Journal of Public Health 2012; 22(6): 756–760.</w:t>
      </w:r>
    </w:p>
  </w:endnote>
  <w:endnote w:id="3">
    <w:p w14:paraId="01FB4FD0"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Minton J, Vanderbloemen L, Dorling D. Visualizing Europe’s demographic scars with coplots and contour plots. International Journal of Epidemiology 2013; 42(4): 1164–1176, </w:t>
      </w:r>
      <w:hyperlink r:id="rId1" w:history="1">
        <w:r w:rsidRPr="00746ABA">
          <w:rPr>
            <w:rStyle w:val="Hyperlink"/>
            <w:rFonts w:asciiTheme="minorHAnsi" w:hAnsiTheme="minorHAnsi"/>
            <w:sz w:val="22"/>
            <w:szCs w:val="22"/>
          </w:rPr>
          <w:t>https://doi.org/10.1093/ije/dyt115</w:t>
        </w:r>
      </w:hyperlink>
      <w:r w:rsidRPr="00746ABA">
        <w:rPr>
          <w:rFonts w:asciiTheme="minorHAnsi" w:hAnsiTheme="minorHAnsi"/>
          <w:sz w:val="22"/>
          <w:szCs w:val="22"/>
        </w:rPr>
        <w:t xml:space="preserve">. </w:t>
      </w:r>
    </w:p>
  </w:endnote>
  <w:endnote w:id="4">
    <w:p w14:paraId="213193C4"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Leon, DA. Trends in European life expectancy: a salutary view. International Journal of Epidemiology 2011; 40(2): 271–277, </w:t>
      </w:r>
      <w:hyperlink r:id="rId2" w:history="1">
        <w:r w:rsidRPr="00746ABA">
          <w:rPr>
            <w:rStyle w:val="Hyperlink"/>
            <w:rFonts w:asciiTheme="minorHAnsi" w:hAnsiTheme="minorHAnsi"/>
            <w:sz w:val="22"/>
            <w:szCs w:val="22"/>
          </w:rPr>
          <w:t>https://doi.org/10.1093/ije/dyr061</w:t>
        </w:r>
      </w:hyperlink>
      <w:r w:rsidRPr="00746ABA">
        <w:rPr>
          <w:rFonts w:asciiTheme="minorHAnsi" w:hAnsiTheme="minorHAnsi"/>
          <w:sz w:val="22"/>
          <w:szCs w:val="22"/>
        </w:rPr>
        <w:t xml:space="preserve">. </w:t>
      </w:r>
    </w:p>
  </w:endnote>
  <w:endnote w:id="5">
    <w:p w14:paraId="0E5B3338"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Ho JY, Hendi AS. Recent trends in life expectancy across high income countries: retrospective observational study. BMJ 2018; 362: k2562, </w:t>
      </w:r>
      <w:hyperlink r:id="rId3" w:history="1">
        <w:r w:rsidRPr="00746ABA">
          <w:rPr>
            <w:rStyle w:val="Hyperlink"/>
            <w:rFonts w:asciiTheme="minorHAnsi" w:hAnsiTheme="minorHAnsi"/>
            <w:sz w:val="22"/>
            <w:szCs w:val="22"/>
          </w:rPr>
          <w:t>http://dx.doi.org/10.1136/bmj.k2562</w:t>
        </w:r>
      </w:hyperlink>
      <w:r w:rsidRPr="00746ABA">
        <w:rPr>
          <w:rFonts w:asciiTheme="minorHAnsi" w:hAnsiTheme="minorHAnsi"/>
          <w:sz w:val="22"/>
          <w:szCs w:val="22"/>
        </w:rPr>
        <w:t xml:space="preserve">. </w:t>
      </w:r>
    </w:p>
  </w:endnote>
  <w:endnote w:id="6">
    <w:p w14:paraId="5BC892C1" w14:textId="7F6EC58E"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Changing trends in mortality: an international comparison: 2</w:t>
      </w:r>
      <w:r>
        <w:rPr>
          <w:rFonts w:asciiTheme="minorHAnsi" w:hAnsiTheme="minorHAnsi"/>
          <w:sz w:val="22"/>
          <w:szCs w:val="22"/>
        </w:rPr>
        <w:t>000 to 2016. Analysis of period l</w:t>
      </w:r>
      <w:r w:rsidRPr="00746ABA">
        <w:rPr>
          <w:rFonts w:asciiTheme="minorHAnsi" w:hAnsiTheme="minorHAnsi"/>
          <w:sz w:val="22"/>
          <w:szCs w:val="22"/>
        </w:rPr>
        <w:t xml:space="preserve">ife expectancies and mortality in selected countries globally from 2000 to 2016. London, Office for National Statistics, 2018. </w:t>
      </w:r>
    </w:p>
  </w:endnote>
  <w:endnote w:id="7">
    <w:p w14:paraId="38B2E4C8"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Changing trends in mortality: a cross-UK comparison, 1981 to 2016. Analysis of age-specific and age-standardised mortality rates for the UK, England, Wales, Scotland and Northern Ireland from 1981 to 2016. London, Office for National Statistics, 2018.</w:t>
      </w:r>
    </w:p>
  </w:endnote>
  <w:endnote w:id="8">
    <w:p w14:paraId="0943F50F" w14:textId="77777777" w:rsidR="00E951F2" w:rsidRPr="00123ADC" w:rsidRDefault="00E951F2" w:rsidP="00123ADC">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Taulbut M, Agbato D, McCartney G. Working and hurting? Monitoring the health and health inequalities impacts of the economic downturn and changes to the social security system</w:t>
      </w:r>
      <w:r w:rsidRPr="00123ADC">
        <w:rPr>
          <w:rFonts w:asciiTheme="minorHAnsi" w:hAnsiTheme="minorHAnsi"/>
          <w:sz w:val="22"/>
          <w:szCs w:val="22"/>
        </w:rPr>
        <w:t>. Glasgow, NHS Health Scotland, 2018.</w:t>
      </w:r>
    </w:p>
  </w:endnote>
  <w:endnote w:id="9">
    <w:p w14:paraId="7D16E6D7" w14:textId="73772EF5"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Office for National Statistics. Changing trends in mortality: an international comparison: 2000-2016. </w:t>
      </w:r>
      <w:r>
        <w:rPr>
          <w:rFonts w:asciiTheme="minorHAnsi" w:hAnsiTheme="minorHAnsi"/>
          <w:sz w:val="22"/>
          <w:szCs w:val="22"/>
        </w:rPr>
        <w:t xml:space="preserve">London, Office for National Statistics, </w:t>
      </w:r>
      <w:r w:rsidRPr="00C94B09">
        <w:rPr>
          <w:rFonts w:asciiTheme="minorHAnsi" w:hAnsiTheme="minorHAnsi"/>
          <w:sz w:val="22"/>
          <w:szCs w:val="22"/>
        </w:rPr>
        <w:t>2018</w:t>
      </w:r>
      <w:r>
        <w:rPr>
          <w:rFonts w:asciiTheme="minorHAnsi" w:hAnsiTheme="minorHAnsi"/>
          <w:sz w:val="22"/>
          <w:szCs w:val="22"/>
        </w:rPr>
        <w:t xml:space="preserve">. </w:t>
      </w:r>
      <w:r w:rsidRPr="00C94B09">
        <w:rPr>
          <w:rFonts w:asciiTheme="minorHAnsi" w:hAnsiTheme="minorHAnsi"/>
          <w:sz w:val="22"/>
          <w:szCs w:val="22"/>
        </w:rPr>
        <w:t xml:space="preserve">Available from: </w:t>
      </w:r>
      <w:hyperlink r:id="rId4" w:history="1">
        <w:r w:rsidRPr="00C94B09">
          <w:rPr>
            <w:rStyle w:val="Hyperlink"/>
            <w:rFonts w:asciiTheme="minorHAnsi" w:hAnsiTheme="minorHAnsi"/>
            <w:sz w:val="22"/>
            <w:szCs w:val="22"/>
          </w:rPr>
          <w:t>https://www.ons.gov.uk/peoplepopulationandcommunity/birthsdeathsandmarriages/lifeexpectancies/articles/changingtrendsinmortalityaninternationalcomparison/2000to2016</w:t>
        </w:r>
      </w:hyperlink>
      <w:r>
        <w:rPr>
          <w:rFonts w:asciiTheme="minorHAnsi" w:hAnsiTheme="minorHAnsi"/>
          <w:sz w:val="22"/>
          <w:szCs w:val="22"/>
        </w:rPr>
        <w:t xml:space="preserve">. </w:t>
      </w:r>
    </w:p>
  </w:endnote>
  <w:endnote w:id="10">
    <w:p w14:paraId="79FF097E" w14:textId="77777777" w:rsidR="00E951F2" w:rsidRPr="00C429D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w:t>
      </w:r>
      <w:r w:rsidRPr="00123ADC">
        <w:rPr>
          <w:rFonts w:asciiTheme="minorHAnsi" w:hAnsiTheme="minorHAnsi"/>
          <w:sz w:val="22"/>
          <w:szCs w:val="22"/>
        </w:rPr>
        <w:t>National Life</w:t>
      </w:r>
      <w:r w:rsidRPr="00C429D9">
        <w:rPr>
          <w:rFonts w:asciiTheme="minorHAnsi" w:hAnsiTheme="minorHAnsi"/>
          <w:sz w:val="22"/>
          <w:szCs w:val="22"/>
        </w:rPr>
        <w:t xml:space="preserve"> Tables for Scotland 2015-2017, National Records of Scotland, 2018.</w:t>
      </w:r>
    </w:p>
  </w:endnote>
  <w:endnote w:id="11">
    <w:p w14:paraId="168251E3"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Parkinson J, Minton J, Lewsey J, Bouttell J, McCartney G. Recent cohort effects in suicide in Scotland: a legacy of the 1980s? J Epidemiology and Community Health 2017; 71: 194-200. </w:t>
      </w:r>
    </w:p>
  </w:endnote>
  <w:endnote w:id="12">
    <w:p w14:paraId="208C4204"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Parkinson P, Minton M, Lewsey J, Bouttell J, McCartney G. Drug-related deaths in Scotland 1979–2013: evidence of a vulnerable cohort of young men living in deprived areas. BMC Public Health (2018) 18:357, https://doi.org/10.1186/s12889-018-5267-2.</w:t>
      </w:r>
    </w:p>
  </w:endnote>
  <w:endnote w:id="13">
    <w:p w14:paraId="3FCD510B"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Minton J, Shaw R, Green M, Vanderbloemen L, Popham F, McCartney G. Visualising and quantifying ‘excess deaths’ in Scotland compared with the rest of the UK and the rest of Western Europe. J Epidemiology and Community Health 2017; 71: 461-467, doi: 10.1136/jech-2016-207379.</w:t>
      </w:r>
    </w:p>
  </w:endnote>
  <w:endnote w:id="14">
    <w:p w14:paraId="42AAF8AD"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McCartney G, Bouttell J, Craig N, Craig P, Graham L, Lakha F, Lewsey J, McAdams R, MacPherson M, Minton J, Parkinson J, Robinson M, Shipton D, Taulbut M, Walsh D, Beeston C. Explaining trends in alcohol-related harms in Scotland, 1991-2011 (I): the role of incomes, effects of socio-economic and political adversity and demographic change. Public Health 2016; 132: 13-23.</w:t>
      </w:r>
    </w:p>
  </w:endnote>
  <w:endnote w:id="15">
    <w:p w14:paraId="3412CAFB" w14:textId="77777777" w:rsidR="00E951F2" w:rsidRPr="00746ABA" w:rsidRDefault="00E951F2" w:rsidP="00746ABA">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Benchimol EI, Smeeth L, Guttmann A, Harron K, Moher D, Petersen I, et al. The</w:t>
      </w:r>
      <w:r>
        <w:rPr>
          <w:rFonts w:asciiTheme="minorHAnsi" w:hAnsiTheme="minorHAnsi"/>
          <w:sz w:val="22"/>
          <w:szCs w:val="22"/>
        </w:rPr>
        <w:t xml:space="preserve"> </w:t>
      </w:r>
      <w:r w:rsidRPr="00746ABA">
        <w:rPr>
          <w:rFonts w:asciiTheme="minorHAnsi" w:hAnsiTheme="minorHAnsi"/>
          <w:sz w:val="22"/>
          <w:szCs w:val="22"/>
        </w:rPr>
        <w:t xml:space="preserve">REporting of studies Conducted using Observational Routinely-collected health Data (RECORD) Statement. PLoS Med 2015; 12(10): e10018. </w:t>
      </w:r>
    </w:p>
  </w:endnote>
  <w:endnote w:id="16">
    <w:p w14:paraId="5001D99F" w14:textId="151F6928" w:rsidR="00E951F2" w:rsidRPr="00123ADC" w:rsidRDefault="00E951F2" w:rsidP="00123ADC">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Human Mortality Database. University of California, Berkeley (USA), and Max Planck Institute for Demographic Research (Germany). Available at www.mortality.org or </w:t>
      </w:r>
      <w:r w:rsidRPr="0083254D">
        <w:rPr>
          <w:rFonts w:asciiTheme="minorHAnsi" w:hAnsiTheme="minorHAnsi"/>
          <w:sz w:val="22"/>
          <w:szCs w:val="22"/>
        </w:rPr>
        <w:t>www.</w:t>
      </w:r>
      <w:r w:rsidRPr="00123ADC">
        <w:rPr>
          <w:rFonts w:asciiTheme="minorHAnsi" w:hAnsiTheme="minorHAnsi"/>
          <w:sz w:val="22"/>
          <w:szCs w:val="22"/>
        </w:rPr>
        <w:t>humanmortality.de (data downloaded on [11/09/208]).</w:t>
      </w:r>
    </w:p>
  </w:endnote>
  <w:endnote w:id="17">
    <w:p w14:paraId="5221F5FC" w14:textId="5D527DF3"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w:t>
      </w:r>
      <w:r>
        <w:rPr>
          <w:rFonts w:asciiTheme="minorHAnsi" w:hAnsiTheme="minorHAnsi"/>
          <w:sz w:val="22"/>
          <w:szCs w:val="22"/>
        </w:rPr>
        <w:t>R Core Team</w:t>
      </w:r>
      <w:r w:rsidRPr="00C94B09">
        <w:rPr>
          <w:rFonts w:asciiTheme="minorHAnsi" w:hAnsiTheme="minorHAnsi"/>
          <w:sz w:val="22"/>
          <w:szCs w:val="22"/>
        </w:rPr>
        <w:t xml:space="preserve">. R: A language and environment for statistical computing. R Foundation for Statistical Computing, Vienna, </w:t>
      </w:r>
      <w:r>
        <w:rPr>
          <w:rFonts w:asciiTheme="minorHAnsi" w:hAnsiTheme="minorHAnsi"/>
          <w:sz w:val="22"/>
          <w:szCs w:val="22"/>
        </w:rPr>
        <w:t>2018. Available from</w:t>
      </w:r>
      <w:r w:rsidRPr="00C94B09">
        <w:rPr>
          <w:rFonts w:asciiTheme="minorHAnsi" w:hAnsiTheme="minorHAnsi"/>
          <w:sz w:val="22"/>
          <w:szCs w:val="22"/>
        </w:rPr>
        <w:t xml:space="preserve"> </w:t>
      </w:r>
      <w:hyperlink r:id="rId5" w:history="1">
        <w:r w:rsidRPr="00C94B09">
          <w:rPr>
            <w:rStyle w:val="Hyperlink"/>
            <w:rFonts w:asciiTheme="minorHAnsi" w:hAnsiTheme="minorHAnsi"/>
            <w:sz w:val="22"/>
            <w:szCs w:val="22"/>
          </w:rPr>
          <w:t>https://www.R-project.org/</w:t>
        </w:r>
      </w:hyperlink>
      <w:r w:rsidRPr="00C94B09">
        <w:rPr>
          <w:rFonts w:asciiTheme="minorHAnsi" w:hAnsiTheme="minorHAnsi"/>
          <w:sz w:val="22"/>
          <w:szCs w:val="22"/>
        </w:rPr>
        <w:t>.</w:t>
      </w:r>
      <w:r>
        <w:rPr>
          <w:rFonts w:asciiTheme="minorHAnsi" w:hAnsiTheme="minorHAnsi"/>
          <w:sz w:val="22"/>
          <w:szCs w:val="22"/>
        </w:rPr>
        <w:t xml:space="preserve"> </w:t>
      </w:r>
    </w:p>
  </w:endnote>
  <w:endnote w:id="18">
    <w:p w14:paraId="72068BD0" w14:textId="77777777" w:rsidR="00E951F2" w:rsidRPr="00123ADC" w:rsidRDefault="00E951F2" w:rsidP="00123ADC">
      <w:pPr>
        <w:pStyle w:val="EndnoteText"/>
        <w:ind w:left="284" w:hanging="284"/>
        <w:rPr>
          <w:rFonts w:asciiTheme="minorHAnsi" w:hAnsiTheme="minorHAnsi"/>
          <w:sz w:val="22"/>
          <w:szCs w:val="22"/>
        </w:rPr>
      </w:pPr>
      <w:r w:rsidRPr="00123ADC">
        <w:rPr>
          <w:rStyle w:val="EndnoteReference"/>
          <w:rFonts w:asciiTheme="minorHAnsi" w:hAnsiTheme="minorHAnsi"/>
          <w:sz w:val="22"/>
          <w:szCs w:val="22"/>
        </w:rPr>
        <w:endnoteRef/>
      </w:r>
      <w:r w:rsidRPr="00123ADC">
        <w:rPr>
          <w:rFonts w:asciiTheme="minorHAnsi" w:hAnsiTheme="minorHAnsi"/>
          <w:sz w:val="22"/>
          <w:szCs w:val="22"/>
        </w:rPr>
        <w:t xml:space="preserve"> Muggeo VMR</w:t>
      </w:r>
      <w:r w:rsidRPr="0083254D">
        <w:rPr>
          <w:rFonts w:asciiTheme="minorHAnsi" w:hAnsiTheme="minorHAnsi"/>
          <w:sz w:val="22"/>
          <w:szCs w:val="22"/>
        </w:rPr>
        <w:t>. segmented: An R Package to Fit Regression Models with Broken-Line Relationships. R news 2008</w:t>
      </w:r>
      <w:r w:rsidRPr="00123ADC">
        <w:rPr>
          <w:rFonts w:asciiTheme="minorHAnsi" w:hAnsiTheme="minorHAnsi"/>
          <w:sz w:val="22"/>
          <w:szCs w:val="22"/>
        </w:rPr>
        <w:t xml:space="preserve">; 8(1): 20-25. </w:t>
      </w:r>
    </w:p>
  </w:endnote>
  <w:endnote w:id="19">
    <w:p w14:paraId="243EA933" w14:textId="781705AD" w:rsidR="00E951F2" w:rsidRPr="00C94B09" w:rsidRDefault="00E951F2" w:rsidP="00123ADC">
      <w:pPr>
        <w:pStyle w:val="EndnoteText"/>
        <w:ind w:left="284" w:hanging="284"/>
        <w:rPr>
          <w:rFonts w:asciiTheme="minorHAnsi" w:hAnsiTheme="minorHAnsi"/>
          <w:sz w:val="22"/>
          <w:szCs w:val="22"/>
        </w:rPr>
      </w:pPr>
      <w:r w:rsidRPr="00C94B09">
        <w:rPr>
          <w:rStyle w:val="EndnoteReference"/>
          <w:rFonts w:asciiTheme="minorHAnsi" w:hAnsiTheme="minorHAnsi"/>
          <w:sz w:val="22"/>
          <w:szCs w:val="22"/>
        </w:rPr>
        <w:endnoteRef/>
      </w:r>
      <w:r w:rsidRPr="00C94B09">
        <w:rPr>
          <w:rFonts w:asciiTheme="minorHAnsi" w:hAnsiTheme="minorHAnsi"/>
          <w:sz w:val="22"/>
          <w:szCs w:val="22"/>
        </w:rPr>
        <w:t xml:space="preserve"> Office for National Statistics. Changing trends in mortality in England and Wales: 1990 to 2017 (Experimental Statistics). </w:t>
      </w:r>
      <w:r>
        <w:rPr>
          <w:rFonts w:asciiTheme="minorHAnsi" w:hAnsiTheme="minorHAnsi"/>
          <w:sz w:val="22"/>
          <w:szCs w:val="22"/>
        </w:rPr>
        <w:t xml:space="preserve">London, Office for National Statistics, 2018. </w:t>
      </w:r>
      <w:r w:rsidRPr="00C94B09">
        <w:rPr>
          <w:rFonts w:asciiTheme="minorHAnsi" w:hAnsiTheme="minorHAnsi"/>
          <w:sz w:val="22"/>
          <w:szCs w:val="22"/>
        </w:rPr>
        <w:t xml:space="preserve">Available from: </w:t>
      </w:r>
      <w:hyperlink r:id="rId6" w:history="1">
        <w:r w:rsidRPr="001D0D44">
          <w:rPr>
            <w:rStyle w:val="Hyperlink"/>
            <w:rFonts w:asciiTheme="minorHAnsi" w:hAnsiTheme="minorHAnsi"/>
            <w:sz w:val="22"/>
            <w:szCs w:val="22"/>
          </w:rPr>
          <w:t>h</w:t>
        </w:r>
        <w:r w:rsidRPr="00C94B09">
          <w:rPr>
            <w:rStyle w:val="Hyperlink"/>
            <w:rFonts w:asciiTheme="minorHAnsi" w:hAnsiTheme="minorHAnsi"/>
            <w:sz w:val="22"/>
            <w:szCs w:val="22"/>
          </w:rPr>
          <w:t>ttps://www.ons.gov.uk/peoplepopulationandcommunity/birthsdeathsandmarriages/deaths/articles/changingtrendsinmortalityinenglandandwales1990to2017/experimentalstatistics</w:t>
        </w:r>
      </w:hyperlink>
      <w:r>
        <w:rPr>
          <w:rFonts w:asciiTheme="minorHAnsi" w:hAnsiTheme="minorHAnsi"/>
          <w:sz w:val="22"/>
          <w:szCs w:val="22"/>
        </w:rPr>
        <w:t xml:space="preserve">. </w:t>
      </w:r>
    </w:p>
  </w:endnote>
  <w:endnote w:id="20">
    <w:p w14:paraId="205A9110" w14:textId="77777777" w:rsidR="00E951F2" w:rsidRPr="00746ABA" w:rsidRDefault="00E951F2" w:rsidP="00123ADC">
      <w:pPr>
        <w:pStyle w:val="EndnoteText"/>
        <w:ind w:left="284" w:hanging="284"/>
        <w:rPr>
          <w:rFonts w:asciiTheme="minorHAnsi" w:hAnsiTheme="minorHAnsi"/>
          <w:sz w:val="22"/>
          <w:szCs w:val="22"/>
        </w:rPr>
      </w:pPr>
      <w:r w:rsidRPr="00123ADC">
        <w:rPr>
          <w:rStyle w:val="EndnoteReference"/>
          <w:rFonts w:asciiTheme="minorHAnsi" w:hAnsiTheme="minorHAnsi"/>
          <w:sz w:val="22"/>
          <w:szCs w:val="22"/>
        </w:rPr>
        <w:endnoteRef/>
      </w:r>
      <w:r w:rsidRPr="00123ADC">
        <w:rPr>
          <w:rFonts w:asciiTheme="minorHAnsi" w:hAnsiTheme="minorHAnsi"/>
          <w:sz w:val="22"/>
          <w:szCs w:val="22"/>
        </w:rPr>
        <w:t xml:space="preserve"> Roelfs DJ, Shor E, Davidson KW, Schwartz JE. Losing life and livelihood: a systematic review and meta-analysis of unemployment</w:t>
      </w:r>
      <w:r w:rsidRPr="00746ABA">
        <w:rPr>
          <w:rFonts w:asciiTheme="minorHAnsi" w:hAnsiTheme="minorHAnsi"/>
          <w:sz w:val="22"/>
          <w:szCs w:val="22"/>
        </w:rPr>
        <w:t xml:space="preserve"> and all-cause mortality. Social Science Medicine 2011; 72(6): 840-54, doi: 10.1016/j.socscimed.2011.01.005.  </w:t>
      </w:r>
    </w:p>
  </w:endnote>
  <w:endnote w:id="21">
    <w:p w14:paraId="7AB704ED" w14:textId="77777777" w:rsidR="00E951F2" w:rsidRPr="00746ABA" w:rsidRDefault="00E951F2" w:rsidP="007847AF">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Marmot MG, Bell R. How will the financial crisis affect health? BMJ 2009; 338: b1314, doi: </w:t>
      </w:r>
      <w:hyperlink r:id="rId7" w:history="1">
        <w:r w:rsidRPr="00746ABA">
          <w:rPr>
            <w:rStyle w:val="Hyperlink"/>
            <w:rFonts w:asciiTheme="minorHAnsi" w:hAnsiTheme="minorHAnsi"/>
            <w:sz w:val="22"/>
            <w:szCs w:val="22"/>
          </w:rPr>
          <w:t>https://doi.org/10.1136/bmj.b1314</w:t>
        </w:r>
      </w:hyperlink>
      <w:r w:rsidRPr="00746ABA">
        <w:rPr>
          <w:rFonts w:asciiTheme="minorHAnsi" w:hAnsiTheme="minorHAnsi"/>
          <w:sz w:val="22"/>
          <w:szCs w:val="22"/>
        </w:rPr>
        <w:t xml:space="preserve">. </w:t>
      </w:r>
    </w:p>
  </w:endnote>
  <w:endnote w:id="22">
    <w:p w14:paraId="2D366970" w14:textId="77777777" w:rsidR="00E951F2" w:rsidRPr="00E728F7" w:rsidRDefault="00E951F2" w:rsidP="007847AF">
      <w:pPr>
        <w:pStyle w:val="EndnoteText"/>
        <w:ind w:left="284" w:hanging="284"/>
        <w:rPr>
          <w:rFonts w:asciiTheme="minorHAnsi" w:hAnsiTheme="minorHAnsi"/>
          <w:sz w:val="22"/>
          <w:szCs w:val="22"/>
        </w:rPr>
      </w:pPr>
      <w:r w:rsidRPr="00746ABA">
        <w:rPr>
          <w:rStyle w:val="EndnoteReference"/>
          <w:rFonts w:asciiTheme="minorHAnsi" w:hAnsiTheme="minorHAnsi"/>
          <w:sz w:val="22"/>
          <w:szCs w:val="22"/>
        </w:rPr>
        <w:endnoteRef/>
      </w:r>
      <w:r w:rsidRPr="00746ABA">
        <w:rPr>
          <w:rFonts w:asciiTheme="minorHAnsi" w:hAnsiTheme="minorHAnsi"/>
          <w:sz w:val="22"/>
          <w:szCs w:val="22"/>
        </w:rPr>
        <w:t xml:space="preserve"> Tapia Granados JA, Ionides EL. Population health and the economy: Mortality and the Great </w:t>
      </w:r>
      <w:r w:rsidRPr="00E728F7">
        <w:rPr>
          <w:rFonts w:asciiTheme="minorHAnsi" w:hAnsiTheme="minorHAnsi"/>
          <w:sz w:val="22"/>
          <w:szCs w:val="22"/>
        </w:rPr>
        <w:t>Recession in Europe. Health Economics 2017; 26:e219–e235.</w:t>
      </w:r>
    </w:p>
  </w:endnote>
  <w:endnote w:id="23">
    <w:p w14:paraId="160AB17A"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Parmar D, Stavropoulou C, Ioannidis JPA. Health outcomes during the 2008 financial crisis in Europe: systematic literature review. BMJ 2016; 354, i4588, doi: </w:t>
      </w:r>
      <w:hyperlink r:id="rId8" w:history="1">
        <w:r w:rsidRPr="00E728F7">
          <w:rPr>
            <w:rStyle w:val="Hyperlink"/>
            <w:rFonts w:asciiTheme="minorHAnsi" w:hAnsiTheme="minorHAnsi"/>
            <w:sz w:val="22"/>
            <w:szCs w:val="22"/>
          </w:rPr>
          <w:t>https://doi.org/10.1136/bmj.i4588</w:t>
        </w:r>
      </w:hyperlink>
      <w:r w:rsidRPr="00E728F7">
        <w:rPr>
          <w:rFonts w:asciiTheme="minorHAnsi" w:hAnsiTheme="minorHAnsi"/>
          <w:sz w:val="22"/>
          <w:szCs w:val="22"/>
        </w:rPr>
        <w:t xml:space="preserve">. </w:t>
      </w:r>
    </w:p>
  </w:endnote>
  <w:endnote w:id="24">
    <w:p w14:paraId="3347566F"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Margerison-Zilko C, Goldman-Mellor S, Falconi A, Downing J. Health impacts of the Great Recession: a critical review. Current Epidemiological Reports 2016; 3(1): 81-91. </w:t>
      </w:r>
    </w:p>
  </w:endnote>
  <w:endnote w:id="25">
    <w:p w14:paraId="52CBB43E" w14:textId="77777777" w:rsidR="00E951F2" w:rsidRPr="00E728F7"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Modrek, S, Stuckler D, McKee M, Cullen MR, Basu S. A review of health consequences of </w:t>
      </w:r>
      <w:r w:rsidRPr="009C4C6F">
        <w:rPr>
          <w:rFonts w:asciiTheme="minorHAnsi" w:hAnsiTheme="minorHAnsi"/>
          <w:sz w:val="22"/>
          <w:szCs w:val="22"/>
        </w:rPr>
        <w:t>recessi</w:t>
      </w:r>
      <w:r>
        <w:rPr>
          <w:rFonts w:asciiTheme="minorHAnsi" w:hAnsiTheme="minorHAnsi"/>
          <w:sz w:val="22"/>
          <w:szCs w:val="22"/>
        </w:rPr>
        <w:t>ons</w:t>
      </w:r>
      <w:r w:rsidRPr="00E728F7">
        <w:rPr>
          <w:rFonts w:asciiTheme="minorHAnsi" w:hAnsiTheme="minorHAnsi"/>
          <w:sz w:val="22"/>
          <w:szCs w:val="22"/>
        </w:rPr>
        <w:t xml:space="preserve"> internationally and a synthesis of the US response during the Great Recession. Public Health Reviews 2013; 35(1), </w:t>
      </w:r>
      <w:hyperlink r:id="rId9" w:history="1">
        <w:r w:rsidRPr="00E728F7">
          <w:rPr>
            <w:rStyle w:val="Hyperlink"/>
            <w:rFonts w:asciiTheme="minorHAnsi" w:hAnsiTheme="minorHAnsi"/>
            <w:sz w:val="22"/>
            <w:szCs w:val="22"/>
          </w:rPr>
          <w:t>https://doi.org/10.1007/BF03391695</w:t>
        </w:r>
      </w:hyperlink>
      <w:r w:rsidRPr="00E728F7">
        <w:rPr>
          <w:rFonts w:asciiTheme="minorHAnsi" w:hAnsiTheme="minorHAnsi"/>
          <w:sz w:val="22"/>
          <w:szCs w:val="22"/>
        </w:rPr>
        <w:t xml:space="preserve">. </w:t>
      </w:r>
    </w:p>
  </w:endnote>
  <w:endnote w:id="26">
    <w:p w14:paraId="6BCE9925" w14:textId="77777777" w:rsidR="00E951F2" w:rsidRPr="007C4023" w:rsidRDefault="00E951F2" w:rsidP="007847AF">
      <w:pPr>
        <w:pStyle w:val="EndnoteText"/>
        <w:ind w:left="284" w:hanging="284"/>
        <w:rPr>
          <w:rFonts w:asciiTheme="minorHAnsi" w:hAnsiTheme="minorHAnsi"/>
          <w:sz w:val="22"/>
          <w:szCs w:val="22"/>
        </w:rPr>
      </w:pPr>
      <w:r w:rsidRPr="00E728F7">
        <w:rPr>
          <w:rStyle w:val="EndnoteReference"/>
          <w:rFonts w:asciiTheme="minorHAnsi" w:hAnsiTheme="minorHAnsi"/>
          <w:sz w:val="22"/>
          <w:szCs w:val="22"/>
        </w:rPr>
        <w:endnoteRef/>
      </w:r>
      <w:r w:rsidRPr="00E728F7">
        <w:rPr>
          <w:rFonts w:asciiTheme="minorHAnsi" w:hAnsiTheme="minorHAnsi"/>
          <w:sz w:val="22"/>
          <w:szCs w:val="22"/>
        </w:rPr>
        <w:t xml:space="preserve"> Van Gool</w:t>
      </w:r>
      <w:r w:rsidRPr="007C4023">
        <w:rPr>
          <w:rFonts w:asciiTheme="minorHAnsi" w:hAnsiTheme="minorHAnsi"/>
          <w:sz w:val="22"/>
          <w:szCs w:val="22"/>
        </w:rPr>
        <w:t xml:space="preserve"> K, Pearson M. Health, austerity and economic crisis. Assessing the short=term impact in OECD countries. Paris, OECD publishing, 2014.  </w:t>
      </w:r>
    </w:p>
  </w:endnote>
  <w:endnote w:id="27">
    <w:p w14:paraId="6FD60C7C" w14:textId="77777777" w:rsidR="00E951F2" w:rsidRDefault="00E951F2" w:rsidP="007847AF">
      <w:pPr>
        <w:pStyle w:val="EndnoteText"/>
        <w:ind w:left="284" w:hanging="284"/>
        <w:rPr>
          <w:rFonts w:asciiTheme="minorHAnsi" w:hAnsiTheme="minorHAnsi"/>
          <w:sz w:val="22"/>
          <w:szCs w:val="22"/>
        </w:rPr>
      </w:pPr>
      <w:r w:rsidRPr="007C4023">
        <w:rPr>
          <w:rStyle w:val="EndnoteReference"/>
          <w:rFonts w:asciiTheme="minorHAnsi" w:hAnsiTheme="minorHAnsi"/>
          <w:sz w:val="22"/>
          <w:szCs w:val="22"/>
        </w:rPr>
        <w:endnoteRef/>
      </w:r>
      <w:r w:rsidRPr="007C4023">
        <w:rPr>
          <w:rFonts w:asciiTheme="minorHAnsi" w:hAnsiTheme="minorHAnsi"/>
          <w:sz w:val="22"/>
          <w:szCs w:val="22"/>
        </w:rPr>
        <w:t xml:space="preserve"> Karanikolos M, Mladovsky P, Cylus J, et al. Financial crisis, austerity, and health in Europe. Lancet 2013; 381: 1323-1331. </w:t>
      </w:r>
    </w:p>
    <w:p w14:paraId="31E567E9" w14:textId="77777777" w:rsidR="00E951F2" w:rsidRDefault="00E951F2" w:rsidP="007847AF">
      <w:pPr>
        <w:pStyle w:val="EndnoteText"/>
        <w:ind w:left="284" w:hanging="284"/>
        <w:rPr>
          <w:rFonts w:asciiTheme="minorHAnsi" w:hAnsiTheme="minorHAnsi"/>
          <w:sz w:val="22"/>
          <w:szCs w:val="22"/>
        </w:rPr>
      </w:pPr>
    </w:p>
    <w:p w14:paraId="233F0CC6" w14:textId="77777777" w:rsidR="00E951F2" w:rsidRDefault="00E951F2" w:rsidP="007847AF">
      <w:pPr>
        <w:pStyle w:val="EndnoteText"/>
        <w:ind w:left="284" w:hanging="284"/>
        <w:rPr>
          <w:rFonts w:asciiTheme="minorHAnsi" w:hAnsiTheme="minorHAnsi"/>
          <w:sz w:val="22"/>
          <w:szCs w:val="22"/>
        </w:rPr>
      </w:pPr>
    </w:p>
    <w:p w14:paraId="44D9C5AC" w14:textId="77777777" w:rsidR="00E951F2" w:rsidRPr="007C4023" w:rsidRDefault="00E951F2" w:rsidP="007847AF">
      <w:pPr>
        <w:pStyle w:val="EndnoteText"/>
        <w:ind w:left="284" w:hanging="284"/>
        <w:rPr>
          <w:rFonts w:asciiTheme="minorHAnsi" w:hAnsiTheme="minorHAnsi"/>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324677"/>
      <w:docPartObj>
        <w:docPartGallery w:val="Page Numbers (Bottom of Page)"/>
        <w:docPartUnique/>
      </w:docPartObj>
    </w:sdtPr>
    <w:sdtEndPr>
      <w:rPr>
        <w:rFonts w:asciiTheme="minorHAnsi" w:hAnsiTheme="minorHAnsi"/>
        <w:noProof/>
      </w:rPr>
    </w:sdtEndPr>
    <w:sdtContent>
      <w:p w14:paraId="32A070A6" w14:textId="77777777" w:rsidR="00E951F2" w:rsidRPr="00C01689" w:rsidRDefault="00E951F2">
        <w:pPr>
          <w:pStyle w:val="Footer"/>
          <w:jc w:val="right"/>
          <w:rPr>
            <w:rFonts w:asciiTheme="minorHAnsi" w:hAnsiTheme="minorHAnsi"/>
          </w:rPr>
        </w:pPr>
        <w:r w:rsidRPr="00C01689">
          <w:rPr>
            <w:rFonts w:asciiTheme="minorHAnsi" w:hAnsiTheme="minorHAnsi"/>
          </w:rPr>
          <w:fldChar w:fldCharType="begin"/>
        </w:r>
        <w:r w:rsidRPr="00C01689">
          <w:rPr>
            <w:rFonts w:asciiTheme="minorHAnsi" w:hAnsiTheme="minorHAnsi"/>
          </w:rPr>
          <w:instrText xml:space="preserve"> PAGE   \* MERGEFORMAT </w:instrText>
        </w:r>
        <w:r w:rsidRPr="00C01689">
          <w:rPr>
            <w:rFonts w:asciiTheme="minorHAnsi" w:hAnsiTheme="minorHAnsi"/>
          </w:rPr>
          <w:fldChar w:fldCharType="separate"/>
        </w:r>
        <w:r w:rsidR="00B5682F">
          <w:rPr>
            <w:rFonts w:asciiTheme="minorHAnsi" w:hAnsiTheme="minorHAnsi"/>
            <w:noProof/>
          </w:rPr>
          <w:t>1</w:t>
        </w:r>
        <w:r w:rsidRPr="00C01689">
          <w:rPr>
            <w:rFonts w:asciiTheme="minorHAnsi" w:hAnsiTheme="minorHAnsi"/>
            <w:noProof/>
          </w:rPr>
          <w:fldChar w:fldCharType="end"/>
        </w:r>
      </w:p>
    </w:sdtContent>
  </w:sdt>
  <w:p w14:paraId="500E6B58" w14:textId="77777777" w:rsidR="00E951F2" w:rsidRDefault="00E95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88E46" w14:textId="77777777" w:rsidR="00C82A3A" w:rsidRDefault="00C82A3A" w:rsidP="00C01689">
      <w:pPr>
        <w:spacing w:after="0" w:line="240" w:lineRule="auto"/>
      </w:pPr>
      <w:r>
        <w:separator/>
      </w:r>
    </w:p>
  </w:footnote>
  <w:footnote w:type="continuationSeparator" w:id="0">
    <w:p w14:paraId="18BEB09D" w14:textId="77777777" w:rsidR="00C82A3A" w:rsidRDefault="00C82A3A" w:rsidP="00C01689">
      <w:pPr>
        <w:spacing w:after="0" w:line="240" w:lineRule="auto"/>
      </w:pPr>
      <w:r>
        <w:continuationSeparator/>
      </w:r>
    </w:p>
  </w:footnote>
  <w:footnote w:type="continuationNotice" w:id="1">
    <w:p w14:paraId="5F879E80" w14:textId="77777777" w:rsidR="00C82A3A" w:rsidRDefault="00C82A3A">
      <w:pPr>
        <w:spacing w:after="0" w:line="240" w:lineRule="auto"/>
      </w:pPr>
    </w:p>
  </w:footnote>
  <w:footnote w:id="2">
    <w:p w14:paraId="42435CB4" w14:textId="20BCF7C4" w:rsidR="00E951F2" w:rsidRPr="00CD6ACB" w:rsidRDefault="00E951F2">
      <w:pPr>
        <w:pStyle w:val="FootnoteText"/>
        <w:rPr>
          <w:rFonts w:asciiTheme="minorHAnsi" w:hAnsiTheme="minorHAnsi"/>
        </w:rPr>
      </w:pPr>
      <w:r w:rsidRPr="00CD6ACB">
        <w:rPr>
          <w:rStyle w:val="FootnoteReference"/>
          <w:rFonts w:asciiTheme="minorHAnsi" w:hAnsiTheme="minorHAnsi"/>
        </w:rPr>
        <w:footnoteRef/>
      </w:r>
      <w:r w:rsidRPr="00CD6ACB">
        <w:rPr>
          <w:rFonts w:asciiTheme="minorHAnsi" w:hAnsiTheme="minorHAnsi"/>
        </w:rPr>
        <w:t xml:space="preserve"> 24 of 42 countries included. Excluded countries: No data for 2016: Australia, Belgium, Bulgaria, Canada, Chile, Finland, Greece, Ireland, Italy, Luxembourg, New Zealand, Norway, Portugal, Russia, Slovenia, Taiwan, Ukraine. Not high-income: Belarus.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CDF05" w14:textId="2D4EF870" w:rsidR="00E951F2" w:rsidRPr="002C5000" w:rsidRDefault="00E951F2" w:rsidP="002C5000">
    <w:pPr>
      <w:pStyle w:val="Header"/>
      <w:jc w:val="right"/>
      <w:rPr>
        <w:rFonts w:asciiTheme="minorHAnsi" w:hAnsiTheme="minorHAnsi"/>
        <w:sz w:val="22"/>
      </w:rPr>
    </w:pPr>
    <w:r>
      <w:rPr>
        <w:rFonts w:asciiTheme="minorHAnsi" w:hAnsiTheme="minorHAnsi"/>
        <w:sz w:val="22"/>
      </w:rPr>
      <w:t>Final d</w:t>
    </w:r>
    <w:r w:rsidRPr="002C5000">
      <w:rPr>
        <w:rFonts w:asciiTheme="minorHAnsi" w:hAnsiTheme="minorHAnsi"/>
        <w:sz w:val="22"/>
      </w:rPr>
      <w:t>raft</w:t>
    </w:r>
    <w:r>
      <w:rPr>
        <w:rFonts w:asciiTheme="minorHAnsi" w:hAnsiTheme="minorHAnsi"/>
        <w:sz w:val="22"/>
      </w:rPr>
      <w:t xml:space="preserve"> </w:t>
    </w:r>
    <w:r w:rsidR="00B81617">
      <w:rPr>
        <w:rFonts w:asciiTheme="minorHAnsi" w:hAnsiTheme="minorHAnsi"/>
        <w:sz w:val="22"/>
      </w:rPr>
      <w:t>9</w:t>
    </w:r>
    <w:r w:rsidRPr="00652077">
      <w:rPr>
        <w:rFonts w:asciiTheme="minorHAnsi" w:hAnsiTheme="minorHAnsi"/>
        <w:sz w:val="22"/>
        <w:vertAlign w:val="superscript"/>
      </w:rPr>
      <w:t>th</w:t>
    </w:r>
    <w:r>
      <w:rPr>
        <w:rFonts w:asciiTheme="minorHAnsi" w:hAnsiTheme="minorHAnsi"/>
        <w:sz w:val="22"/>
      </w:rPr>
      <w:t xml:space="preserve"> January 2019</w:t>
    </w:r>
    <w:r w:rsidRPr="002C5000">
      <w:rPr>
        <w:rFonts w:asciiTheme="minorHAnsi" w:hAnsiTheme="minorHAnsi"/>
        <w:sz w:val="22"/>
      </w:rPr>
      <w:t xml:space="preserve"> (v</w:t>
    </w:r>
    <w:r>
      <w:rPr>
        <w:rFonts w:asciiTheme="minorHAnsi" w:hAnsiTheme="minorHAnsi"/>
        <w:sz w:val="22"/>
      </w:rPr>
      <w:t>.</w:t>
    </w:r>
    <w:r w:rsidR="00B81617">
      <w:rPr>
        <w:rFonts w:asciiTheme="minorHAnsi" w:hAnsiTheme="minorHAnsi"/>
        <w:sz w:val="22"/>
      </w:rPr>
      <w:t>6</w:t>
    </w:r>
    <w:r w:rsidRPr="002C5000">
      <w:rPr>
        <w:rFonts w:asciiTheme="minorHAnsi" w:hAnsiTheme="minorHAnsi"/>
        <w:sz w:val="22"/>
      </w:rPr>
      <w:t>)</w:t>
    </w:r>
  </w:p>
  <w:p w14:paraId="28F4AE91" w14:textId="77777777" w:rsidR="00E951F2" w:rsidRDefault="00E951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D3D69"/>
    <w:multiLevelType w:val="hybridMultilevel"/>
    <w:tmpl w:val="01D8F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0061B3"/>
    <w:multiLevelType w:val="hybridMultilevel"/>
    <w:tmpl w:val="AF642C04"/>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1B618A"/>
    <w:multiLevelType w:val="hybridMultilevel"/>
    <w:tmpl w:val="54ACB2DE"/>
    <w:lvl w:ilvl="0" w:tplc="862E0F06">
      <w:start w:val="1"/>
      <w:numFmt w:val="bullet"/>
      <w:lvlText w:val="•"/>
      <w:lvlJc w:val="left"/>
      <w:pPr>
        <w:tabs>
          <w:tab w:val="num" w:pos="720"/>
        </w:tabs>
        <w:ind w:left="720" w:hanging="360"/>
      </w:pPr>
      <w:rPr>
        <w:rFonts w:ascii="Arial" w:hAnsi="Arial" w:hint="default"/>
      </w:rPr>
    </w:lvl>
    <w:lvl w:ilvl="1" w:tplc="CA68A1F0" w:tentative="1">
      <w:start w:val="1"/>
      <w:numFmt w:val="bullet"/>
      <w:lvlText w:val="•"/>
      <w:lvlJc w:val="left"/>
      <w:pPr>
        <w:tabs>
          <w:tab w:val="num" w:pos="1440"/>
        </w:tabs>
        <w:ind w:left="1440" w:hanging="360"/>
      </w:pPr>
      <w:rPr>
        <w:rFonts w:ascii="Arial" w:hAnsi="Arial" w:hint="default"/>
      </w:rPr>
    </w:lvl>
    <w:lvl w:ilvl="2" w:tplc="FA6A692E" w:tentative="1">
      <w:start w:val="1"/>
      <w:numFmt w:val="bullet"/>
      <w:lvlText w:val="•"/>
      <w:lvlJc w:val="left"/>
      <w:pPr>
        <w:tabs>
          <w:tab w:val="num" w:pos="2160"/>
        </w:tabs>
        <w:ind w:left="2160" w:hanging="360"/>
      </w:pPr>
      <w:rPr>
        <w:rFonts w:ascii="Arial" w:hAnsi="Arial" w:hint="default"/>
      </w:rPr>
    </w:lvl>
    <w:lvl w:ilvl="3" w:tplc="92DC8FD8" w:tentative="1">
      <w:start w:val="1"/>
      <w:numFmt w:val="bullet"/>
      <w:lvlText w:val="•"/>
      <w:lvlJc w:val="left"/>
      <w:pPr>
        <w:tabs>
          <w:tab w:val="num" w:pos="2880"/>
        </w:tabs>
        <w:ind w:left="2880" w:hanging="360"/>
      </w:pPr>
      <w:rPr>
        <w:rFonts w:ascii="Arial" w:hAnsi="Arial" w:hint="default"/>
      </w:rPr>
    </w:lvl>
    <w:lvl w:ilvl="4" w:tplc="D8A83B0E" w:tentative="1">
      <w:start w:val="1"/>
      <w:numFmt w:val="bullet"/>
      <w:lvlText w:val="•"/>
      <w:lvlJc w:val="left"/>
      <w:pPr>
        <w:tabs>
          <w:tab w:val="num" w:pos="3600"/>
        </w:tabs>
        <w:ind w:left="3600" w:hanging="360"/>
      </w:pPr>
      <w:rPr>
        <w:rFonts w:ascii="Arial" w:hAnsi="Arial" w:hint="default"/>
      </w:rPr>
    </w:lvl>
    <w:lvl w:ilvl="5" w:tplc="FF5C15BC" w:tentative="1">
      <w:start w:val="1"/>
      <w:numFmt w:val="bullet"/>
      <w:lvlText w:val="•"/>
      <w:lvlJc w:val="left"/>
      <w:pPr>
        <w:tabs>
          <w:tab w:val="num" w:pos="4320"/>
        </w:tabs>
        <w:ind w:left="4320" w:hanging="360"/>
      </w:pPr>
      <w:rPr>
        <w:rFonts w:ascii="Arial" w:hAnsi="Arial" w:hint="default"/>
      </w:rPr>
    </w:lvl>
    <w:lvl w:ilvl="6" w:tplc="3E54853C" w:tentative="1">
      <w:start w:val="1"/>
      <w:numFmt w:val="bullet"/>
      <w:lvlText w:val="•"/>
      <w:lvlJc w:val="left"/>
      <w:pPr>
        <w:tabs>
          <w:tab w:val="num" w:pos="5040"/>
        </w:tabs>
        <w:ind w:left="5040" w:hanging="360"/>
      </w:pPr>
      <w:rPr>
        <w:rFonts w:ascii="Arial" w:hAnsi="Arial" w:hint="default"/>
      </w:rPr>
    </w:lvl>
    <w:lvl w:ilvl="7" w:tplc="C19C323C" w:tentative="1">
      <w:start w:val="1"/>
      <w:numFmt w:val="bullet"/>
      <w:lvlText w:val="•"/>
      <w:lvlJc w:val="left"/>
      <w:pPr>
        <w:tabs>
          <w:tab w:val="num" w:pos="5760"/>
        </w:tabs>
        <w:ind w:left="5760" w:hanging="360"/>
      </w:pPr>
      <w:rPr>
        <w:rFonts w:ascii="Arial" w:hAnsi="Arial" w:hint="default"/>
      </w:rPr>
    </w:lvl>
    <w:lvl w:ilvl="8" w:tplc="758E60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31284A"/>
    <w:multiLevelType w:val="hybridMultilevel"/>
    <w:tmpl w:val="9AB20DCA"/>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FB5320"/>
    <w:multiLevelType w:val="hybridMultilevel"/>
    <w:tmpl w:val="6E841BCC"/>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9B34C0D"/>
    <w:multiLevelType w:val="hybridMultilevel"/>
    <w:tmpl w:val="D19CFD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400DB"/>
    <w:multiLevelType w:val="hybridMultilevel"/>
    <w:tmpl w:val="6464C264"/>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A67545"/>
    <w:multiLevelType w:val="hybridMultilevel"/>
    <w:tmpl w:val="7494C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E37314"/>
    <w:multiLevelType w:val="hybridMultilevel"/>
    <w:tmpl w:val="9E10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FB21A5"/>
    <w:multiLevelType w:val="hybridMultilevel"/>
    <w:tmpl w:val="10EEDE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0233C5"/>
    <w:multiLevelType w:val="hybridMultilevel"/>
    <w:tmpl w:val="A1A26F5E"/>
    <w:lvl w:ilvl="0" w:tplc="F762156E">
      <w:start w:val="1"/>
      <w:numFmt w:val="bullet"/>
      <w:lvlText w:val="•"/>
      <w:lvlJc w:val="left"/>
      <w:pPr>
        <w:tabs>
          <w:tab w:val="num" w:pos="720"/>
        </w:tabs>
        <w:ind w:left="720" w:hanging="360"/>
      </w:pPr>
      <w:rPr>
        <w:rFonts w:ascii="Arial" w:hAnsi="Arial" w:hint="default"/>
      </w:rPr>
    </w:lvl>
    <w:lvl w:ilvl="1" w:tplc="A25E8E74" w:tentative="1">
      <w:start w:val="1"/>
      <w:numFmt w:val="bullet"/>
      <w:lvlText w:val="•"/>
      <w:lvlJc w:val="left"/>
      <w:pPr>
        <w:tabs>
          <w:tab w:val="num" w:pos="1440"/>
        </w:tabs>
        <w:ind w:left="1440" w:hanging="360"/>
      </w:pPr>
      <w:rPr>
        <w:rFonts w:ascii="Arial" w:hAnsi="Arial" w:hint="default"/>
      </w:rPr>
    </w:lvl>
    <w:lvl w:ilvl="2" w:tplc="898C5E2A" w:tentative="1">
      <w:start w:val="1"/>
      <w:numFmt w:val="bullet"/>
      <w:lvlText w:val="•"/>
      <w:lvlJc w:val="left"/>
      <w:pPr>
        <w:tabs>
          <w:tab w:val="num" w:pos="2160"/>
        </w:tabs>
        <w:ind w:left="2160" w:hanging="360"/>
      </w:pPr>
      <w:rPr>
        <w:rFonts w:ascii="Arial" w:hAnsi="Arial" w:hint="default"/>
      </w:rPr>
    </w:lvl>
    <w:lvl w:ilvl="3" w:tplc="E59A023A" w:tentative="1">
      <w:start w:val="1"/>
      <w:numFmt w:val="bullet"/>
      <w:lvlText w:val="•"/>
      <w:lvlJc w:val="left"/>
      <w:pPr>
        <w:tabs>
          <w:tab w:val="num" w:pos="2880"/>
        </w:tabs>
        <w:ind w:left="2880" w:hanging="360"/>
      </w:pPr>
      <w:rPr>
        <w:rFonts w:ascii="Arial" w:hAnsi="Arial" w:hint="default"/>
      </w:rPr>
    </w:lvl>
    <w:lvl w:ilvl="4" w:tplc="CCAECDD8" w:tentative="1">
      <w:start w:val="1"/>
      <w:numFmt w:val="bullet"/>
      <w:lvlText w:val="•"/>
      <w:lvlJc w:val="left"/>
      <w:pPr>
        <w:tabs>
          <w:tab w:val="num" w:pos="3600"/>
        </w:tabs>
        <w:ind w:left="3600" w:hanging="360"/>
      </w:pPr>
      <w:rPr>
        <w:rFonts w:ascii="Arial" w:hAnsi="Arial" w:hint="default"/>
      </w:rPr>
    </w:lvl>
    <w:lvl w:ilvl="5" w:tplc="8F7AC16E" w:tentative="1">
      <w:start w:val="1"/>
      <w:numFmt w:val="bullet"/>
      <w:lvlText w:val="•"/>
      <w:lvlJc w:val="left"/>
      <w:pPr>
        <w:tabs>
          <w:tab w:val="num" w:pos="4320"/>
        </w:tabs>
        <w:ind w:left="4320" w:hanging="360"/>
      </w:pPr>
      <w:rPr>
        <w:rFonts w:ascii="Arial" w:hAnsi="Arial" w:hint="default"/>
      </w:rPr>
    </w:lvl>
    <w:lvl w:ilvl="6" w:tplc="2284A9F0" w:tentative="1">
      <w:start w:val="1"/>
      <w:numFmt w:val="bullet"/>
      <w:lvlText w:val="•"/>
      <w:lvlJc w:val="left"/>
      <w:pPr>
        <w:tabs>
          <w:tab w:val="num" w:pos="5040"/>
        </w:tabs>
        <w:ind w:left="5040" w:hanging="360"/>
      </w:pPr>
      <w:rPr>
        <w:rFonts w:ascii="Arial" w:hAnsi="Arial" w:hint="default"/>
      </w:rPr>
    </w:lvl>
    <w:lvl w:ilvl="7" w:tplc="0A42F628" w:tentative="1">
      <w:start w:val="1"/>
      <w:numFmt w:val="bullet"/>
      <w:lvlText w:val="•"/>
      <w:lvlJc w:val="left"/>
      <w:pPr>
        <w:tabs>
          <w:tab w:val="num" w:pos="5760"/>
        </w:tabs>
        <w:ind w:left="5760" w:hanging="360"/>
      </w:pPr>
      <w:rPr>
        <w:rFonts w:ascii="Arial" w:hAnsi="Arial" w:hint="default"/>
      </w:rPr>
    </w:lvl>
    <w:lvl w:ilvl="8" w:tplc="095442F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2481EFD"/>
    <w:multiLevelType w:val="hybridMultilevel"/>
    <w:tmpl w:val="E98C249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4462ABC"/>
    <w:multiLevelType w:val="hybridMultilevel"/>
    <w:tmpl w:val="4F863FAC"/>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DB87D9E"/>
    <w:multiLevelType w:val="hybridMultilevel"/>
    <w:tmpl w:val="E8B298F4"/>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F527B91"/>
    <w:multiLevelType w:val="hybridMultilevel"/>
    <w:tmpl w:val="94005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87E35"/>
    <w:multiLevelType w:val="multilevel"/>
    <w:tmpl w:val="F83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3A07ED"/>
    <w:multiLevelType w:val="hybridMultilevel"/>
    <w:tmpl w:val="8D6E303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4174DBE"/>
    <w:multiLevelType w:val="hybridMultilevel"/>
    <w:tmpl w:val="6A827CB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09E2568"/>
    <w:multiLevelType w:val="hybridMultilevel"/>
    <w:tmpl w:val="70D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60203E"/>
    <w:multiLevelType w:val="hybridMultilevel"/>
    <w:tmpl w:val="99BC47F6"/>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5A4958"/>
    <w:multiLevelType w:val="multilevel"/>
    <w:tmpl w:val="CE4C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4"/>
  </w:num>
  <w:num w:numId="4">
    <w:abstractNumId w:val="13"/>
  </w:num>
  <w:num w:numId="5">
    <w:abstractNumId w:val="1"/>
  </w:num>
  <w:num w:numId="6">
    <w:abstractNumId w:val="19"/>
  </w:num>
  <w:num w:numId="7">
    <w:abstractNumId w:val="11"/>
  </w:num>
  <w:num w:numId="8">
    <w:abstractNumId w:val="12"/>
  </w:num>
  <w:num w:numId="9">
    <w:abstractNumId w:val="0"/>
  </w:num>
  <w:num w:numId="10">
    <w:abstractNumId w:val="9"/>
  </w:num>
  <w:num w:numId="11">
    <w:abstractNumId w:val="2"/>
  </w:num>
  <w:num w:numId="12">
    <w:abstractNumId w:val="14"/>
  </w:num>
  <w:num w:numId="13">
    <w:abstractNumId w:val="10"/>
  </w:num>
  <w:num w:numId="14">
    <w:abstractNumId w:val="8"/>
  </w:num>
  <w:num w:numId="15">
    <w:abstractNumId w:val="15"/>
  </w:num>
  <w:num w:numId="16">
    <w:abstractNumId w:val="20"/>
  </w:num>
  <w:num w:numId="17">
    <w:abstractNumId w:val="5"/>
  </w:num>
  <w:num w:numId="18">
    <w:abstractNumId w:val="18"/>
  </w:num>
  <w:num w:numId="19">
    <w:abstractNumId w:val="7"/>
  </w:num>
  <w:num w:numId="20">
    <w:abstractNumId w:val="6"/>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nda Fenton">
    <w15:presenceInfo w15:providerId="AD" w15:userId="S-1-5-21-715991605-1245273282-14044502-307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numFmt w:val="lowerLette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78"/>
    <w:rsid w:val="00003FCE"/>
    <w:rsid w:val="00016FC7"/>
    <w:rsid w:val="00024841"/>
    <w:rsid w:val="00030E74"/>
    <w:rsid w:val="0003231D"/>
    <w:rsid w:val="000431DE"/>
    <w:rsid w:val="00045435"/>
    <w:rsid w:val="00046C73"/>
    <w:rsid w:val="000560D2"/>
    <w:rsid w:val="0006283B"/>
    <w:rsid w:val="00067492"/>
    <w:rsid w:val="000706BD"/>
    <w:rsid w:val="000712F8"/>
    <w:rsid w:val="000745F6"/>
    <w:rsid w:val="00092709"/>
    <w:rsid w:val="000B5054"/>
    <w:rsid w:val="000B77D5"/>
    <w:rsid w:val="000B7B14"/>
    <w:rsid w:val="000C6E95"/>
    <w:rsid w:val="000C6EB6"/>
    <w:rsid w:val="000D6AA2"/>
    <w:rsid w:val="000E137D"/>
    <w:rsid w:val="000E4988"/>
    <w:rsid w:val="000F1FFF"/>
    <w:rsid w:val="00105890"/>
    <w:rsid w:val="0010680F"/>
    <w:rsid w:val="00106EF1"/>
    <w:rsid w:val="00112265"/>
    <w:rsid w:val="001145D8"/>
    <w:rsid w:val="00120525"/>
    <w:rsid w:val="00123ADC"/>
    <w:rsid w:val="00125C55"/>
    <w:rsid w:val="0013180F"/>
    <w:rsid w:val="00140405"/>
    <w:rsid w:val="00144B54"/>
    <w:rsid w:val="001675F3"/>
    <w:rsid w:val="00172860"/>
    <w:rsid w:val="001729BB"/>
    <w:rsid w:val="00175C38"/>
    <w:rsid w:val="00186039"/>
    <w:rsid w:val="00193FA8"/>
    <w:rsid w:val="001A170A"/>
    <w:rsid w:val="001A496F"/>
    <w:rsid w:val="001B1027"/>
    <w:rsid w:val="001B795D"/>
    <w:rsid w:val="001C3F38"/>
    <w:rsid w:val="001C7B75"/>
    <w:rsid w:val="001D1890"/>
    <w:rsid w:val="001E32DE"/>
    <w:rsid w:val="001E602B"/>
    <w:rsid w:val="001E6745"/>
    <w:rsid w:val="001F731E"/>
    <w:rsid w:val="00211339"/>
    <w:rsid w:val="00211922"/>
    <w:rsid w:val="002152CF"/>
    <w:rsid w:val="00227009"/>
    <w:rsid w:val="00233420"/>
    <w:rsid w:val="00241C5B"/>
    <w:rsid w:val="00244AF4"/>
    <w:rsid w:val="00252569"/>
    <w:rsid w:val="00265062"/>
    <w:rsid w:val="00281943"/>
    <w:rsid w:val="0028266F"/>
    <w:rsid w:val="00290D81"/>
    <w:rsid w:val="002A45C3"/>
    <w:rsid w:val="002B4F7B"/>
    <w:rsid w:val="002C5000"/>
    <w:rsid w:val="002C5F99"/>
    <w:rsid w:val="002D1027"/>
    <w:rsid w:val="002D6BBA"/>
    <w:rsid w:val="002E2303"/>
    <w:rsid w:val="002E63B4"/>
    <w:rsid w:val="002E6736"/>
    <w:rsid w:val="002F0D86"/>
    <w:rsid w:val="002F5F24"/>
    <w:rsid w:val="00305888"/>
    <w:rsid w:val="00307C29"/>
    <w:rsid w:val="00315924"/>
    <w:rsid w:val="00315BCA"/>
    <w:rsid w:val="003347DA"/>
    <w:rsid w:val="0033754D"/>
    <w:rsid w:val="00347701"/>
    <w:rsid w:val="00352307"/>
    <w:rsid w:val="0035437C"/>
    <w:rsid w:val="00373171"/>
    <w:rsid w:val="00373501"/>
    <w:rsid w:val="003768BB"/>
    <w:rsid w:val="0038233D"/>
    <w:rsid w:val="00382649"/>
    <w:rsid w:val="00384CBE"/>
    <w:rsid w:val="00391899"/>
    <w:rsid w:val="003921AA"/>
    <w:rsid w:val="003A1B0D"/>
    <w:rsid w:val="003B6C93"/>
    <w:rsid w:val="003C4E7C"/>
    <w:rsid w:val="003C5ECF"/>
    <w:rsid w:val="003D60FF"/>
    <w:rsid w:val="003E33A5"/>
    <w:rsid w:val="003F037A"/>
    <w:rsid w:val="00400414"/>
    <w:rsid w:val="00401669"/>
    <w:rsid w:val="00401805"/>
    <w:rsid w:val="00401B91"/>
    <w:rsid w:val="00420325"/>
    <w:rsid w:val="00427A1A"/>
    <w:rsid w:val="0043239C"/>
    <w:rsid w:val="00434022"/>
    <w:rsid w:val="004437CB"/>
    <w:rsid w:val="0046387F"/>
    <w:rsid w:val="004706FE"/>
    <w:rsid w:val="0047173A"/>
    <w:rsid w:val="00481C64"/>
    <w:rsid w:val="0048525F"/>
    <w:rsid w:val="00495A63"/>
    <w:rsid w:val="00497670"/>
    <w:rsid w:val="004A101F"/>
    <w:rsid w:val="004B30D0"/>
    <w:rsid w:val="004C37EE"/>
    <w:rsid w:val="004C4CFB"/>
    <w:rsid w:val="004C53E1"/>
    <w:rsid w:val="004D0601"/>
    <w:rsid w:val="004D4C12"/>
    <w:rsid w:val="004E04EF"/>
    <w:rsid w:val="004E5E5E"/>
    <w:rsid w:val="004F2015"/>
    <w:rsid w:val="00505672"/>
    <w:rsid w:val="00505C29"/>
    <w:rsid w:val="00510388"/>
    <w:rsid w:val="00515FE4"/>
    <w:rsid w:val="00520497"/>
    <w:rsid w:val="0052739D"/>
    <w:rsid w:val="00546CD5"/>
    <w:rsid w:val="00552E7C"/>
    <w:rsid w:val="0056196C"/>
    <w:rsid w:val="00562226"/>
    <w:rsid w:val="0056720F"/>
    <w:rsid w:val="00576668"/>
    <w:rsid w:val="00580A18"/>
    <w:rsid w:val="0058767C"/>
    <w:rsid w:val="00591CB9"/>
    <w:rsid w:val="005B1D78"/>
    <w:rsid w:val="005B4F44"/>
    <w:rsid w:val="005C0D9C"/>
    <w:rsid w:val="005C59C3"/>
    <w:rsid w:val="005C780D"/>
    <w:rsid w:val="005D5A5A"/>
    <w:rsid w:val="005D76FF"/>
    <w:rsid w:val="00611FFA"/>
    <w:rsid w:val="0061235E"/>
    <w:rsid w:val="00613A14"/>
    <w:rsid w:val="00615136"/>
    <w:rsid w:val="0062001C"/>
    <w:rsid w:val="0062144C"/>
    <w:rsid w:val="00634A23"/>
    <w:rsid w:val="00652077"/>
    <w:rsid w:val="006602F3"/>
    <w:rsid w:val="00664ABC"/>
    <w:rsid w:val="006712C0"/>
    <w:rsid w:val="0067785F"/>
    <w:rsid w:val="00681205"/>
    <w:rsid w:val="00682A29"/>
    <w:rsid w:val="00686DE9"/>
    <w:rsid w:val="0069548C"/>
    <w:rsid w:val="006979F9"/>
    <w:rsid w:val="006C0691"/>
    <w:rsid w:val="006C18D4"/>
    <w:rsid w:val="006C3EFA"/>
    <w:rsid w:val="006D124E"/>
    <w:rsid w:val="006E29B4"/>
    <w:rsid w:val="006E7462"/>
    <w:rsid w:val="006F38EC"/>
    <w:rsid w:val="00704FED"/>
    <w:rsid w:val="00714FEC"/>
    <w:rsid w:val="00720A61"/>
    <w:rsid w:val="00723AFA"/>
    <w:rsid w:val="00730209"/>
    <w:rsid w:val="00730A92"/>
    <w:rsid w:val="00741639"/>
    <w:rsid w:val="007459AB"/>
    <w:rsid w:val="00746ABA"/>
    <w:rsid w:val="0075429A"/>
    <w:rsid w:val="00766141"/>
    <w:rsid w:val="00773551"/>
    <w:rsid w:val="007847AF"/>
    <w:rsid w:val="007A3FFC"/>
    <w:rsid w:val="007A67F6"/>
    <w:rsid w:val="007A7D51"/>
    <w:rsid w:val="007B058F"/>
    <w:rsid w:val="007B0966"/>
    <w:rsid w:val="007C4023"/>
    <w:rsid w:val="007C6298"/>
    <w:rsid w:val="007D59E6"/>
    <w:rsid w:val="007E4807"/>
    <w:rsid w:val="007E523B"/>
    <w:rsid w:val="007F3B5D"/>
    <w:rsid w:val="00800254"/>
    <w:rsid w:val="00801D27"/>
    <w:rsid w:val="008218E9"/>
    <w:rsid w:val="0082563B"/>
    <w:rsid w:val="00825D4A"/>
    <w:rsid w:val="008267FE"/>
    <w:rsid w:val="0083254D"/>
    <w:rsid w:val="00835EB3"/>
    <w:rsid w:val="0083639D"/>
    <w:rsid w:val="0084596C"/>
    <w:rsid w:val="00847BBF"/>
    <w:rsid w:val="008527EF"/>
    <w:rsid w:val="00866397"/>
    <w:rsid w:val="00872351"/>
    <w:rsid w:val="00873481"/>
    <w:rsid w:val="00875599"/>
    <w:rsid w:val="008808AC"/>
    <w:rsid w:val="0088559B"/>
    <w:rsid w:val="00885BCF"/>
    <w:rsid w:val="008915B5"/>
    <w:rsid w:val="00894CB7"/>
    <w:rsid w:val="008A047C"/>
    <w:rsid w:val="008A2B1A"/>
    <w:rsid w:val="008A43C1"/>
    <w:rsid w:val="008A477A"/>
    <w:rsid w:val="008B617D"/>
    <w:rsid w:val="00901272"/>
    <w:rsid w:val="00903E79"/>
    <w:rsid w:val="009136F0"/>
    <w:rsid w:val="00937026"/>
    <w:rsid w:val="00941DD7"/>
    <w:rsid w:val="00966018"/>
    <w:rsid w:val="00966306"/>
    <w:rsid w:val="0098337E"/>
    <w:rsid w:val="00985D0E"/>
    <w:rsid w:val="009C3577"/>
    <w:rsid w:val="009C4C6F"/>
    <w:rsid w:val="009D7E7F"/>
    <w:rsid w:val="009E3BB3"/>
    <w:rsid w:val="009E7C53"/>
    <w:rsid w:val="009F58EB"/>
    <w:rsid w:val="00A2409C"/>
    <w:rsid w:val="00A465E5"/>
    <w:rsid w:val="00A46C5D"/>
    <w:rsid w:val="00A51550"/>
    <w:rsid w:val="00A52013"/>
    <w:rsid w:val="00A529A8"/>
    <w:rsid w:val="00A53A66"/>
    <w:rsid w:val="00A64377"/>
    <w:rsid w:val="00A67482"/>
    <w:rsid w:val="00A72E61"/>
    <w:rsid w:val="00A72F88"/>
    <w:rsid w:val="00A7442F"/>
    <w:rsid w:val="00A77C1D"/>
    <w:rsid w:val="00A823B6"/>
    <w:rsid w:val="00AA0A73"/>
    <w:rsid w:val="00AB0529"/>
    <w:rsid w:val="00AB6DFC"/>
    <w:rsid w:val="00AC24FF"/>
    <w:rsid w:val="00AC7878"/>
    <w:rsid w:val="00AF2006"/>
    <w:rsid w:val="00B04874"/>
    <w:rsid w:val="00B06AEE"/>
    <w:rsid w:val="00B11AB0"/>
    <w:rsid w:val="00B1206B"/>
    <w:rsid w:val="00B15E40"/>
    <w:rsid w:val="00B366F3"/>
    <w:rsid w:val="00B51E30"/>
    <w:rsid w:val="00B53D15"/>
    <w:rsid w:val="00B5682F"/>
    <w:rsid w:val="00B64DA3"/>
    <w:rsid w:val="00B6594E"/>
    <w:rsid w:val="00B76B10"/>
    <w:rsid w:val="00B81617"/>
    <w:rsid w:val="00B8717F"/>
    <w:rsid w:val="00B90251"/>
    <w:rsid w:val="00B91A75"/>
    <w:rsid w:val="00B92E49"/>
    <w:rsid w:val="00B94561"/>
    <w:rsid w:val="00BA08ED"/>
    <w:rsid w:val="00BA6AA1"/>
    <w:rsid w:val="00BB0209"/>
    <w:rsid w:val="00BB1323"/>
    <w:rsid w:val="00BB5978"/>
    <w:rsid w:val="00BC3715"/>
    <w:rsid w:val="00BF3F19"/>
    <w:rsid w:val="00C01689"/>
    <w:rsid w:val="00C059A2"/>
    <w:rsid w:val="00C27630"/>
    <w:rsid w:val="00C3025E"/>
    <w:rsid w:val="00C3298A"/>
    <w:rsid w:val="00C4002B"/>
    <w:rsid w:val="00C40C8E"/>
    <w:rsid w:val="00C4171C"/>
    <w:rsid w:val="00C429D9"/>
    <w:rsid w:val="00C43706"/>
    <w:rsid w:val="00C4703F"/>
    <w:rsid w:val="00C564DC"/>
    <w:rsid w:val="00C60191"/>
    <w:rsid w:val="00C70481"/>
    <w:rsid w:val="00C81746"/>
    <w:rsid w:val="00C82A3A"/>
    <w:rsid w:val="00C92C4A"/>
    <w:rsid w:val="00C94073"/>
    <w:rsid w:val="00C94B09"/>
    <w:rsid w:val="00C953BE"/>
    <w:rsid w:val="00CA1891"/>
    <w:rsid w:val="00CA7940"/>
    <w:rsid w:val="00CC4236"/>
    <w:rsid w:val="00CD1081"/>
    <w:rsid w:val="00CD6ACB"/>
    <w:rsid w:val="00CE1BD4"/>
    <w:rsid w:val="00CE2652"/>
    <w:rsid w:val="00CE448B"/>
    <w:rsid w:val="00CE5C70"/>
    <w:rsid w:val="00CF26A5"/>
    <w:rsid w:val="00D06666"/>
    <w:rsid w:val="00D1284E"/>
    <w:rsid w:val="00D22B96"/>
    <w:rsid w:val="00D279C4"/>
    <w:rsid w:val="00D37799"/>
    <w:rsid w:val="00D41D62"/>
    <w:rsid w:val="00D434C4"/>
    <w:rsid w:val="00D53106"/>
    <w:rsid w:val="00D6270A"/>
    <w:rsid w:val="00D86485"/>
    <w:rsid w:val="00D90695"/>
    <w:rsid w:val="00D9169A"/>
    <w:rsid w:val="00D92ECA"/>
    <w:rsid w:val="00D972DE"/>
    <w:rsid w:val="00DA1227"/>
    <w:rsid w:val="00DA1F47"/>
    <w:rsid w:val="00DD0184"/>
    <w:rsid w:val="00DD14EA"/>
    <w:rsid w:val="00DD36B1"/>
    <w:rsid w:val="00DE00BD"/>
    <w:rsid w:val="00DE193A"/>
    <w:rsid w:val="00DE54F8"/>
    <w:rsid w:val="00DE7C98"/>
    <w:rsid w:val="00DF336A"/>
    <w:rsid w:val="00DF67F0"/>
    <w:rsid w:val="00DF6EDB"/>
    <w:rsid w:val="00E15B8E"/>
    <w:rsid w:val="00E16CCF"/>
    <w:rsid w:val="00E24C80"/>
    <w:rsid w:val="00E260D2"/>
    <w:rsid w:val="00E26915"/>
    <w:rsid w:val="00E44A15"/>
    <w:rsid w:val="00E47319"/>
    <w:rsid w:val="00E600FD"/>
    <w:rsid w:val="00E728F7"/>
    <w:rsid w:val="00E73D3B"/>
    <w:rsid w:val="00E91614"/>
    <w:rsid w:val="00E91886"/>
    <w:rsid w:val="00E91D77"/>
    <w:rsid w:val="00E9200E"/>
    <w:rsid w:val="00E951F2"/>
    <w:rsid w:val="00EA29C9"/>
    <w:rsid w:val="00EB028A"/>
    <w:rsid w:val="00ED005B"/>
    <w:rsid w:val="00EE0C00"/>
    <w:rsid w:val="00EE3BEC"/>
    <w:rsid w:val="00F16BE1"/>
    <w:rsid w:val="00F17A93"/>
    <w:rsid w:val="00F30961"/>
    <w:rsid w:val="00F4188C"/>
    <w:rsid w:val="00F42410"/>
    <w:rsid w:val="00F42FC0"/>
    <w:rsid w:val="00F50D1F"/>
    <w:rsid w:val="00F52598"/>
    <w:rsid w:val="00F5752F"/>
    <w:rsid w:val="00F73074"/>
    <w:rsid w:val="00F75E0D"/>
    <w:rsid w:val="00F76F61"/>
    <w:rsid w:val="00F7787B"/>
    <w:rsid w:val="00F8150B"/>
    <w:rsid w:val="00F87672"/>
    <w:rsid w:val="00F877BE"/>
    <w:rsid w:val="00FA02F9"/>
    <w:rsid w:val="00FA6955"/>
    <w:rsid w:val="00FB7FD0"/>
    <w:rsid w:val="00FC2CF9"/>
    <w:rsid w:val="00FC3F94"/>
    <w:rsid w:val="00FD25C2"/>
    <w:rsid w:val="00FD32F6"/>
    <w:rsid w:val="00FD4F58"/>
    <w:rsid w:val="00FE14EB"/>
    <w:rsid w:val="00FF20BE"/>
    <w:rsid w:val="00FF3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CB06A"/>
  <w15:docId w15:val="{214A90AF-6B15-4605-B05F-3B9DEA58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3EFA"/>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244AF4"/>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73481"/>
    <w:pPr>
      <w:spacing w:line="240" w:lineRule="auto"/>
    </w:pPr>
    <w:rPr>
      <w:sz w:val="40"/>
    </w:rPr>
  </w:style>
  <w:style w:type="character" w:customStyle="1" w:styleId="AheadChar">
    <w:name w:val="A head Char"/>
    <w:basedOn w:val="DefaultParagraphFont"/>
    <w:link w:val="Ahead"/>
    <w:rsid w:val="00873481"/>
    <w:rPr>
      <w:rFonts w:ascii="Arial" w:eastAsiaTheme="minorHAnsi" w:hAnsi="Arial" w:cs="Arial"/>
      <w:b/>
      <w:sz w:val="40"/>
      <w:szCs w:val="24"/>
    </w:rPr>
  </w:style>
  <w:style w:type="paragraph" w:customStyle="1" w:styleId="Bhead">
    <w:name w:val="B head"/>
    <w:basedOn w:val="Ahead"/>
    <w:next w:val="Normal"/>
    <w:link w:val="BheadChar"/>
    <w:qFormat/>
    <w:rsid w:val="00873481"/>
    <w:rPr>
      <w:rFonts w:eastAsia="Cambria"/>
      <w:sz w:val="32"/>
    </w:rPr>
  </w:style>
  <w:style w:type="character" w:customStyle="1" w:styleId="BheadChar">
    <w:name w:val="B head Char"/>
    <w:basedOn w:val="DefaultParagraphFont"/>
    <w:link w:val="Bhead"/>
    <w:rsid w:val="00873481"/>
    <w:rPr>
      <w:rFonts w:ascii="Arial" w:eastAsia="Cambria" w:hAnsi="Arial" w:cs="Arial"/>
      <w:b/>
      <w:sz w:val="32"/>
      <w:szCs w:val="24"/>
    </w:rPr>
  </w:style>
  <w:style w:type="character" w:customStyle="1" w:styleId="Bodytextbold">
    <w:name w:val="Body text bold"/>
    <w:basedOn w:val="DefaultParagraphFont"/>
    <w:uiPriority w:val="1"/>
    <w:qFormat/>
    <w:rsid w:val="00681205"/>
    <w:rPr>
      <w:rFonts w:ascii="Arial" w:hAnsi="Arial"/>
      <w:b/>
      <w:sz w:val="24"/>
    </w:rPr>
  </w:style>
  <w:style w:type="character" w:customStyle="1" w:styleId="Bodytextitalic">
    <w:name w:val="Body text italic"/>
    <w:basedOn w:val="DefaultParagraphFont"/>
    <w:uiPriority w:val="1"/>
    <w:qFormat/>
    <w:rsid w:val="00681205"/>
    <w:rPr>
      <w:rFonts w:ascii="Arial" w:hAnsi="Arial"/>
      <w:i/>
      <w:sz w:val="24"/>
    </w:rPr>
  </w:style>
  <w:style w:type="paragraph" w:customStyle="1" w:styleId="BodyText1">
    <w:name w:val="Body Text1"/>
    <w:qFormat/>
    <w:rsid w:val="00873481"/>
    <w:pPr>
      <w:autoSpaceDE w:val="0"/>
      <w:autoSpaceDN w:val="0"/>
      <w:adjustRightInd w:val="0"/>
    </w:pPr>
    <w:rPr>
      <w:rFonts w:ascii="Arial" w:eastAsiaTheme="minorHAnsi" w:hAnsi="Arial" w:cs="Arial"/>
      <w:sz w:val="24"/>
      <w:szCs w:val="24"/>
    </w:rPr>
  </w:style>
  <w:style w:type="paragraph" w:customStyle="1" w:styleId="Bulletbodytext">
    <w:name w:val="Bullet body text"/>
    <w:basedOn w:val="BodyText1"/>
    <w:uiPriority w:val="99"/>
    <w:qFormat/>
    <w:rsid w:val="00244AF4"/>
    <w:pPr>
      <w:numPr>
        <w:numId w:val="1"/>
      </w:numPr>
    </w:pPr>
  </w:style>
  <w:style w:type="paragraph" w:customStyle="1" w:styleId="Chead">
    <w:name w:val="C head"/>
    <w:basedOn w:val="Bhead"/>
    <w:next w:val="Normal"/>
    <w:link w:val="CheadChar"/>
    <w:qFormat/>
    <w:rsid w:val="00873481"/>
    <w:rPr>
      <w:sz w:val="28"/>
    </w:rPr>
  </w:style>
  <w:style w:type="character" w:customStyle="1" w:styleId="CheadChar">
    <w:name w:val="C head Char"/>
    <w:basedOn w:val="DefaultParagraphFont"/>
    <w:link w:val="Chead"/>
    <w:rsid w:val="00873481"/>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244AF4"/>
    <w:rPr>
      <w:rFonts w:ascii="Arial Narrow" w:eastAsia="Cambria" w:hAnsi="Arial Narrow" w:cs="Times New Roman"/>
      <w:sz w:val="28"/>
    </w:rPr>
  </w:style>
  <w:style w:type="character" w:customStyle="1" w:styleId="CaptiontextChar">
    <w:name w:val="Caption text Char"/>
    <w:basedOn w:val="DefaultParagraphFont"/>
    <w:link w:val="Captiontext"/>
    <w:rsid w:val="00244AF4"/>
    <w:rPr>
      <w:rFonts w:ascii="Arial Narrow" w:eastAsia="Cambria" w:hAnsi="Arial Narrow"/>
      <w:sz w:val="28"/>
      <w:szCs w:val="24"/>
    </w:rPr>
  </w:style>
  <w:style w:type="paragraph" w:customStyle="1" w:styleId="Dhead">
    <w:name w:val="D head"/>
    <w:basedOn w:val="Chead"/>
    <w:next w:val="BodyText1"/>
    <w:link w:val="DheadChar"/>
    <w:qFormat/>
    <w:rsid w:val="00873481"/>
    <w:rPr>
      <w:rFonts w:cs="Times New Roman"/>
      <w:b w:val="0"/>
    </w:rPr>
  </w:style>
  <w:style w:type="character" w:customStyle="1" w:styleId="DheadChar">
    <w:name w:val="D head Char"/>
    <w:basedOn w:val="DefaultParagraphFont"/>
    <w:link w:val="Dhead"/>
    <w:rsid w:val="00873481"/>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244AF4"/>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244AF4"/>
    <w:pPr>
      <w:numPr>
        <w:numId w:val="2"/>
      </w:numPr>
    </w:pPr>
  </w:style>
  <w:style w:type="paragraph" w:customStyle="1" w:styleId="Quotetext">
    <w:name w:val="Quote text"/>
    <w:basedOn w:val="BodyText1"/>
    <w:qFormat/>
    <w:rsid w:val="00681205"/>
    <w:pPr>
      <w:ind w:left="480"/>
    </w:pPr>
    <w:rPr>
      <w:sz w:val="26"/>
    </w:rPr>
  </w:style>
  <w:style w:type="paragraph" w:customStyle="1" w:styleId="Quotesource">
    <w:name w:val="Quote source"/>
    <w:basedOn w:val="Quotetext"/>
    <w:next w:val="BodyText1"/>
    <w:qFormat/>
    <w:rsid w:val="00681205"/>
    <w:rPr>
      <w:rFonts w:ascii="Arial Narrow" w:hAnsi="Arial Narrow"/>
      <w:sz w:val="24"/>
    </w:rPr>
  </w:style>
  <w:style w:type="paragraph" w:customStyle="1" w:styleId="Sub-bulletbodytext">
    <w:name w:val="Sub-bullet body text"/>
    <w:basedOn w:val="Bulletbodytext"/>
    <w:uiPriority w:val="99"/>
    <w:qFormat/>
    <w:rsid w:val="00244AF4"/>
    <w:pPr>
      <w:numPr>
        <w:numId w:val="3"/>
      </w:numPr>
    </w:pPr>
  </w:style>
  <w:style w:type="paragraph" w:customStyle="1" w:styleId="Sub-numberedbodytext">
    <w:name w:val="Sub-numbered body text"/>
    <w:basedOn w:val="Numberedbodytext"/>
    <w:uiPriority w:val="99"/>
    <w:qFormat/>
    <w:rsid w:val="00244AF4"/>
    <w:pPr>
      <w:numPr>
        <w:numId w:val="4"/>
      </w:numPr>
    </w:pPr>
  </w:style>
  <w:style w:type="paragraph" w:customStyle="1" w:styleId="TableAhead">
    <w:name w:val="Table A head"/>
    <w:basedOn w:val="Bhead"/>
    <w:uiPriority w:val="99"/>
    <w:qFormat/>
    <w:rsid w:val="00244AF4"/>
    <w:pPr>
      <w:spacing w:before="440"/>
    </w:pPr>
    <w:rPr>
      <w:b w:val="0"/>
    </w:rPr>
  </w:style>
  <w:style w:type="paragraph" w:customStyle="1" w:styleId="Tablebodytext">
    <w:name w:val="Table body text"/>
    <w:basedOn w:val="BodyText1"/>
    <w:uiPriority w:val="99"/>
    <w:qFormat/>
    <w:rsid w:val="00681205"/>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244AF4"/>
    <w:pPr>
      <w:numPr>
        <w:numId w:val="5"/>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244AF4"/>
    <w:pPr>
      <w:numPr>
        <w:numId w:val="6"/>
      </w:numPr>
    </w:pPr>
  </w:style>
  <w:style w:type="paragraph" w:customStyle="1" w:styleId="Tablesub-bullettext">
    <w:name w:val="Table sub-bullet text"/>
    <w:basedOn w:val="Tablebullettext"/>
    <w:uiPriority w:val="99"/>
    <w:qFormat/>
    <w:rsid w:val="00244AF4"/>
    <w:pPr>
      <w:numPr>
        <w:numId w:val="7"/>
      </w:numPr>
    </w:pPr>
  </w:style>
  <w:style w:type="paragraph" w:customStyle="1" w:styleId="Tablesub-numberedtext">
    <w:name w:val="Table sub-numbered text"/>
    <w:basedOn w:val="Tablenumberedtext"/>
    <w:uiPriority w:val="99"/>
    <w:qFormat/>
    <w:rsid w:val="00244AF4"/>
    <w:pPr>
      <w:numPr>
        <w:numId w:val="8"/>
      </w:numPr>
    </w:pPr>
  </w:style>
  <w:style w:type="paragraph" w:styleId="Header">
    <w:name w:val="header"/>
    <w:basedOn w:val="Normal"/>
    <w:link w:val="HeaderChar"/>
    <w:uiPriority w:val="99"/>
    <w:unhideWhenUsed/>
    <w:rsid w:val="00C01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689"/>
    <w:rPr>
      <w:rFonts w:ascii="Arial" w:hAnsi="Arial"/>
      <w:sz w:val="24"/>
      <w:szCs w:val="22"/>
      <w:lang w:eastAsia="en-US"/>
    </w:rPr>
  </w:style>
  <w:style w:type="table" w:styleId="TableGrid">
    <w:name w:val="Table Grid"/>
    <w:basedOn w:val="TableNormal"/>
    <w:rsid w:val="00C01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91CB9"/>
    <w:rPr>
      <w:sz w:val="16"/>
      <w:szCs w:val="16"/>
    </w:rPr>
  </w:style>
  <w:style w:type="paragraph" w:styleId="CommentText">
    <w:name w:val="annotation text"/>
    <w:basedOn w:val="Normal"/>
    <w:link w:val="CommentTextChar"/>
    <w:semiHidden/>
    <w:unhideWhenUsed/>
    <w:rsid w:val="00591CB9"/>
    <w:pPr>
      <w:spacing w:line="240" w:lineRule="auto"/>
    </w:pPr>
    <w:rPr>
      <w:sz w:val="20"/>
      <w:szCs w:val="20"/>
    </w:rPr>
  </w:style>
  <w:style w:type="character" w:customStyle="1" w:styleId="CommentTextChar">
    <w:name w:val="Comment Text Char"/>
    <w:basedOn w:val="DefaultParagraphFont"/>
    <w:link w:val="CommentText"/>
    <w:semiHidden/>
    <w:rsid w:val="00591CB9"/>
    <w:rPr>
      <w:rFonts w:ascii="Arial" w:hAnsi="Arial"/>
      <w:lang w:eastAsia="en-US"/>
    </w:rPr>
  </w:style>
  <w:style w:type="paragraph" w:styleId="CommentSubject">
    <w:name w:val="annotation subject"/>
    <w:basedOn w:val="CommentText"/>
    <w:next w:val="CommentText"/>
    <w:link w:val="CommentSubjectChar"/>
    <w:semiHidden/>
    <w:unhideWhenUsed/>
    <w:rsid w:val="00591CB9"/>
    <w:rPr>
      <w:b/>
      <w:bCs/>
    </w:rPr>
  </w:style>
  <w:style w:type="character" w:customStyle="1" w:styleId="CommentSubjectChar">
    <w:name w:val="Comment Subject Char"/>
    <w:basedOn w:val="CommentTextChar"/>
    <w:link w:val="CommentSubject"/>
    <w:semiHidden/>
    <w:rsid w:val="00591CB9"/>
    <w:rPr>
      <w:rFonts w:ascii="Arial" w:hAnsi="Arial"/>
      <w:b/>
      <w:bCs/>
      <w:lang w:eastAsia="en-US"/>
    </w:rPr>
  </w:style>
  <w:style w:type="paragraph" w:styleId="BalloonText">
    <w:name w:val="Balloon Text"/>
    <w:basedOn w:val="Normal"/>
    <w:link w:val="BalloonTextChar"/>
    <w:semiHidden/>
    <w:unhideWhenUsed/>
    <w:rsid w:val="0059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591CB9"/>
    <w:rPr>
      <w:rFonts w:ascii="Segoe UI" w:hAnsi="Segoe UI" w:cs="Segoe UI"/>
      <w:sz w:val="18"/>
      <w:szCs w:val="18"/>
      <w:lang w:eastAsia="en-US"/>
    </w:rPr>
  </w:style>
  <w:style w:type="paragraph" w:styleId="EndnoteText">
    <w:name w:val="endnote text"/>
    <w:basedOn w:val="Normal"/>
    <w:link w:val="EndnoteTextChar"/>
    <w:unhideWhenUsed/>
    <w:rsid w:val="00252569"/>
    <w:pPr>
      <w:spacing w:after="0" w:line="240" w:lineRule="auto"/>
    </w:pPr>
    <w:rPr>
      <w:sz w:val="20"/>
      <w:szCs w:val="20"/>
    </w:rPr>
  </w:style>
  <w:style w:type="character" w:customStyle="1" w:styleId="EndnoteTextChar">
    <w:name w:val="Endnote Text Char"/>
    <w:basedOn w:val="DefaultParagraphFont"/>
    <w:link w:val="EndnoteText"/>
    <w:rsid w:val="00252569"/>
    <w:rPr>
      <w:rFonts w:ascii="Arial" w:hAnsi="Arial"/>
      <w:lang w:eastAsia="en-US"/>
    </w:rPr>
  </w:style>
  <w:style w:type="character" w:styleId="EndnoteReference">
    <w:name w:val="endnote reference"/>
    <w:basedOn w:val="DefaultParagraphFont"/>
    <w:semiHidden/>
    <w:unhideWhenUsed/>
    <w:rsid w:val="00252569"/>
    <w:rPr>
      <w:vertAlign w:val="superscript"/>
    </w:rPr>
  </w:style>
  <w:style w:type="paragraph" w:styleId="FootnoteText">
    <w:name w:val="footnote text"/>
    <w:basedOn w:val="Normal"/>
    <w:link w:val="FootnoteTextChar"/>
    <w:semiHidden/>
    <w:unhideWhenUsed/>
    <w:rsid w:val="00252569"/>
    <w:pPr>
      <w:spacing w:after="0" w:line="240" w:lineRule="auto"/>
    </w:pPr>
    <w:rPr>
      <w:sz w:val="20"/>
      <w:szCs w:val="20"/>
    </w:rPr>
  </w:style>
  <w:style w:type="character" w:customStyle="1" w:styleId="FootnoteTextChar">
    <w:name w:val="Footnote Text Char"/>
    <w:basedOn w:val="DefaultParagraphFont"/>
    <w:link w:val="FootnoteText"/>
    <w:semiHidden/>
    <w:rsid w:val="00252569"/>
    <w:rPr>
      <w:rFonts w:ascii="Arial" w:hAnsi="Arial"/>
      <w:lang w:eastAsia="en-US"/>
    </w:rPr>
  </w:style>
  <w:style w:type="character" w:styleId="FootnoteReference">
    <w:name w:val="footnote reference"/>
    <w:basedOn w:val="DefaultParagraphFont"/>
    <w:semiHidden/>
    <w:unhideWhenUsed/>
    <w:rsid w:val="00252569"/>
    <w:rPr>
      <w:vertAlign w:val="superscript"/>
    </w:rPr>
  </w:style>
  <w:style w:type="character" w:styleId="FollowedHyperlink">
    <w:name w:val="FollowedHyperlink"/>
    <w:basedOn w:val="DefaultParagraphFont"/>
    <w:semiHidden/>
    <w:unhideWhenUsed/>
    <w:rsid w:val="00CA7940"/>
    <w:rPr>
      <w:color w:val="800080" w:themeColor="followedHyperlink"/>
      <w:u w:val="single"/>
    </w:rPr>
  </w:style>
  <w:style w:type="paragraph" w:styleId="Revision">
    <w:name w:val="Revision"/>
    <w:hidden/>
    <w:uiPriority w:val="99"/>
    <w:semiHidden/>
    <w:rsid w:val="00373171"/>
    <w:rPr>
      <w:rFonts w:ascii="Arial" w:hAnsi="Arial"/>
      <w:sz w:val="24"/>
      <w:szCs w:val="22"/>
      <w:lang w:eastAsia="en-US"/>
    </w:rPr>
  </w:style>
  <w:style w:type="paragraph" w:styleId="Caption">
    <w:name w:val="caption"/>
    <w:basedOn w:val="Normal"/>
    <w:next w:val="Normal"/>
    <w:unhideWhenUsed/>
    <w:qFormat/>
    <w:rsid w:val="0083639D"/>
    <w:pPr>
      <w:spacing w:after="200" w:line="240" w:lineRule="auto"/>
    </w:pPr>
    <w:rPr>
      <w:i/>
      <w:iCs/>
      <w:color w:val="1F497D" w:themeColor="text2"/>
      <w:sz w:val="18"/>
      <w:szCs w:val="18"/>
    </w:rPr>
  </w:style>
  <w:style w:type="paragraph" w:styleId="HTMLPreformatted">
    <w:name w:val="HTML Preformatted"/>
    <w:basedOn w:val="Normal"/>
    <w:link w:val="HTMLPreformattedChar"/>
    <w:uiPriority w:val="99"/>
    <w:semiHidden/>
    <w:unhideWhenUsed/>
    <w:rsid w:val="00E24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24C8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1681">
      <w:bodyDiv w:val="1"/>
      <w:marLeft w:val="0"/>
      <w:marRight w:val="0"/>
      <w:marTop w:val="0"/>
      <w:marBottom w:val="0"/>
      <w:divBdr>
        <w:top w:val="none" w:sz="0" w:space="0" w:color="auto"/>
        <w:left w:val="none" w:sz="0" w:space="0" w:color="auto"/>
        <w:bottom w:val="none" w:sz="0" w:space="0" w:color="auto"/>
        <w:right w:val="none" w:sz="0" w:space="0" w:color="auto"/>
      </w:divBdr>
      <w:divsChild>
        <w:div w:id="83454216">
          <w:marLeft w:val="360"/>
          <w:marRight w:val="0"/>
          <w:marTop w:val="200"/>
          <w:marBottom w:val="0"/>
          <w:divBdr>
            <w:top w:val="none" w:sz="0" w:space="0" w:color="auto"/>
            <w:left w:val="none" w:sz="0" w:space="0" w:color="auto"/>
            <w:bottom w:val="none" w:sz="0" w:space="0" w:color="auto"/>
            <w:right w:val="none" w:sz="0" w:space="0" w:color="auto"/>
          </w:divBdr>
        </w:div>
        <w:div w:id="906763329">
          <w:marLeft w:val="360"/>
          <w:marRight w:val="0"/>
          <w:marTop w:val="200"/>
          <w:marBottom w:val="0"/>
          <w:divBdr>
            <w:top w:val="none" w:sz="0" w:space="0" w:color="auto"/>
            <w:left w:val="none" w:sz="0" w:space="0" w:color="auto"/>
            <w:bottom w:val="none" w:sz="0" w:space="0" w:color="auto"/>
            <w:right w:val="none" w:sz="0" w:space="0" w:color="auto"/>
          </w:divBdr>
        </w:div>
        <w:div w:id="1336377166">
          <w:marLeft w:val="360"/>
          <w:marRight w:val="0"/>
          <w:marTop w:val="200"/>
          <w:marBottom w:val="0"/>
          <w:divBdr>
            <w:top w:val="none" w:sz="0" w:space="0" w:color="auto"/>
            <w:left w:val="none" w:sz="0" w:space="0" w:color="auto"/>
            <w:bottom w:val="none" w:sz="0" w:space="0" w:color="auto"/>
            <w:right w:val="none" w:sz="0" w:space="0" w:color="auto"/>
          </w:divBdr>
        </w:div>
        <w:div w:id="1365523961">
          <w:marLeft w:val="360"/>
          <w:marRight w:val="0"/>
          <w:marTop w:val="200"/>
          <w:marBottom w:val="0"/>
          <w:divBdr>
            <w:top w:val="none" w:sz="0" w:space="0" w:color="auto"/>
            <w:left w:val="none" w:sz="0" w:space="0" w:color="auto"/>
            <w:bottom w:val="none" w:sz="0" w:space="0" w:color="auto"/>
            <w:right w:val="none" w:sz="0" w:space="0" w:color="auto"/>
          </w:divBdr>
        </w:div>
      </w:divsChild>
    </w:div>
    <w:div w:id="483398592">
      <w:bodyDiv w:val="1"/>
      <w:marLeft w:val="0"/>
      <w:marRight w:val="0"/>
      <w:marTop w:val="0"/>
      <w:marBottom w:val="0"/>
      <w:divBdr>
        <w:top w:val="none" w:sz="0" w:space="0" w:color="auto"/>
        <w:left w:val="none" w:sz="0" w:space="0" w:color="auto"/>
        <w:bottom w:val="none" w:sz="0" w:space="0" w:color="auto"/>
        <w:right w:val="none" w:sz="0" w:space="0" w:color="auto"/>
      </w:divBdr>
    </w:div>
    <w:div w:id="1068579953">
      <w:bodyDiv w:val="1"/>
      <w:marLeft w:val="0"/>
      <w:marRight w:val="0"/>
      <w:marTop w:val="0"/>
      <w:marBottom w:val="0"/>
      <w:divBdr>
        <w:top w:val="none" w:sz="0" w:space="0" w:color="auto"/>
        <w:left w:val="none" w:sz="0" w:space="0" w:color="auto"/>
        <w:bottom w:val="none" w:sz="0" w:space="0" w:color="auto"/>
        <w:right w:val="none" w:sz="0" w:space="0" w:color="auto"/>
      </w:divBdr>
    </w:div>
    <w:div w:id="1278172526">
      <w:bodyDiv w:val="1"/>
      <w:marLeft w:val="0"/>
      <w:marRight w:val="0"/>
      <w:marTop w:val="0"/>
      <w:marBottom w:val="0"/>
      <w:divBdr>
        <w:top w:val="none" w:sz="0" w:space="0" w:color="auto"/>
        <w:left w:val="none" w:sz="0" w:space="0" w:color="auto"/>
        <w:bottom w:val="none" w:sz="0" w:space="0" w:color="auto"/>
        <w:right w:val="none" w:sz="0" w:space="0" w:color="auto"/>
      </w:divBdr>
      <w:divsChild>
        <w:div w:id="950212385">
          <w:marLeft w:val="274"/>
          <w:marRight w:val="0"/>
          <w:marTop w:val="0"/>
          <w:marBottom w:val="0"/>
          <w:divBdr>
            <w:top w:val="none" w:sz="0" w:space="0" w:color="auto"/>
            <w:left w:val="none" w:sz="0" w:space="0" w:color="auto"/>
            <w:bottom w:val="none" w:sz="0" w:space="0" w:color="auto"/>
            <w:right w:val="none" w:sz="0" w:space="0" w:color="auto"/>
          </w:divBdr>
        </w:div>
        <w:div w:id="1162968967">
          <w:marLeft w:val="274"/>
          <w:marRight w:val="0"/>
          <w:marTop w:val="0"/>
          <w:marBottom w:val="0"/>
          <w:divBdr>
            <w:top w:val="none" w:sz="0" w:space="0" w:color="auto"/>
            <w:left w:val="none" w:sz="0" w:space="0" w:color="auto"/>
            <w:bottom w:val="none" w:sz="0" w:space="0" w:color="auto"/>
            <w:right w:val="none" w:sz="0" w:space="0" w:color="auto"/>
          </w:divBdr>
        </w:div>
        <w:div w:id="1981304296">
          <w:marLeft w:val="274"/>
          <w:marRight w:val="0"/>
          <w:marTop w:val="0"/>
          <w:marBottom w:val="0"/>
          <w:divBdr>
            <w:top w:val="none" w:sz="0" w:space="0" w:color="auto"/>
            <w:left w:val="none" w:sz="0" w:space="0" w:color="auto"/>
            <w:bottom w:val="none" w:sz="0" w:space="0" w:color="auto"/>
            <w:right w:val="none" w:sz="0" w:space="0" w:color="auto"/>
          </w:divBdr>
        </w:div>
        <w:div w:id="2061975579">
          <w:marLeft w:val="274"/>
          <w:marRight w:val="0"/>
          <w:marTop w:val="0"/>
          <w:marBottom w:val="0"/>
          <w:divBdr>
            <w:top w:val="none" w:sz="0" w:space="0" w:color="auto"/>
            <w:left w:val="none" w:sz="0" w:space="0" w:color="auto"/>
            <w:bottom w:val="none" w:sz="0" w:space="0" w:color="auto"/>
            <w:right w:val="none" w:sz="0" w:space="0" w:color="auto"/>
          </w:divBdr>
        </w:div>
      </w:divsChild>
    </w:div>
    <w:div w:id="2085832123">
      <w:bodyDiv w:val="1"/>
      <w:marLeft w:val="0"/>
      <w:marRight w:val="0"/>
      <w:marTop w:val="0"/>
      <w:marBottom w:val="0"/>
      <w:divBdr>
        <w:top w:val="none" w:sz="0" w:space="0" w:color="auto"/>
        <w:left w:val="none" w:sz="0" w:space="0" w:color="auto"/>
        <w:bottom w:val="none" w:sz="0" w:space="0" w:color="auto"/>
        <w:right w:val="none" w:sz="0" w:space="0" w:color="auto"/>
      </w:divBdr>
      <w:divsChild>
        <w:div w:id="82577237">
          <w:marLeft w:val="360"/>
          <w:marRight w:val="0"/>
          <w:marTop w:val="200"/>
          <w:marBottom w:val="0"/>
          <w:divBdr>
            <w:top w:val="none" w:sz="0" w:space="0" w:color="auto"/>
            <w:left w:val="none" w:sz="0" w:space="0" w:color="auto"/>
            <w:bottom w:val="none" w:sz="0" w:space="0" w:color="auto"/>
            <w:right w:val="none" w:sz="0" w:space="0" w:color="auto"/>
          </w:divBdr>
        </w:div>
        <w:div w:id="175849711">
          <w:marLeft w:val="360"/>
          <w:marRight w:val="0"/>
          <w:marTop w:val="200"/>
          <w:marBottom w:val="0"/>
          <w:divBdr>
            <w:top w:val="none" w:sz="0" w:space="0" w:color="auto"/>
            <w:left w:val="none" w:sz="0" w:space="0" w:color="auto"/>
            <w:bottom w:val="none" w:sz="0" w:space="0" w:color="auto"/>
            <w:right w:val="none" w:sz="0" w:space="0" w:color="auto"/>
          </w:divBdr>
        </w:div>
        <w:div w:id="966743970">
          <w:marLeft w:val="360"/>
          <w:marRight w:val="0"/>
          <w:marTop w:val="200"/>
          <w:marBottom w:val="0"/>
          <w:divBdr>
            <w:top w:val="none" w:sz="0" w:space="0" w:color="auto"/>
            <w:left w:val="none" w:sz="0" w:space="0" w:color="auto"/>
            <w:bottom w:val="none" w:sz="0" w:space="0" w:color="auto"/>
            <w:right w:val="none" w:sz="0" w:space="0" w:color="auto"/>
          </w:divBdr>
        </w:div>
        <w:div w:id="1883249789">
          <w:marLeft w:val="360"/>
          <w:marRight w:val="0"/>
          <w:marTop w:val="200"/>
          <w:marBottom w:val="0"/>
          <w:divBdr>
            <w:top w:val="none" w:sz="0" w:space="0" w:color="auto"/>
            <w:left w:val="none" w:sz="0" w:space="0" w:color="auto"/>
            <w:bottom w:val="none" w:sz="0" w:space="0" w:color="auto"/>
            <w:right w:val="none" w:sz="0" w:space="0" w:color="auto"/>
          </w:divBdr>
        </w:div>
      </w:divsChild>
    </w:div>
    <w:div w:id="213787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chart" Target="charts/chart2.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tyles" Target="styles.xml"/><Relationship Id="rId12" Type="http://schemas.openxmlformats.org/officeDocument/2006/relationships/hyperlink" Target="mailto:lynda.fenton@nhs.net"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chart" Target="charts/chart6.xml"/></Relationships>
</file>

<file path=word/_rels/endnotes.xml.rels><?xml version="1.0" encoding="UTF-8" standalone="yes"?>
<Relationships xmlns="http://schemas.openxmlformats.org/package/2006/relationships"><Relationship Id="rId8" Type="http://schemas.openxmlformats.org/officeDocument/2006/relationships/hyperlink" Target="https://doi.org/10.1136/bmj.i4588" TargetMode="External"/><Relationship Id="rId3" Type="http://schemas.openxmlformats.org/officeDocument/2006/relationships/hyperlink" Target="http://dx.doi.org/10.1136/bmj.k2562" TargetMode="External"/><Relationship Id="rId7" Type="http://schemas.openxmlformats.org/officeDocument/2006/relationships/hyperlink" Target="https://doi.org/10.1136/bmj.b1314" TargetMode="External"/><Relationship Id="rId2" Type="http://schemas.openxmlformats.org/officeDocument/2006/relationships/hyperlink" Target="https://doi.org/10.1093/ije/dyr061" TargetMode="External"/><Relationship Id="rId1" Type="http://schemas.openxmlformats.org/officeDocument/2006/relationships/hyperlink" Target="https://doi.org/10.1093/ije/dyt115" TargetMode="External"/><Relationship Id="rId6" Type="http://schemas.openxmlformats.org/officeDocument/2006/relationships/hyperlink" Target="https://www.ons.gov.uk/peoplepopulationandcommunity/birthsdeathsandmarriages/deaths/articles/changingtrendsinmortalityinenglandandwales1990to2017/experimentalstatistics" TargetMode="External"/><Relationship Id="rId5" Type="http://schemas.openxmlformats.org/officeDocument/2006/relationships/hyperlink" Target="https://www.R-project.org/" TargetMode="External"/><Relationship Id="rId4" Type="http://schemas.openxmlformats.org/officeDocument/2006/relationships/hyperlink" Target="https://www.ons.gov.uk/peoplepopulationandcommunity/birthsdeathsandmarriages/lifeexpectancies/articles/changingtrendsinmortalityaninternationalcomparison/2000to2016" TargetMode="External"/><Relationship Id="rId9" Type="http://schemas.openxmlformats.org/officeDocument/2006/relationships/hyperlink" Target="https://doi.org/10.1007/BF03391695"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thesource.healthscotland.com/collaboration/teams/phs/pho/Output/Life%20expectancy%20international_updated%20Jan%20201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thesource.healthscotland.com/collaboration/teams/phs/pho/Output/Life%20expectancy%20international_updated%20Jan%20201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1.xml"/><Relationship Id="rId4" Type="http://schemas.openxmlformats.org/officeDocument/2006/relationships/package" Target="../embeddings/Microsoft_Excel_Worksheet2.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6.xml.rels><?xml version="1.0" encoding="UTF-8" standalone="yes"?>
<Relationships xmlns="http://schemas.openxmlformats.org/package/2006/relationships"><Relationship Id="rId3" Type="http://schemas.openxmlformats.org/officeDocument/2006/relationships/oleObject" Target="http://thesource.healthscotland.com/collaboration/teams/phs/pho/Output/Life%20expectancy%20international_updated%20Jan%202019.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379401477817582E-2"/>
          <c:y val="2.9569892473118288E-2"/>
          <c:w val="0.90926988052590418"/>
          <c:h val="0.78777156887647104"/>
        </c:manualLayout>
      </c:layout>
      <c:barChart>
        <c:barDir val="col"/>
        <c:grouping val="clustered"/>
        <c:varyColors val="0"/>
        <c:ser>
          <c:idx val="0"/>
          <c:order val="0"/>
          <c:tx>
            <c:v>Female</c:v>
          </c:tx>
          <c:spPr>
            <a:solidFill>
              <a:schemeClr val="tx1"/>
            </a:solidFill>
            <a:ln>
              <a:noFill/>
            </a:ln>
            <a:effectLst/>
          </c:spPr>
          <c:invertIfNegative val="0"/>
          <c:cat>
            <c:strRef>
              <c:f>Chart!$A$4:$A$35</c:f>
              <c:strCache>
                <c:ptCount val="32"/>
                <c:pt idx="0">
                  <c:v>1857-61</c:v>
                </c:pt>
                <c:pt idx="1">
                  <c:v>1862-66</c:v>
                </c:pt>
                <c:pt idx="2">
                  <c:v>1867-71</c:v>
                </c:pt>
                <c:pt idx="3">
                  <c:v>1872-76</c:v>
                </c:pt>
                <c:pt idx="4">
                  <c:v>1877-81</c:v>
                </c:pt>
                <c:pt idx="5">
                  <c:v>1882-86</c:v>
                </c:pt>
                <c:pt idx="6">
                  <c:v>1887-91</c:v>
                </c:pt>
                <c:pt idx="7">
                  <c:v>1892-96</c:v>
                </c:pt>
                <c:pt idx="8">
                  <c:v>1897-1901</c:v>
                </c:pt>
                <c:pt idx="9">
                  <c:v>1902-06</c:v>
                </c:pt>
                <c:pt idx="10">
                  <c:v>1907-11</c:v>
                </c:pt>
                <c:pt idx="11">
                  <c:v>1912-16</c:v>
                </c:pt>
                <c:pt idx="12">
                  <c:v>1917-21</c:v>
                </c:pt>
                <c:pt idx="13">
                  <c:v>1922-26</c:v>
                </c:pt>
                <c:pt idx="14">
                  <c:v>1927-31</c:v>
                </c:pt>
                <c:pt idx="15">
                  <c:v>1932-36</c:v>
                </c:pt>
                <c:pt idx="16">
                  <c:v>1937-41</c:v>
                </c:pt>
                <c:pt idx="17">
                  <c:v>1942-46</c:v>
                </c:pt>
                <c:pt idx="18">
                  <c:v>1947-51</c:v>
                </c:pt>
                <c:pt idx="19">
                  <c:v>1952-56</c:v>
                </c:pt>
                <c:pt idx="20">
                  <c:v>1957-61</c:v>
                </c:pt>
                <c:pt idx="21">
                  <c:v>1962-66</c:v>
                </c:pt>
                <c:pt idx="22">
                  <c:v>1967-71</c:v>
                </c:pt>
                <c:pt idx="23">
                  <c:v>1972-76</c:v>
                </c:pt>
                <c:pt idx="24">
                  <c:v>1977-81</c:v>
                </c:pt>
                <c:pt idx="25">
                  <c:v>1982-86</c:v>
                </c:pt>
                <c:pt idx="26">
                  <c:v>1987-91</c:v>
                </c:pt>
                <c:pt idx="27">
                  <c:v>1992-96</c:v>
                </c:pt>
                <c:pt idx="28">
                  <c:v>1997-2001</c:v>
                </c:pt>
                <c:pt idx="29">
                  <c:v>2002-06</c:v>
                </c:pt>
                <c:pt idx="30">
                  <c:v>2007-11</c:v>
                </c:pt>
                <c:pt idx="31">
                  <c:v>2012-16</c:v>
                </c:pt>
              </c:strCache>
            </c:strRef>
          </c:cat>
          <c:val>
            <c:numRef>
              <c:f>Chart!$H$4:$H$35</c:f>
              <c:numCache>
                <c:formatCode>General</c:formatCode>
                <c:ptCount val="32"/>
                <c:pt idx="0">
                  <c:v>-6.9680000000000177</c:v>
                </c:pt>
                <c:pt idx="1">
                  <c:v>-18.512000000000011</c:v>
                </c:pt>
                <c:pt idx="2">
                  <c:v>-11.335999999999968</c:v>
                </c:pt>
                <c:pt idx="3">
                  <c:v>29.951999999999952</c:v>
                </c:pt>
                <c:pt idx="4">
                  <c:v>15.392000000000046</c:v>
                </c:pt>
                <c:pt idx="5">
                  <c:v>7.0719999999999974</c:v>
                </c:pt>
                <c:pt idx="6">
                  <c:v>-25.064000000000039</c:v>
                </c:pt>
                <c:pt idx="7">
                  <c:v>51.687999999999988</c:v>
                </c:pt>
                <c:pt idx="8">
                  <c:v>-19.759999999999987</c:v>
                </c:pt>
                <c:pt idx="9">
                  <c:v>30.78400000000001</c:v>
                </c:pt>
                <c:pt idx="10">
                  <c:v>19.759999999999987</c:v>
                </c:pt>
                <c:pt idx="11">
                  <c:v>15.392000000000046</c:v>
                </c:pt>
                <c:pt idx="12">
                  <c:v>30.991999999999969</c:v>
                </c:pt>
                <c:pt idx="13">
                  <c:v>15.808000000000032</c:v>
                </c:pt>
                <c:pt idx="14">
                  <c:v>9.463999999999972</c:v>
                </c:pt>
                <c:pt idx="15">
                  <c:v>10.087999999999992</c:v>
                </c:pt>
                <c:pt idx="16">
                  <c:v>0.83200000000005614</c:v>
                </c:pt>
                <c:pt idx="17">
                  <c:v>46.69599999999997</c:v>
                </c:pt>
                <c:pt idx="18">
                  <c:v>30.992000000000033</c:v>
                </c:pt>
                <c:pt idx="19">
                  <c:v>29.327999999999928</c:v>
                </c:pt>
                <c:pt idx="20">
                  <c:v>6.7600000000000575</c:v>
                </c:pt>
                <c:pt idx="21">
                  <c:v>7.9040000000000514</c:v>
                </c:pt>
                <c:pt idx="22">
                  <c:v>13.623999999999873</c:v>
                </c:pt>
                <c:pt idx="23">
                  <c:v>4.0560000000000054</c:v>
                </c:pt>
                <c:pt idx="24">
                  <c:v>11.232000000000125</c:v>
                </c:pt>
                <c:pt idx="25">
                  <c:v>9.0479999999999006</c:v>
                </c:pt>
                <c:pt idx="26">
                  <c:v>8.8400000000000887</c:v>
                </c:pt>
                <c:pt idx="27">
                  <c:v>6.9679999999998703</c:v>
                </c:pt>
                <c:pt idx="28">
                  <c:v>10.4</c:v>
                </c:pt>
                <c:pt idx="29">
                  <c:v>9.7760000000001206</c:v>
                </c:pt>
                <c:pt idx="30">
                  <c:v>11.023999999999875</c:v>
                </c:pt>
                <c:pt idx="31">
                  <c:v>2.4960000000000937</c:v>
                </c:pt>
              </c:numCache>
            </c:numRef>
          </c:val>
          <c:extLst xmlns:c16r2="http://schemas.microsoft.com/office/drawing/2015/06/chart">
            <c:ext xmlns:c16="http://schemas.microsoft.com/office/drawing/2014/chart" uri="{C3380CC4-5D6E-409C-BE32-E72D297353CC}">
              <c16:uniqueId val="{00000000-0461-434F-A15C-9E71A2CEDD10}"/>
            </c:ext>
          </c:extLst>
        </c:ser>
        <c:ser>
          <c:idx val="1"/>
          <c:order val="1"/>
          <c:tx>
            <c:v>Male</c:v>
          </c:tx>
          <c:spPr>
            <a:solidFill>
              <a:schemeClr val="bg1">
                <a:lumMod val="65000"/>
              </a:schemeClr>
            </a:solidFill>
            <a:ln>
              <a:noFill/>
            </a:ln>
            <a:effectLst/>
          </c:spPr>
          <c:invertIfNegative val="0"/>
          <c:cat>
            <c:strRef>
              <c:f>Chart!$A$4:$A$35</c:f>
              <c:strCache>
                <c:ptCount val="32"/>
                <c:pt idx="0">
                  <c:v>1857-61</c:v>
                </c:pt>
                <c:pt idx="1">
                  <c:v>1862-66</c:v>
                </c:pt>
                <c:pt idx="2">
                  <c:v>1867-71</c:v>
                </c:pt>
                <c:pt idx="3">
                  <c:v>1872-76</c:v>
                </c:pt>
                <c:pt idx="4">
                  <c:v>1877-81</c:v>
                </c:pt>
                <c:pt idx="5">
                  <c:v>1882-86</c:v>
                </c:pt>
                <c:pt idx="6">
                  <c:v>1887-91</c:v>
                </c:pt>
                <c:pt idx="7">
                  <c:v>1892-96</c:v>
                </c:pt>
                <c:pt idx="8">
                  <c:v>1897-1901</c:v>
                </c:pt>
                <c:pt idx="9">
                  <c:v>1902-06</c:v>
                </c:pt>
                <c:pt idx="10">
                  <c:v>1907-11</c:v>
                </c:pt>
                <c:pt idx="11">
                  <c:v>1912-16</c:v>
                </c:pt>
                <c:pt idx="12">
                  <c:v>1917-21</c:v>
                </c:pt>
                <c:pt idx="13">
                  <c:v>1922-26</c:v>
                </c:pt>
                <c:pt idx="14">
                  <c:v>1927-31</c:v>
                </c:pt>
                <c:pt idx="15">
                  <c:v>1932-36</c:v>
                </c:pt>
                <c:pt idx="16">
                  <c:v>1937-41</c:v>
                </c:pt>
                <c:pt idx="17">
                  <c:v>1942-46</c:v>
                </c:pt>
                <c:pt idx="18">
                  <c:v>1947-51</c:v>
                </c:pt>
                <c:pt idx="19">
                  <c:v>1952-56</c:v>
                </c:pt>
                <c:pt idx="20">
                  <c:v>1957-61</c:v>
                </c:pt>
                <c:pt idx="21">
                  <c:v>1962-66</c:v>
                </c:pt>
                <c:pt idx="22">
                  <c:v>1967-71</c:v>
                </c:pt>
                <c:pt idx="23">
                  <c:v>1972-76</c:v>
                </c:pt>
                <c:pt idx="24">
                  <c:v>1977-81</c:v>
                </c:pt>
                <c:pt idx="25">
                  <c:v>1982-86</c:v>
                </c:pt>
                <c:pt idx="26">
                  <c:v>1987-91</c:v>
                </c:pt>
                <c:pt idx="27">
                  <c:v>1992-96</c:v>
                </c:pt>
                <c:pt idx="28">
                  <c:v>1997-2001</c:v>
                </c:pt>
                <c:pt idx="29">
                  <c:v>2002-06</c:v>
                </c:pt>
                <c:pt idx="30">
                  <c:v>2007-11</c:v>
                </c:pt>
                <c:pt idx="31">
                  <c:v>2012-16</c:v>
                </c:pt>
              </c:strCache>
            </c:strRef>
          </c:cat>
          <c:val>
            <c:numRef>
              <c:f>Chart!$J$4:$J$35</c:f>
              <c:numCache>
                <c:formatCode>General</c:formatCode>
                <c:ptCount val="32"/>
                <c:pt idx="0">
                  <c:v>1.3520000000000267</c:v>
                </c:pt>
                <c:pt idx="1">
                  <c:v>-17.57600000000005</c:v>
                </c:pt>
                <c:pt idx="2">
                  <c:v>-5.6159999999999899</c:v>
                </c:pt>
                <c:pt idx="3">
                  <c:v>17.36800000000002</c:v>
                </c:pt>
                <c:pt idx="4">
                  <c:v>20.175999999999977</c:v>
                </c:pt>
                <c:pt idx="5">
                  <c:v>11.232000000000053</c:v>
                </c:pt>
                <c:pt idx="6">
                  <c:v>-24.440000000000012</c:v>
                </c:pt>
                <c:pt idx="7">
                  <c:v>47.112000000000016</c:v>
                </c:pt>
                <c:pt idx="8">
                  <c:v>-21.11200000000002</c:v>
                </c:pt>
                <c:pt idx="9">
                  <c:v>31.927999999999997</c:v>
                </c:pt>
                <c:pt idx="10">
                  <c:v>16.847999999999974</c:v>
                </c:pt>
                <c:pt idx="11">
                  <c:v>10.4</c:v>
                </c:pt>
                <c:pt idx="12">
                  <c:v>35.256000000000007</c:v>
                </c:pt>
                <c:pt idx="13">
                  <c:v>10.815999999999997</c:v>
                </c:pt>
                <c:pt idx="14">
                  <c:v>7.9039999999999804</c:v>
                </c:pt>
                <c:pt idx="15">
                  <c:v>6.5520000000000262</c:v>
                </c:pt>
                <c:pt idx="16">
                  <c:v>-33.072000000000003</c:v>
                </c:pt>
                <c:pt idx="17">
                  <c:v>73.215999999999994</c:v>
                </c:pt>
                <c:pt idx="18">
                  <c:v>36.296000000000035</c:v>
                </c:pt>
                <c:pt idx="19">
                  <c:v>18.71999999999997</c:v>
                </c:pt>
                <c:pt idx="20">
                  <c:v>2.2879999999999892</c:v>
                </c:pt>
                <c:pt idx="21">
                  <c:v>5.5120000000000102</c:v>
                </c:pt>
                <c:pt idx="22">
                  <c:v>8.9439999999999973</c:v>
                </c:pt>
                <c:pt idx="23">
                  <c:v>4.1600000000000579</c:v>
                </c:pt>
                <c:pt idx="24">
                  <c:v>12.063999999999972</c:v>
                </c:pt>
                <c:pt idx="25">
                  <c:v>10.192000000000045</c:v>
                </c:pt>
                <c:pt idx="26">
                  <c:v>13.415999999999922</c:v>
                </c:pt>
                <c:pt idx="27">
                  <c:v>6.5520000000001009</c:v>
                </c:pt>
                <c:pt idx="28">
                  <c:v>14.143999999999998</c:v>
                </c:pt>
                <c:pt idx="29">
                  <c:v>15.287999999999991</c:v>
                </c:pt>
                <c:pt idx="30">
                  <c:v>17.263999999999957</c:v>
                </c:pt>
                <c:pt idx="31">
                  <c:v>4.4720000000000724</c:v>
                </c:pt>
              </c:numCache>
            </c:numRef>
          </c:val>
          <c:extLst xmlns:c16r2="http://schemas.microsoft.com/office/drawing/2015/06/chart">
            <c:ext xmlns:c16="http://schemas.microsoft.com/office/drawing/2014/chart" uri="{C3380CC4-5D6E-409C-BE32-E72D297353CC}">
              <c16:uniqueId val="{00000001-0461-434F-A15C-9E71A2CEDD10}"/>
            </c:ext>
          </c:extLst>
        </c:ser>
        <c:dLbls>
          <c:showLegendKey val="0"/>
          <c:showVal val="0"/>
          <c:showCatName val="0"/>
          <c:showSerName val="0"/>
          <c:showPercent val="0"/>
          <c:showBubbleSize val="0"/>
        </c:dLbls>
        <c:gapWidth val="25"/>
        <c:axId val="241958976"/>
        <c:axId val="241959536"/>
      </c:barChart>
      <c:catAx>
        <c:axId val="24195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5-year period</a:t>
                </a:r>
              </a:p>
            </c:rich>
          </c:tx>
          <c:layout/>
          <c:overlay val="0"/>
          <c:spPr>
            <a:noFill/>
            <a:ln>
              <a:noFill/>
            </a:ln>
            <a:effectLst/>
          </c:spPr>
        </c:title>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900" b="0" i="0" u="none" strike="noStrike" kern="1200" baseline="0">
                <a:solidFill>
                  <a:schemeClr val="tx1"/>
                </a:solidFill>
                <a:latin typeface="+mn-lt"/>
                <a:ea typeface="+mn-ea"/>
                <a:cs typeface="+mn-cs"/>
              </a:defRPr>
            </a:pPr>
            <a:endParaRPr lang="en-US"/>
          </a:p>
        </c:txPr>
        <c:crossAx val="241959536"/>
        <c:crossesAt val="0"/>
        <c:auto val="1"/>
        <c:lblAlgn val="ctr"/>
        <c:lblOffset val="100"/>
        <c:noMultiLvlLbl val="0"/>
      </c:catAx>
      <c:valAx>
        <c:axId val="24195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GB">
                    <a:solidFill>
                      <a:schemeClr val="tx1"/>
                    </a:solidFill>
                  </a:rPr>
                  <a:t>Mean</a:t>
                </a:r>
                <a:r>
                  <a:rPr lang="en-GB" baseline="0">
                    <a:solidFill>
                      <a:schemeClr val="tx1"/>
                    </a:solidFill>
                  </a:rPr>
                  <a:t> annual change in period life expectancy (weeks)</a:t>
                </a:r>
                <a:endParaRPr lang="en-GB">
                  <a:solidFill>
                    <a:schemeClr val="tx1"/>
                  </a:solidFill>
                </a:endParaRPr>
              </a:p>
            </c:rich>
          </c:tx>
          <c:layout/>
          <c:overlay val="0"/>
          <c:spPr>
            <a:noFill/>
            <a:ln>
              <a:noFill/>
            </a:ln>
            <a:effectLst/>
          </c:sp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41958976"/>
        <c:crossesAt val="1"/>
        <c:crossBetween val="between"/>
      </c:valAx>
      <c:spPr>
        <a:noFill/>
        <a:ln>
          <a:noFill/>
        </a:ln>
        <a:effectLst/>
      </c:spPr>
    </c:plotArea>
    <c:legend>
      <c:legendPos val="b"/>
      <c:layout>
        <c:manualLayout>
          <c:xMode val="edge"/>
          <c:yMode val="edge"/>
          <c:x val="0.71864523285628612"/>
          <c:y val="7.5604521209042513E-2"/>
          <c:w val="0.17086965745909941"/>
          <c:h val="4.5363220726441493E-2"/>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'F chart data'!$B$17</c:f>
              <c:strCache>
                <c:ptCount val="1"/>
                <c:pt idx="0">
                  <c:v>1992-1996</c:v>
                </c:pt>
              </c:strCache>
            </c:strRef>
          </c:tx>
          <c:spPr>
            <a:solidFill>
              <a:schemeClr val="bg2"/>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data'!$B$18:$B$41</c:f>
              <c:numCache>
                <c:formatCode>General</c:formatCode>
                <c:ptCount val="24"/>
                <c:pt idx="0">
                  <c:v>9.0480000000000462</c:v>
                </c:pt>
                <c:pt idx="1">
                  <c:v>0.10399999999990542</c:v>
                </c:pt>
                <c:pt idx="2">
                  <c:v>8.3199999999999701</c:v>
                </c:pt>
                <c:pt idx="3">
                  <c:v>2.6</c:v>
                </c:pt>
                <c:pt idx="4">
                  <c:v>6.9679999999998703</c:v>
                </c:pt>
                <c:pt idx="5">
                  <c:v>1.8719999999999231</c:v>
                </c:pt>
                <c:pt idx="6">
                  <c:v>9.1519999999999531</c:v>
                </c:pt>
                <c:pt idx="7">
                  <c:v>10.191999999999894</c:v>
                </c:pt>
                <c:pt idx="8">
                  <c:v>12.168000000000019</c:v>
                </c:pt>
                <c:pt idx="9">
                  <c:v>11.439999999999941</c:v>
                </c:pt>
                <c:pt idx="10">
                  <c:v>9.3599999999999124</c:v>
                </c:pt>
                <c:pt idx="11">
                  <c:v>13</c:v>
                </c:pt>
                <c:pt idx="12">
                  <c:v>15.287999999999988</c:v>
                </c:pt>
                <c:pt idx="13">
                  <c:v>6.5519999999999525</c:v>
                </c:pt>
                <c:pt idx="14">
                  <c:v>-0.83199999999998231</c:v>
                </c:pt>
                <c:pt idx="15">
                  <c:v>15.912000000000011</c:v>
                </c:pt>
                <c:pt idx="16">
                  <c:v>-0.20799999999995861</c:v>
                </c:pt>
                <c:pt idx="17">
                  <c:v>15.08000000000003</c:v>
                </c:pt>
                <c:pt idx="18">
                  <c:v>2.9120000000000119</c:v>
                </c:pt>
                <c:pt idx="19">
                  <c:v>0</c:v>
                </c:pt>
                <c:pt idx="20">
                  <c:v>16.327999999999928</c:v>
                </c:pt>
                <c:pt idx="21">
                  <c:v>10.712000000000012</c:v>
                </c:pt>
                <c:pt idx="22">
                  <c:v>13.936000000000035</c:v>
                </c:pt>
                <c:pt idx="23">
                  <c:v>0</c:v>
                </c:pt>
              </c:numCache>
            </c:numRef>
          </c:val>
          <c:extLst xmlns:c16r2="http://schemas.microsoft.com/office/drawing/2015/06/chart">
            <c:ext xmlns:c16="http://schemas.microsoft.com/office/drawing/2014/chart" uri="{C3380CC4-5D6E-409C-BE32-E72D297353CC}">
              <c16:uniqueId val="{00000000-3B4A-4C1E-A5FA-1710DE1902A6}"/>
            </c:ext>
          </c:extLst>
        </c:ser>
        <c:ser>
          <c:idx val="1"/>
          <c:order val="1"/>
          <c:tx>
            <c:strRef>
              <c:f>'F chart data'!$C$17</c:f>
              <c:strCache>
                <c:ptCount val="1"/>
                <c:pt idx="0">
                  <c:v>1997-2001</c:v>
                </c:pt>
              </c:strCache>
            </c:strRef>
          </c:tx>
          <c:spPr>
            <a:solidFill>
              <a:schemeClr val="bg2">
                <a:lumMod val="90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data'!$C$18:$C$41</c:f>
              <c:numCache>
                <c:formatCode>General</c:formatCode>
                <c:ptCount val="24"/>
                <c:pt idx="0">
                  <c:v>12.791999999999893</c:v>
                </c:pt>
                <c:pt idx="1">
                  <c:v>18.096000000000092</c:v>
                </c:pt>
                <c:pt idx="2">
                  <c:v>10.60799999999996</c:v>
                </c:pt>
                <c:pt idx="3">
                  <c:v>3.2240000000000237</c:v>
                </c:pt>
                <c:pt idx="4">
                  <c:v>10.4</c:v>
                </c:pt>
                <c:pt idx="5">
                  <c:v>4.0560000000000054</c:v>
                </c:pt>
                <c:pt idx="6">
                  <c:v>9.2560000000000056</c:v>
                </c:pt>
                <c:pt idx="7">
                  <c:v>5.512000000000012</c:v>
                </c:pt>
                <c:pt idx="8">
                  <c:v>14.663999999999964</c:v>
                </c:pt>
                <c:pt idx="9">
                  <c:v>15.392000000000042</c:v>
                </c:pt>
                <c:pt idx="10">
                  <c:v>10.087999999999989</c:v>
                </c:pt>
                <c:pt idx="11">
                  <c:v>12.168000000000019</c:v>
                </c:pt>
                <c:pt idx="12">
                  <c:v>12.792000000000042</c:v>
                </c:pt>
                <c:pt idx="13">
                  <c:v>9.5680000000000174</c:v>
                </c:pt>
                <c:pt idx="14">
                  <c:v>10.919999999999972</c:v>
                </c:pt>
                <c:pt idx="15">
                  <c:v>9.0479999999999006</c:v>
                </c:pt>
                <c:pt idx="16">
                  <c:v>17.575999999999976</c:v>
                </c:pt>
                <c:pt idx="17">
                  <c:v>18.71999999999997</c:v>
                </c:pt>
                <c:pt idx="18">
                  <c:v>9.8799999999998818</c:v>
                </c:pt>
                <c:pt idx="19">
                  <c:v>0</c:v>
                </c:pt>
                <c:pt idx="20">
                  <c:v>12.376000000000124</c:v>
                </c:pt>
                <c:pt idx="21">
                  <c:v>16.224000000000022</c:v>
                </c:pt>
                <c:pt idx="22">
                  <c:v>14.039999999999941</c:v>
                </c:pt>
                <c:pt idx="23">
                  <c:v>0</c:v>
                </c:pt>
              </c:numCache>
            </c:numRef>
          </c:val>
          <c:extLst xmlns:c16r2="http://schemas.microsoft.com/office/drawing/2015/06/chart">
            <c:ext xmlns:c16="http://schemas.microsoft.com/office/drawing/2014/chart" uri="{C3380CC4-5D6E-409C-BE32-E72D297353CC}">
              <c16:uniqueId val="{00000001-3B4A-4C1E-A5FA-1710DE1902A6}"/>
            </c:ext>
          </c:extLst>
        </c:ser>
        <c:ser>
          <c:idx val="2"/>
          <c:order val="2"/>
          <c:tx>
            <c:strRef>
              <c:f>'F chart data'!$D$17</c:f>
              <c:strCache>
                <c:ptCount val="1"/>
                <c:pt idx="0">
                  <c:v>2002-2006</c:v>
                </c:pt>
              </c:strCache>
            </c:strRef>
          </c:tx>
          <c:spPr>
            <a:solidFill>
              <a:schemeClr val="bg2">
                <a:lumMod val="75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data'!$D$18:$D$41</c:f>
              <c:numCache>
                <c:formatCode>General</c:formatCode>
                <c:ptCount val="24"/>
                <c:pt idx="0">
                  <c:v>7.487999999999988</c:v>
                </c:pt>
                <c:pt idx="1">
                  <c:v>-1.2480000000000473</c:v>
                </c:pt>
                <c:pt idx="2">
                  <c:v>11.232000000000129</c:v>
                </c:pt>
                <c:pt idx="3">
                  <c:v>8.9439999999999937</c:v>
                </c:pt>
                <c:pt idx="4">
                  <c:v>9.7760000000001241</c:v>
                </c:pt>
                <c:pt idx="5">
                  <c:v>12.272000000000071</c:v>
                </c:pt>
                <c:pt idx="6">
                  <c:v>12.792000000000042</c:v>
                </c:pt>
                <c:pt idx="7">
                  <c:v>8.8400000000000887</c:v>
                </c:pt>
                <c:pt idx="8">
                  <c:v>10.087999999999989</c:v>
                </c:pt>
                <c:pt idx="9">
                  <c:v>11.127999999999929</c:v>
                </c:pt>
                <c:pt idx="10">
                  <c:v>9.1520000000001005</c:v>
                </c:pt>
                <c:pt idx="11">
                  <c:v>10.815999999999917</c:v>
                </c:pt>
                <c:pt idx="12">
                  <c:v>10.815999999999917</c:v>
                </c:pt>
                <c:pt idx="13">
                  <c:v>21.736000000000036</c:v>
                </c:pt>
                <c:pt idx="14">
                  <c:v>6.4480000000000475</c:v>
                </c:pt>
                <c:pt idx="15">
                  <c:v>7.5920000000000414</c:v>
                </c:pt>
                <c:pt idx="16">
                  <c:v>-4.2640000000001121</c:v>
                </c:pt>
                <c:pt idx="17">
                  <c:v>12.792000000000042</c:v>
                </c:pt>
                <c:pt idx="18">
                  <c:v>13.520000000000119</c:v>
                </c:pt>
                <c:pt idx="19">
                  <c:v>9.5680000000000174</c:v>
                </c:pt>
                <c:pt idx="20">
                  <c:v>14.039999999999941</c:v>
                </c:pt>
                <c:pt idx="21">
                  <c:v>10.4</c:v>
                </c:pt>
                <c:pt idx="22">
                  <c:v>8.9439999999999937</c:v>
                </c:pt>
                <c:pt idx="23">
                  <c:v>14.768000000000018</c:v>
                </c:pt>
              </c:numCache>
            </c:numRef>
          </c:val>
          <c:extLst xmlns:c16r2="http://schemas.microsoft.com/office/drawing/2015/06/chart">
            <c:ext xmlns:c16="http://schemas.microsoft.com/office/drawing/2014/chart" uri="{C3380CC4-5D6E-409C-BE32-E72D297353CC}">
              <c16:uniqueId val="{00000002-3B4A-4C1E-A5FA-1710DE1902A6}"/>
            </c:ext>
          </c:extLst>
        </c:ser>
        <c:ser>
          <c:idx val="3"/>
          <c:order val="3"/>
          <c:tx>
            <c:strRef>
              <c:f>'F chart data'!$E$17</c:f>
              <c:strCache>
                <c:ptCount val="1"/>
                <c:pt idx="0">
                  <c:v>2007-2011</c:v>
                </c:pt>
              </c:strCache>
            </c:strRef>
          </c:tx>
          <c:spPr>
            <a:solidFill>
              <a:schemeClr val="bg2">
                <a:lumMod val="50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data'!$E$18:$E$41</c:f>
              <c:numCache>
                <c:formatCode>General</c:formatCode>
                <c:ptCount val="24"/>
                <c:pt idx="0">
                  <c:v>13.728000000000076</c:v>
                </c:pt>
                <c:pt idx="1">
                  <c:v>11.336000000000036</c:v>
                </c:pt>
                <c:pt idx="2">
                  <c:v>13</c:v>
                </c:pt>
                <c:pt idx="3">
                  <c:v>8.5279999999999294</c:v>
                </c:pt>
                <c:pt idx="4">
                  <c:v>11.023999999999875</c:v>
                </c:pt>
                <c:pt idx="5">
                  <c:v>10.087999999999989</c:v>
                </c:pt>
                <c:pt idx="6">
                  <c:v>8.5279999999999294</c:v>
                </c:pt>
                <c:pt idx="7">
                  <c:v>8.0079999999999583</c:v>
                </c:pt>
                <c:pt idx="8">
                  <c:v>6.1360000000000356</c:v>
                </c:pt>
                <c:pt idx="9">
                  <c:v>8.3200000000001193</c:v>
                </c:pt>
                <c:pt idx="10">
                  <c:v>8.8399999999999412</c:v>
                </c:pt>
                <c:pt idx="11">
                  <c:v>9.2560000000000056</c:v>
                </c:pt>
                <c:pt idx="12">
                  <c:v>10.816000000000065</c:v>
                </c:pt>
                <c:pt idx="13">
                  <c:v>24.856000000000005</c:v>
                </c:pt>
                <c:pt idx="14">
                  <c:v>25.272000000000073</c:v>
                </c:pt>
                <c:pt idx="15">
                  <c:v>13.207999999999959</c:v>
                </c:pt>
                <c:pt idx="16">
                  <c:v>20.8</c:v>
                </c:pt>
                <c:pt idx="17">
                  <c:v>12.168000000000019</c:v>
                </c:pt>
                <c:pt idx="18">
                  <c:v>13.727999999999929</c:v>
                </c:pt>
                <c:pt idx="19">
                  <c:v>10.087999999999989</c:v>
                </c:pt>
                <c:pt idx="20">
                  <c:v>10.4</c:v>
                </c:pt>
                <c:pt idx="21">
                  <c:v>9.7759999999999767</c:v>
                </c:pt>
                <c:pt idx="22">
                  <c:v>1.7680000000000178</c:v>
                </c:pt>
                <c:pt idx="23">
                  <c:v>19.551999999999953</c:v>
                </c:pt>
              </c:numCache>
            </c:numRef>
          </c:val>
          <c:extLst xmlns:c16r2="http://schemas.microsoft.com/office/drawing/2015/06/chart">
            <c:ext xmlns:c16="http://schemas.microsoft.com/office/drawing/2014/chart" uri="{C3380CC4-5D6E-409C-BE32-E72D297353CC}">
              <c16:uniqueId val="{00000003-3B4A-4C1E-A5FA-1710DE1902A6}"/>
            </c:ext>
          </c:extLst>
        </c:ser>
        <c:ser>
          <c:idx val="4"/>
          <c:order val="4"/>
          <c:tx>
            <c:strRef>
              <c:f>'F chart data'!$F$17</c:f>
              <c:strCache>
                <c:ptCount val="1"/>
                <c:pt idx="0">
                  <c:v>2012-2016</c:v>
                </c:pt>
              </c:strCache>
            </c:strRef>
          </c:tx>
          <c:spPr>
            <a:solidFill>
              <a:schemeClr val="bg2">
                <a:lumMod val="25000"/>
              </a:schemeClr>
            </a:solidFill>
            <a:ln>
              <a:noFill/>
            </a:ln>
            <a:effectLst/>
          </c:spPr>
          <c:invertIfNegative val="0"/>
          <c:cat>
            <c:strRef>
              <c:f>'F chart data'!$A$18:$A$41</c:f>
              <c:strCache>
                <c:ptCount val="24"/>
                <c:pt idx="0">
                  <c:v>Northern Ireland</c:v>
                </c:pt>
                <c:pt idx="1">
                  <c:v>Iceland</c:v>
                </c:pt>
                <c:pt idx="2">
                  <c:v>England &amp; Wales</c:v>
                </c:pt>
                <c:pt idx="3">
                  <c:v>USA</c:v>
                </c:pt>
                <c:pt idx="4">
                  <c:v>Scotland</c:v>
                </c:pt>
                <c:pt idx="5">
                  <c:v>Netherlands</c:v>
                </c:pt>
                <c:pt idx="6">
                  <c:v>France</c:v>
                </c:pt>
                <c:pt idx="7">
                  <c:v>Sweden</c:v>
                </c:pt>
                <c:pt idx="8">
                  <c:v>Germany</c:v>
                </c:pt>
                <c:pt idx="9">
                  <c:v>Austria</c:v>
                </c:pt>
                <c:pt idx="10">
                  <c:v>Switzerland</c:v>
                </c:pt>
                <c:pt idx="11">
                  <c:v>Spain</c:v>
                </c:pt>
                <c:pt idx="12">
                  <c:v>Israel</c:v>
                </c:pt>
                <c:pt idx="13">
                  <c:v>Estonia</c:v>
                </c:pt>
                <c:pt idx="14">
                  <c:v>Latvia</c:v>
                </c:pt>
                <c:pt idx="15">
                  <c:v>Slovakia</c:v>
                </c:pt>
                <c:pt idx="16">
                  <c:v>Lithuania</c:v>
                </c:pt>
                <c:pt idx="17">
                  <c:v>Poland</c:v>
                </c:pt>
                <c:pt idx="18">
                  <c:v>Denmark</c:v>
                </c:pt>
                <c:pt idx="19">
                  <c:v>Croatia*</c:v>
                </c:pt>
                <c:pt idx="20">
                  <c:v>Czechia</c:v>
                </c:pt>
                <c:pt idx="21">
                  <c:v>Hungary</c:v>
                </c:pt>
                <c:pt idx="22">
                  <c:v>Japan</c:v>
                </c:pt>
                <c:pt idx="23">
                  <c:v>Korea*</c:v>
                </c:pt>
              </c:strCache>
            </c:strRef>
          </c:cat>
          <c:val>
            <c:numRef>
              <c:f>'F chart data'!$F$18:$F$41</c:f>
              <c:numCache>
                <c:formatCode>General</c:formatCode>
                <c:ptCount val="24"/>
                <c:pt idx="0">
                  <c:v>-1.2480000000000473</c:v>
                </c:pt>
                <c:pt idx="1">
                  <c:v>0.10399999999990542</c:v>
                </c:pt>
                <c:pt idx="2">
                  <c:v>1.1439999999999941</c:v>
                </c:pt>
                <c:pt idx="3">
                  <c:v>1.8720000000000709</c:v>
                </c:pt>
                <c:pt idx="4">
                  <c:v>2.4960000000000946</c:v>
                </c:pt>
                <c:pt idx="5">
                  <c:v>2.7040000000000535</c:v>
                </c:pt>
                <c:pt idx="6">
                  <c:v>3.4319999999999822</c:v>
                </c:pt>
                <c:pt idx="7">
                  <c:v>4.3680000000000172</c:v>
                </c:pt>
                <c:pt idx="8">
                  <c:v>4.5759999999999765</c:v>
                </c:pt>
                <c:pt idx="9">
                  <c:v>5.3039999999999052</c:v>
                </c:pt>
                <c:pt idx="10">
                  <c:v>5.7199999999999704</c:v>
                </c:pt>
                <c:pt idx="11">
                  <c:v>7.1760000000001245</c:v>
                </c:pt>
                <c:pt idx="12">
                  <c:v>8.2159999999999176</c:v>
                </c:pt>
                <c:pt idx="13">
                  <c:v>9.1519999999999531</c:v>
                </c:pt>
                <c:pt idx="14">
                  <c:v>9.1519999999999531</c:v>
                </c:pt>
                <c:pt idx="15">
                  <c:v>9.2560000000000056</c:v>
                </c:pt>
                <c:pt idx="16">
                  <c:v>9.4640000000001123</c:v>
                </c:pt>
                <c:pt idx="17">
                  <c:v>9.983999999999936</c:v>
                </c:pt>
                <c:pt idx="18">
                  <c:v>9.9840000000000817</c:v>
                </c:pt>
                <c:pt idx="19">
                  <c:v>9.9840000000000817</c:v>
                </c:pt>
                <c:pt idx="20">
                  <c:v>10.504000000000053</c:v>
                </c:pt>
                <c:pt idx="21">
                  <c:v>11.127999999999929</c:v>
                </c:pt>
                <c:pt idx="22">
                  <c:v>13.312000000000012</c:v>
                </c:pt>
                <c:pt idx="23">
                  <c:v>14.456000000000007</c:v>
                </c:pt>
              </c:numCache>
            </c:numRef>
          </c:val>
          <c:extLst xmlns:c16r2="http://schemas.microsoft.com/office/drawing/2015/06/chart">
            <c:ext xmlns:c16="http://schemas.microsoft.com/office/drawing/2014/chart" uri="{C3380CC4-5D6E-409C-BE32-E72D297353CC}">
              <c16:uniqueId val="{00000004-3B4A-4C1E-A5FA-1710DE1902A6}"/>
            </c:ext>
          </c:extLst>
        </c:ser>
        <c:dLbls>
          <c:showLegendKey val="0"/>
          <c:showVal val="0"/>
          <c:showCatName val="0"/>
          <c:showSerName val="0"/>
          <c:showPercent val="0"/>
          <c:showBubbleSize val="0"/>
        </c:dLbls>
        <c:gapWidth val="219"/>
        <c:overlap val="-1"/>
        <c:axId val="411750384"/>
        <c:axId val="411750944"/>
      </c:barChart>
      <c:catAx>
        <c:axId val="41175038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Country</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0"/>
          <a:lstStyle/>
          <a:p>
            <a:pPr>
              <a:defRPr sz="1200" b="0" i="0" u="none" strike="noStrike" kern="1200" baseline="0">
                <a:solidFill>
                  <a:schemeClr val="tx1">
                    <a:lumMod val="65000"/>
                    <a:lumOff val="35000"/>
                  </a:schemeClr>
                </a:solidFill>
                <a:latin typeface="+mn-lt"/>
                <a:ea typeface="+mn-ea"/>
                <a:cs typeface="+mn-cs"/>
              </a:defRPr>
            </a:pPr>
            <a:endParaRPr lang="en-US"/>
          </a:p>
        </c:txPr>
        <c:crossAx val="411750944"/>
        <c:crosses val="autoZero"/>
        <c:auto val="1"/>
        <c:lblAlgn val="ctr"/>
        <c:lblOffset val="100"/>
        <c:noMultiLvlLbl val="0"/>
      </c:catAx>
      <c:valAx>
        <c:axId val="411750944"/>
        <c:scaling>
          <c:orientation val="minMax"/>
          <c:max val="4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Mean</a:t>
                </a:r>
                <a:r>
                  <a:rPr lang="en-US" sz="1200" b="1" baseline="0"/>
                  <a:t> annual change in life expectancy, weeks</a:t>
                </a:r>
                <a:endParaRPr lang="en-US" sz="1200" b="1"/>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1750384"/>
        <c:crosses val="autoZero"/>
        <c:crossBetween val="between"/>
      </c:valAx>
      <c:spPr>
        <a:noFill/>
        <a:ln>
          <a:noFill/>
        </a:ln>
        <a:effectLst/>
      </c:spPr>
    </c:plotArea>
    <c:legend>
      <c:legendPos val="b"/>
      <c:layout>
        <c:manualLayout>
          <c:xMode val="edge"/>
          <c:yMode val="edge"/>
          <c:x val="7.0639185691033488E-2"/>
          <c:y val="7.8260660202374155E-2"/>
          <c:w val="0.45577367760380066"/>
          <c:h val="4.0515841031682064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'M chart data'!$B$17</c:f>
              <c:strCache>
                <c:ptCount val="1"/>
                <c:pt idx="0">
                  <c:v>1992-1996</c:v>
                </c:pt>
              </c:strCache>
            </c:strRef>
          </c:tx>
          <c:spPr>
            <a:solidFill>
              <a:srgbClr val="E7E6E6"/>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data'!$B$18:$B$41</c:f>
              <c:numCache>
                <c:formatCode>General</c:formatCode>
                <c:ptCount val="24"/>
                <c:pt idx="0">
                  <c:v>17.160000000000057</c:v>
                </c:pt>
                <c:pt idx="1">
                  <c:v>10.815999999999917</c:v>
                </c:pt>
                <c:pt idx="2">
                  <c:v>12.271999999999922</c:v>
                </c:pt>
                <c:pt idx="3">
                  <c:v>6.5520000000001009</c:v>
                </c:pt>
                <c:pt idx="4">
                  <c:v>13.831999999999983</c:v>
                </c:pt>
                <c:pt idx="5">
                  <c:v>6.2400000000000881</c:v>
                </c:pt>
                <c:pt idx="6">
                  <c:v>16.327999999999928</c:v>
                </c:pt>
                <c:pt idx="7">
                  <c:v>11.024000000000024</c:v>
                </c:pt>
                <c:pt idx="8">
                  <c:v>12.375999999999976</c:v>
                </c:pt>
                <c:pt idx="9">
                  <c:v>15.183999999999935</c:v>
                </c:pt>
                <c:pt idx="10">
                  <c:v>12.271999999999922</c:v>
                </c:pt>
                <c:pt idx="11">
                  <c:v>14.559999999999912</c:v>
                </c:pt>
                <c:pt idx="12">
                  <c:v>0</c:v>
                </c:pt>
                <c:pt idx="13">
                  <c:v>19.031999999999982</c:v>
                </c:pt>
                <c:pt idx="14">
                  <c:v>-9.8800000000000292</c:v>
                </c:pt>
                <c:pt idx="15">
                  <c:v>6.0319999999999823</c:v>
                </c:pt>
                <c:pt idx="16">
                  <c:v>22.151999999999955</c:v>
                </c:pt>
                <c:pt idx="17">
                  <c:v>21.63199999999998</c:v>
                </c:pt>
                <c:pt idx="18">
                  <c:v>12.375999999999976</c:v>
                </c:pt>
                <c:pt idx="19">
                  <c:v>-5.4079999999999586</c:v>
                </c:pt>
                <c:pt idx="20">
                  <c:v>20.071999999999921</c:v>
                </c:pt>
                <c:pt idx="21">
                  <c:v>9.1520000000001005</c:v>
                </c:pt>
                <c:pt idx="22">
                  <c:v>-0.41599999999991721</c:v>
                </c:pt>
                <c:pt idx="23">
                  <c:v>0</c:v>
                </c:pt>
              </c:numCache>
            </c:numRef>
          </c:val>
          <c:extLst xmlns:c16r2="http://schemas.microsoft.com/office/drawing/2015/06/chart">
            <c:ext xmlns:c16="http://schemas.microsoft.com/office/drawing/2014/chart" uri="{C3380CC4-5D6E-409C-BE32-E72D297353CC}">
              <c16:uniqueId val="{00000000-3E7F-40ED-BC37-CFEA761C8B7E}"/>
            </c:ext>
          </c:extLst>
        </c:ser>
        <c:ser>
          <c:idx val="1"/>
          <c:order val="1"/>
          <c:tx>
            <c:strRef>
              <c:f>'M chart data'!$C$17</c:f>
              <c:strCache>
                <c:ptCount val="1"/>
                <c:pt idx="0">
                  <c:v>1997-2001</c:v>
                </c:pt>
              </c:strCache>
            </c:strRef>
          </c:tx>
          <c:spPr>
            <a:solidFill>
              <a:srgbClr val="E7E6E6">
                <a:lumMod val="90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data'!$C$18:$C$41</c:f>
              <c:numCache>
                <c:formatCode>General</c:formatCode>
                <c:ptCount val="24"/>
                <c:pt idx="0">
                  <c:v>18.407999999999959</c:v>
                </c:pt>
                <c:pt idx="1">
                  <c:v>12.480000000000031</c:v>
                </c:pt>
                <c:pt idx="2">
                  <c:v>15.496000000000095</c:v>
                </c:pt>
                <c:pt idx="3">
                  <c:v>14.143999999999995</c:v>
                </c:pt>
                <c:pt idx="4">
                  <c:v>19.343999999999994</c:v>
                </c:pt>
                <c:pt idx="5">
                  <c:v>12.063999999999965</c:v>
                </c:pt>
                <c:pt idx="6">
                  <c:v>10.608000000000105</c:v>
                </c:pt>
                <c:pt idx="7">
                  <c:v>8.7360000000000344</c:v>
                </c:pt>
                <c:pt idx="8">
                  <c:v>14.144000000000142</c:v>
                </c:pt>
                <c:pt idx="9">
                  <c:v>14.248000000000047</c:v>
                </c:pt>
                <c:pt idx="10">
                  <c:v>16.743999999999996</c:v>
                </c:pt>
                <c:pt idx="11">
                  <c:v>20.07200000000007</c:v>
                </c:pt>
                <c:pt idx="12">
                  <c:v>0</c:v>
                </c:pt>
                <c:pt idx="13">
                  <c:v>14.663999999999964</c:v>
                </c:pt>
                <c:pt idx="14">
                  <c:v>15.912000000000086</c:v>
                </c:pt>
                <c:pt idx="15">
                  <c:v>16.848000000000045</c:v>
                </c:pt>
                <c:pt idx="16">
                  <c:v>21.424000000000024</c:v>
                </c:pt>
                <c:pt idx="17">
                  <c:v>17.783999999999935</c:v>
                </c:pt>
                <c:pt idx="18">
                  <c:v>19.656000000000006</c:v>
                </c:pt>
                <c:pt idx="19">
                  <c:v>13.416000000000064</c:v>
                </c:pt>
                <c:pt idx="20">
                  <c:v>7.9040000000000532</c:v>
                </c:pt>
                <c:pt idx="21">
                  <c:v>10.295999999999948</c:v>
                </c:pt>
                <c:pt idx="22">
                  <c:v>7.5919999999998939</c:v>
                </c:pt>
                <c:pt idx="23">
                  <c:v>0</c:v>
                </c:pt>
              </c:numCache>
            </c:numRef>
          </c:val>
          <c:extLst xmlns:c16r2="http://schemas.microsoft.com/office/drawing/2015/06/chart">
            <c:ext xmlns:c16="http://schemas.microsoft.com/office/drawing/2014/chart" uri="{C3380CC4-5D6E-409C-BE32-E72D297353CC}">
              <c16:uniqueId val="{00000001-3E7F-40ED-BC37-CFEA761C8B7E}"/>
            </c:ext>
          </c:extLst>
        </c:ser>
        <c:ser>
          <c:idx val="2"/>
          <c:order val="2"/>
          <c:tx>
            <c:strRef>
              <c:f>'M chart data'!$D$17</c:f>
              <c:strCache>
                <c:ptCount val="1"/>
                <c:pt idx="0">
                  <c:v>2002-2006</c:v>
                </c:pt>
              </c:strCache>
            </c:strRef>
          </c:tx>
          <c:spPr>
            <a:solidFill>
              <a:srgbClr val="E7E6E6">
                <a:lumMod val="75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data'!$D$18:$D$41</c:f>
              <c:numCache>
                <c:formatCode>General</c:formatCode>
                <c:ptCount val="24"/>
                <c:pt idx="0">
                  <c:v>11.336000000000036</c:v>
                </c:pt>
                <c:pt idx="1">
                  <c:v>10.504000000000053</c:v>
                </c:pt>
                <c:pt idx="2">
                  <c:v>14.871999999999924</c:v>
                </c:pt>
                <c:pt idx="3">
                  <c:v>15.287999999999988</c:v>
                </c:pt>
                <c:pt idx="4">
                  <c:v>15.287999999999988</c:v>
                </c:pt>
                <c:pt idx="5">
                  <c:v>18.92799999999993</c:v>
                </c:pt>
                <c:pt idx="6">
                  <c:v>11.95999999999991</c:v>
                </c:pt>
                <c:pt idx="7">
                  <c:v>16.015999999999917</c:v>
                </c:pt>
                <c:pt idx="8">
                  <c:v>18.095999999999947</c:v>
                </c:pt>
                <c:pt idx="9">
                  <c:v>9.9840000000000817</c:v>
                </c:pt>
                <c:pt idx="10">
                  <c:v>14.663999999999964</c:v>
                </c:pt>
                <c:pt idx="11">
                  <c:v>15.495999999999947</c:v>
                </c:pt>
                <c:pt idx="12">
                  <c:v>13.936000000000035</c:v>
                </c:pt>
                <c:pt idx="13">
                  <c:v>17.576000000000125</c:v>
                </c:pt>
                <c:pt idx="14">
                  <c:v>7.2799999999998821</c:v>
                </c:pt>
                <c:pt idx="15">
                  <c:v>12.792000000000042</c:v>
                </c:pt>
                <c:pt idx="16">
                  <c:v>9.8800000000000292</c:v>
                </c:pt>
                <c:pt idx="17">
                  <c:v>15.184000000000083</c:v>
                </c:pt>
                <c:pt idx="18">
                  <c:v>9.2560000000000056</c:v>
                </c:pt>
                <c:pt idx="19">
                  <c:v>-8.8400000000000887</c:v>
                </c:pt>
                <c:pt idx="20">
                  <c:v>9.8800000000000292</c:v>
                </c:pt>
                <c:pt idx="21">
                  <c:v>9.4639999999999649</c:v>
                </c:pt>
                <c:pt idx="22">
                  <c:v>25.792000000000041</c:v>
                </c:pt>
                <c:pt idx="23">
                  <c:v>17.36800000000002</c:v>
                </c:pt>
              </c:numCache>
            </c:numRef>
          </c:val>
          <c:extLst xmlns:c16r2="http://schemas.microsoft.com/office/drawing/2015/06/chart">
            <c:ext xmlns:c16="http://schemas.microsoft.com/office/drawing/2014/chart" uri="{C3380CC4-5D6E-409C-BE32-E72D297353CC}">
              <c16:uniqueId val="{00000002-3E7F-40ED-BC37-CFEA761C8B7E}"/>
            </c:ext>
          </c:extLst>
        </c:ser>
        <c:ser>
          <c:idx val="3"/>
          <c:order val="3"/>
          <c:tx>
            <c:strRef>
              <c:f>'M chart data'!$E$17</c:f>
              <c:strCache>
                <c:ptCount val="1"/>
                <c:pt idx="0">
                  <c:v>2007-2011</c:v>
                </c:pt>
              </c:strCache>
            </c:strRef>
          </c:tx>
          <c:spPr>
            <a:solidFill>
              <a:srgbClr val="E7E6E6">
                <a:lumMod val="50000"/>
              </a:srgbClr>
            </a:solidFill>
            <a:ln>
              <a:no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data'!$E$18:$E$41</c:f>
              <c:numCache>
                <c:formatCode>General</c:formatCode>
                <c:ptCount val="24"/>
                <c:pt idx="0">
                  <c:v>11.439999999999941</c:v>
                </c:pt>
                <c:pt idx="1">
                  <c:v>11.960000000000059</c:v>
                </c:pt>
                <c:pt idx="2">
                  <c:v>17.264000000000113</c:v>
                </c:pt>
                <c:pt idx="3">
                  <c:v>17.263999999999964</c:v>
                </c:pt>
                <c:pt idx="4">
                  <c:v>10.712000000000012</c:v>
                </c:pt>
                <c:pt idx="5">
                  <c:v>16.328000000000078</c:v>
                </c:pt>
                <c:pt idx="6">
                  <c:v>11.543999999999995</c:v>
                </c:pt>
                <c:pt idx="7">
                  <c:v>13.416000000000064</c:v>
                </c:pt>
                <c:pt idx="8">
                  <c:v>13.207999999999959</c:v>
                </c:pt>
                <c:pt idx="9">
                  <c:v>17.679999999999882</c:v>
                </c:pt>
                <c:pt idx="10">
                  <c:v>16.120000000000118</c:v>
                </c:pt>
                <c:pt idx="11">
                  <c:v>10.295999999999948</c:v>
                </c:pt>
                <c:pt idx="12">
                  <c:v>14.351999999999952</c:v>
                </c:pt>
                <c:pt idx="13">
                  <c:v>13</c:v>
                </c:pt>
                <c:pt idx="14">
                  <c:v>37.336000000000034</c:v>
                </c:pt>
                <c:pt idx="15">
                  <c:v>18.71999999999997</c:v>
                </c:pt>
                <c:pt idx="16">
                  <c:v>15.703999999999905</c:v>
                </c:pt>
                <c:pt idx="17">
                  <c:v>12.895999999999946</c:v>
                </c:pt>
                <c:pt idx="18">
                  <c:v>21.528000000000077</c:v>
                </c:pt>
                <c:pt idx="19">
                  <c:v>30.99200000000004</c:v>
                </c:pt>
                <c:pt idx="20">
                  <c:v>19.136000000000035</c:v>
                </c:pt>
                <c:pt idx="21">
                  <c:v>5.3040000000000527</c:v>
                </c:pt>
                <c:pt idx="22">
                  <c:v>38.063999999999965</c:v>
                </c:pt>
                <c:pt idx="23">
                  <c:v>19.343999999999994</c:v>
                </c:pt>
              </c:numCache>
            </c:numRef>
          </c:val>
          <c:extLst xmlns:c16r2="http://schemas.microsoft.com/office/drawing/2015/06/chart">
            <c:ext xmlns:c16="http://schemas.microsoft.com/office/drawing/2014/chart" uri="{C3380CC4-5D6E-409C-BE32-E72D297353CC}">
              <c16:uniqueId val="{00000003-3E7F-40ED-BC37-CFEA761C8B7E}"/>
            </c:ext>
          </c:extLst>
        </c:ser>
        <c:ser>
          <c:idx val="4"/>
          <c:order val="4"/>
          <c:tx>
            <c:strRef>
              <c:f>'M chart data'!$F$17</c:f>
              <c:strCache>
                <c:ptCount val="1"/>
                <c:pt idx="0">
                  <c:v>2012-2016</c:v>
                </c:pt>
              </c:strCache>
            </c:strRef>
          </c:tx>
          <c:spPr>
            <a:solidFill>
              <a:srgbClr val="E7E6E6">
                <a:lumMod val="25000"/>
              </a:srgbClr>
            </a:solidFill>
            <a:ln>
              <a:solidFill>
                <a:sysClr val="windowText" lastClr="000000">
                  <a:alpha val="30000"/>
                </a:sysClr>
              </a:solidFill>
            </a:ln>
            <a:effectLst/>
          </c:spPr>
          <c:invertIfNegative val="0"/>
          <c:cat>
            <c:strRef>
              <c:f>'M chart data'!$A$18:$A$41</c:f>
              <c:strCache>
                <c:ptCount val="24"/>
                <c:pt idx="0">
                  <c:v>Iceland</c:v>
                </c:pt>
                <c:pt idx="1">
                  <c:v>USA</c:v>
                </c:pt>
                <c:pt idx="2">
                  <c:v>England &amp; Wales</c:v>
                </c:pt>
                <c:pt idx="3">
                  <c:v>Scotland</c:v>
                </c:pt>
                <c:pt idx="4">
                  <c:v>Germany</c:v>
                </c:pt>
                <c:pt idx="5">
                  <c:v>Netherlands</c:v>
                </c:pt>
                <c:pt idx="6">
                  <c:v>Sweden</c:v>
                </c:pt>
                <c:pt idx="7">
                  <c:v>Israel</c:v>
                </c:pt>
                <c:pt idx="8">
                  <c:v>France</c:v>
                </c:pt>
                <c:pt idx="9">
                  <c:v>Northern Ireland</c:v>
                </c:pt>
                <c:pt idx="10">
                  <c:v>Spain</c:v>
                </c:pt>
                <c:pt idx="11">
                  <c:v>Austria</c:v>
                </c:pt>
                <c:pt idx="12">
                  <c:v>Croatia*</c:v>
                </c:pt>
                <c:pt idx="13">
                  <c:v>Switzerland</c:v>
                </c:pt>
                <c:pt idx="14">
                  <c:v>Latvia</c:v>
                </c:pt>
                <c:pt idx="15">
                  <c:v>Denmark</c:v>
                </c:pt>
                <c:pt idx="16">
                  <c:v>Poland</c:v>
                </c:pt>
                <c:pt idx="17">
                  <c:v>Czech Republic</c:v>
                </c:pt>
                <c:pt idx="18">
                  <c:v>Hungary</c:v>
                </c:pt>
                <c:pt idx="19">
                  <c:v>Lithuania</c:v>
                </c:pt>
                <c:pt idx="20">
                  <c:v>Slovakia</c:v>
                </c:pt>
                <c:pt idx="21">
                  <c:v>Japan</c:v>
                </c:pt>
                <c:pt idx="22">
                  <c:v>Estonia</c:v>
                </c:pt>
                <c:pt idx="23">
                  <c:v>Korea*</c:v>
                </c:pt>
              </c:strCache>
            </c:strRef>
          </c:cat>
          <c:val>
            <c:numRef>
              <c:f>'M chart data'!$F$18:$F$41</c:f>
              <c:numCache>
                <c:formatCode>General</c:formatCode>
                <c:ptCount val="24"/>
                <c:pt idx="0">
                  <c:v>-1.6639999999999646</c:v>
                </c:pt>
                <c:pt idx="1">
                  <c:v>-0.41600000000006504</c:v>
                </c:pt>
                <c:pt idx="2">
                  <c:v>3.9519999999999529</c:v>
                </c:pt>
                <c:pt idx="3">
                  <c:v>4.4720000000000715</c:v>
                </c:pt>
                <c:pt idx="4">
                  <c:v>6.3439999999999941</c:v>
                </c:pt>
                <c:pt idx="5">
                  <c:v>7.0719999999999228</c:v>
                </c:pt>
                <c:pt idx="6">
                  <c:v>8.0079999999999583</c:v>
                </c:pt>
                <c:pt idx="7">
                  <c:v>8.1120000000000108</c:v>
                </c:pt>
                <c:pt idx="8">
                  <c:v>9.3600000000000581</c:v>
                </c:pt>
                <c:pt idx="9">
                  <c:v>9.4640000000001123</c:v>
                </c:pt>
                <c:pt idx="10">
                  <c:v>10.503999999999905</c:v>
                </c:pt>
                <c:pt idx="11">
                  <c:v>11.128000000000076</c:v>
                </c:pt>
                <c:pt idx="12">
                  <c:v>11.856000000000007</c:v>
                </c:pt>
                <c:pt idx="13">
                  <c:v>12.895999999999946</c:v>
                </c:pt>
                <c:pt idx="14">
                  <c:v>12.896000000000095</c:v>
                </c:pt>
                <c:pt idx="15">
                  <c:v>13</c:v>
                </c:pt>
                <c:pt idx="16">
                  <c:v>13.728000000000076</c:v>
                </c:pt>
                <c:pt idx="17">
                  <c:v>13.831999999999983</c:v>
                </c:pt>
                <c:pt idx="18">
                  <c:v>14.663999999999964</c:v>
                </c:pt>
                <c:pt idx="19">
                  <c:v>14.871999999999924</c:v>
                </c:pt>
                <c:pt idx="20">
                  <c:v>15.495999999999947</c:v>
                </c:pt>
                <c:pt idx="21">
                  <c:v>16.119999999999973</c:v>
                </c:pt>
                <c:pt idx="22">
                  <c:v>19.656000000000006</c:v>
                </c:pt>
                <c:pt idx="23">
                  <c:v>20.592000000000041</c:v>
                </c:pt>
              </c:numCache>
            </c:numRef>
          </c:val>
          <c:extLst xmlns:c16r2="http://schemas.microsoft.com/office/drawing/2015/06/chart">
            <c:ext xmlns:c16="http://schemas.microsoft.com/office/drawing/2014/chart" uri="{C3380CC4-5D6E-409C-BE32-E72D297353CC}">
              <c16:uniqueId val="{00000004-3E7F-40ED-BC37-CFEA761C8B7E}"/>
            </c:ext>
          </c:extLst>
        </c:ser>
        <c:dLbls>
          <c:showLegendKey val="0"/>
          <c:showVal val="0"/>
          <c:showCatName val="0"/>
          <c:showSerName val="0"/>
          <c:showPercent val="0"/>
          <c:showBubbleSize val="0"/>
        </c:dLbls>
        <c:gapWidth val="219"/>
        <c:axId val="417845104"/>
        <c:axId val="417845664"/>
      </c:barChart>
      <c:catAx>
        <c:axId val="417845104"/>
        <c:scaling>
          <c:orientation val="minMax"/>
        </c:scaling>
        <c:delete val="0"/>
        <c:axPos val="b"/>
        <c:title>
          <c:tx>
            <c:rich>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Country</a:t>
                </a:r>
              </a:p>
            </c:rich>
          </c:tx>
          <c:layout/>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7845664"/>
        <c:crosses val="autoZero"/>
        <c:auto val="1"/>
        <c:lblAlgn val="ctr"/>
        <c:lblOffset val="100"/>
        <c:noMultiLvlLbl val="0"/>
      </c:catAx>
      <c:valAx>
        <c:axId val="417845664"/>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r>
                  <a:rPr lang="en-US" sz="1200" b="1"/>
                  <a:t>Mean annual change in life expectancy,</a:t>
                </a:r>
                <a:r>
                  <a:rPr lang="en-US" sz="1200" b="1" baseline="0"/>
                  <a:t> weeks</a:t>
                </a:r>
                <a:endParaRPr lang="en-US" sz="1200" b="1"/>
              </a:p>
            </c:rich>
          </c:tx>
          <c:layout/>
          <c:overlay val="0"/>
          <c:spPr>
            <a:noFill/>
            <a:ln>
              <a:noFill/>
            </a:ln>
            <a:effectLst/>
          </c:spPr>
          <c:txPr>
            <a:bodyPr rot="-54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17845104"/>
        <c:crosses val="autoZero"/>
        <c:crossBetween val="between"/>
      </c:valAx>
      <c:spPr>
        <a:noFill/>
        <a:ln>
          <a:noFill/>
        </a:ln>
        <a:effectLst/>
      </c:spPr>
    </c:plotArea>
    <c:legend>
      <c:legendPos val="b"/>
      <c:layout>
        <c:manualLayout>
          <c:xMode val="edge"/>
          <c:yMode val="edge"/>
          <c:x val="6.473645170783858E-2"/>
          <c:y val="4.6747928706959381E-2"/>
          <c:w val="0.42071080860315807"/>
          <c:h val="0.1320521427823991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3824685120758954E-2"/>
          <c:y val="6.228082375732942E-2"/>
          <c:w val="0.70140878152942732"/>
          <c:h val="0.82645586665074344"/>
        </c:manualLayout>
      </c:layout>
      <c:barChart>
        <c:barDir val="col"/>
        <c:grouping val="clustered"/>
        <c:varyColors val="0"/>
        <c:ser>
          <c:idx val="6"/>
          <c:order val="6"/>
          <c:tx>
            <c:v>Vertical blocks indicate breakpoints from two-break model</c:v>
          </c:tx>
          <c:spPr>
            <a:solidFill>
              <a:schemeClr val="bg2"/>
            </a:solidFill>
            <a:ln w="25400">
              <a:noFill/>
            </a:ln>
            <a:effectLst/>
          </c:spPr>
          <c:invertIfNegative val="0"/>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Data!$I$2:$I$112</c:f>
              <c:numCache>
                <c:formatCode>General</c:formatCode>
                <c:ptCount val="111"/>
                <c:pt idx="9">
                  <c:v>2082.4803000000002</c:v>
                </c:pt>
                <c:pt idx="10">
                  <c:v>2081.9155000000001</c:v>
                </c:pt>
                <c:pt idx="11">
                  <c:v>2081.3506000000002</c:v>
                </c:pt>
                <c:pt idx="12">
                  <c:v>2078.6941999999999</c:v>
                </c:pt>
                <c:pt idx="85">
                  <c:v>1373.4250999999999</c:v>
                </c:pt>
                <c:pt idx="86">
                  <c:v>1363.7638999999999</c:v>
                </c:pt>
                <c:pt idx="87">
                  <c:v>1354.1026999999999</c:v>
                </c:pt>
                <c:pt idx="88">
                  <c:v>1347.8692000000001</c:v>
                </c:pt>
                <c:pt idx="91">
                  <c:v>1000.8623</c:v>
                </c:pt>
                <c:pt idx="92">
                  <c:v>996.29139999999995</c:v>
                </c:pt>
                <c:pt idx="93">
                  <c:v>991.72059999999999</c:v>
                </c:pt>
                <c:pt idx="94">
                  <c:v>987.14970000000005</c:v>
                </c:pt>
              </c:numCache>
            </c:numRef>
          </c:val>
          <c:extLst xmlns:c16r2="http://schemas.microsoft.com/office/drawing/2015/06/chart">
            <c:ext xmlns:c16="http://schemas.microsoft.com/office/drawing/2014/chart" uri="{C3380CC4-5D6E-409C-BE32-E72D297353CC}">
              <c16:uniqueId val="{00000000-DD79-487F-8DAD-D56C67A900F8}"/>
            </c:ext>
          </c:extLst>
        </c:ser>
        <c:dLbls>
          <c:showLegendKey val="0"/>
          <c:showVal val="0"/>
          <c:showCatName val="0"/>
          <c:showSerName val="0"/>
          <c:showPercent val="0"/>
          <c:showBubbleSize val="0"/>
        </c:dLbls>
        <c:gapWidth val="0"/>
        <c:overlap val="100"/>
        <c:axId val="409286544"/>
        <c:axId val="409287104"/>
      </c:barChart>
      <c:lineChart>
        <c:grouping val="standard"/>
        <c:varyColors val="0"/>
        <c:ser>
          <c:idx val="3"/>
          <c:order val="0"/>
          <c:tx>
            <c:strRef>
              <c:f>Data!$F$1</c:f>
              <c:strCache>
                <c:ptCount val="1"/>
                <c:pt idx="0">
                  <c:v>Male observed rate</c:v>
                </c:pt>
              </c:strCache>
            </c:strRef>
          </c:tx>
          <c:spPr>
            <a:ln w="28575" cap="rnd">
              <a:noFill/>
              <a:round/>
            </a:ln>
            <a:effectLst/>
          </c:spPr>
          <c:marker>
            <c:symbol val="square"/>
            <c:size val="5"/>
            <c:spPr>
              <a:noFill/>
              <a:ln w="9525">
                <a:solidFill>
                  <a:schemeClr val="tx1"/>
                </a:solidFill>
              </a:ln>
              <a:effectLst/>
            </c:spPr>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Data!$F$2:$F$112</c:f>
              <c:numCache>
                <c:formatCode>General</c:formatCode>
                <c:ptCount val="111"/>
                <c:pt idx="0">
                  <c:v>2114.4</c:v>
                </c:pt>
                <c:pt idx="1">
                  <c:v>2090.5</c:v>
                </c:pt>
                <c:pt idx="2">
                  <c:v>2081.6</c:v>
                </c:pt>
                <c:pt idx="3">
                  <c:v>2074.8000000000002</c:v>
                </c:pt>
                <c:pt idx="4">
                  <c:v>2077</c:v>
                </c:pt>
                <c:pt idx="5">
                  <c:v>2084.4</c:v>
                </c:pt>
                <c:pt idx="6">
                  <c:v>2067.3000000000002</c:v>
                </c:pt>
                <c:pt idx="7">
                  <c:v>2076.6999999999998</c:v>
                </c:pt>
                <c:pt idx="8">
                  <c:v>2077.8000000000002</c:v>
                </c:pt>
                <c:pt idx="9">
                  <c:v>2071.5</c:v>
                </c:pt>
                <c:pt idx="10">
                  <c:v>2096.5</c:v>
                </c:pt>
                <c:pt idx="11">
                  <c:v>2097.3000000000002</c:v>
                </c:pt>
                <c:pt idx="12">
                  <c:v>2155.1999999999998</c:v>
                </c:pt>
                <c:pt idx="13">
                  <c:v>2139.6</c:v>
                </c:pt>
                <c:pt idx="14">
                  <c:v>2106.9</c:v>
                </c:pt>
                <c:pt idx="15">
                  <c:v>2077.1999999999998</c:v>
                </c:pt>
                <c:pt idx="16">
                  <c:v>1974</c:v>
                </c:pt>
                <c:pt idx="17">
                  <c:v>1966.1</c:v>
                </c:pt>
                <c:pt idx="18">
                  <c:v>1955</c:v>
                </c:pt>
                <c:pt idx="19">
                  <c:v>1952.1</c:v>
                </c:pt>
                <c:pt idx="20">
                  <c:v>1978.8</c:v>
                </c:pt>
                <c:pt idx="21">
                  <c:v>1999.1</c:v>
                </c:pt>
                <c:pt idx="22">
                  <c:v>1999.1</c:v>
                </c:pt>
                <c:pt idx="23">
                  <c:v>2008.3</c:v>
                </c:pt>
                <c:pt idx="24">
                  <c:v>1987.5</c:v>
                </c:pt>
                <c:pt idx="25">
                  <c:v>1955.8</c:v>
                </c:pt>
                <c:pt idx="26">
                  <c:v>1947</c:v>
                </c:pt>
                <c:pt idx="27">
                  <c:v>1917.5</c:v>
                </c:pt>
                <c:pt idx="28">
                  <c:v>1903.7</c:v>
                </c:pt>
                <c:pt idx="29">
                  <c:v>1879.2</c:v>
                </c:pt>
                <c:pt idx="30">
                  <c:v>1873.7</c:v>
                </c:pt>
                <c:pt idx="31">
                  <c:v>1880.7</c:v>
                </c:pt>
                <c:pt idx="32">
                  <c:v>1866.6</c:v>
                </c:pt>
                <c:pt idx="33">
                  <c:v>1933.5</c:v>
                </c:pt>
                <c:pt idx="34">
                  <c:v>1898.9</c:v>
                </c:pt>
                <c:pt idx="35">
                  <c:v>1875.1</c:v>
                </c:pt>
                <c:pt idx="36">
                  <c:v>1889.9</c:v>
                </c:pt>
                <c:pt idx="37">
                  <c:v>1858.2</c:v>
                </c:pt>
                <c:pt idx="38">
                  <c:v>1853</c:v>
                </c:pt>
                <c:pt idx="39">
                  <c:v>1824.3</c:v>
                </c:pt>
                <c:pt idx="40">
                  <c:v>1776.5</c:v>
                </c:pt>
                <c:pt idx="41">
                  <c:v>1733.1</c:v>
                </c:pt>
                <c:pt idx="42">
                  <c:v>1725.4</c:v>
                </c:pt>
                <c:pt idx="43">
                  <c:v>1740.1</c:v>
                </c:pt>
                <c:pt idx="44">
                  <c:v>1736</c:v>
                </c:pt>
                <c:pt idx="45">
                  <c:v>1711.9</c:v>
                </c:pt>
                <c:pt idx="46">
                  <c:v>1720</c:v>
                </c:pt>
                <c:pt idx="47">
                  <c:v>1719.2</c:v>
                </c:pt>
                <c:pt idx="48">
                  <c:v>1741.1</c:v>
                </c:pt>
                <c:pt idx="49">
                  <c:v>1750</c:v>
                </c:pt>
                <c:pt idx="50">
                  <c:v>1755.8</c:v>
                </c:pt>
                <c:pt idx="51">
                  <c:v>1751.5</c:v>
                </c:pt>
                <c:pt idx="52">
                  <c:v>1751.9</c:v>
                </c:pt>
                <c:pt idx="53">
                  <c:v>1734.9</c:v>
                </c:pt>
                <c:pt idx="54">
                  <c:v>1704.1</c:v>
                </c:pt>
                <c:pt idx="55">
                  <c:v>1684.9</c:v>
                </c:pt>
                <c:pt idx="56">
                  <c:v>1646</c:v>
                </c:pt>
                <c:pt idx="57">
                  <c:v>1648.7</c:v>
                </c:pt>
                <c:pt idx="58">
                  <c:v>1643.6</c:v>
                </c:pt>
                <c:pt idx="59">
                  <c:v>1623.2</c:v>
                </c:pt>
                <c:pt idx="60">
                  <c:v>1600.9</c:v>
                </c:pt>
                <c:pt idx="61">
                  <c:v>1578.2</c:v>
                </c:pt>
                <c:pt idx="62">
                  <c:v>1574.9</c:v>
                </c:pt>
                <c:pt idx="63">
                  <c:v>1561</c:v>
                </c:pt>
                <c:pt idx="64">
                  <c:v>1549.7</c:v>
                </c:pt>
                <c:pt idx="65">
                  <c:v>1560.9</c:v>
                </c:pt>
                <c:pt idx="66">
                  <c:v>1556.8</c:v>
                </c:pt>
                <c:pt idx="67">
                  <c:v>1556.4</c:v>
                </c:pt>
                <c:pt idx="68">
                  <c:v>1568.3</c:v>
                </c:pt>
                <c:pt idx="69">
                  <c:v>1544.7</c:v>
                </c:pt>
                <c:pt idx="70">
                  <c:v>1529.2</c:v>
                </c:pt>
                <c:pt idx="71">
                  <c:v>1515.2</c:v>
                </c:pt>
                <c:pt idx="72">
                  <c:v>1517.7</c:v>
                </c:pt>
                <c:pt idx="73">
                  <c:v>1508.1</c:v>
                </c:pt>
                <c:pt idx="74">
                  <c:v>1483.5</c:v>
                </c:pt>
                <c:pt idx="75">
                  <c:v>1478.2</c:v>
                </c:pt>
                <c:pt idx="76">
                  <c:v>1444</c:v>
                </c:pt>
                <c:pt idx="77">
                  <c:v>1435</c:v>
                </c:pt>
                <c:pt idx="78">
                  <c:v>1426.9</c:v>
                </c:pt>
                <c:pt idx="79">
                  <c:v>1413.6</c:v>
                </c:pt>
                <c:pt idx="80">
                  <c:v>1422.5</c:v>
                </c:pt>
                <c:pt idx="81">
                  <c:v>1408.5</c:v>
                </c:pt>
                <c:pt idx="82">
                  <c:v>1402.1</c:v>
                </c:pt>
                <c:pt idx="83">
                  <c:v>1407</c:v>
                </c:pt>
                <c:pt idx="84">
                  <c:v>1378</c:v>
                </c:pt>
                <c:pt idx="85">
                  <c:v>1357.1</c:v>
                </c:pt>
                <c:pt idx="86">
                  <c:v>1366.8</c:v>
                </c:pt>
                <c:pt idx="87">
                  <c:v>1353</c:v>
                </c:pt>
                <c:pt idx="88">
                  <c:v>1356.8</c:v>
                </c:pt>
                <c:pt idx="89">
                  <c:v>1375.6</c:v>
                </c:pt>
                <c:pt idx="90">
                  <c:v>1369.2</c:v>
                </c:pt>
                <c:pt idx="91">
                  <c:v>1354.3</c:v>
                </c:pt>
                <c:pt idx="92">
                  <c:v>1344.9</c:v>
                </c:pt>
                <c:pt idx="93">
                  <c:v>1313</c:v>
                </c:pt>
                <c:pt idx="94">
                  <c:v>1290.4000000000001</c:v>
                </c:pt>
                <c:pt idx="95">
                  <c:v>1300.2</c:v>
                </c:pt>
                <c:pt idx="96">
                  <c:v>1311</c:v>
                </c:pt>
                <c:pt idx="97">
                  <c:v>1362.2</c:v>
                </c:pt>
                <c:pt idx="98">
                  <c:v>1381.3</c:v>
                </c:pt>
                <c:pt idx="99">
                  <c:v>1382.2</c:v>
                </c:pt>
                <c:pt idx="100">
                  <c:v>1371.2</c:v>
                </c:pt>
                <c:pt idx="101">
                  <c:v>1341.8</c:v>
                </c:pt>
                <c:pt idx="102">
                  <c:v>1325.5</c:v>
                </c:pt>
                <c:pt idx="103">
                  <c:v>1322.6</c:v>
                </c:pt>
                <c:pt idx="104">
                  <c:v>1326.4</c:v>
                </c:pt>
                <c:pt idx="105">
                  <c:v>1324.8</c:v>
                </c:pt>
                <c:pt idx="106">
                  <c:v>1324.9</c:v>
                </c:pt>
                <c:pt idx="107">
                  <c:v>1318.6</c:v>
                </c:pt>
                <c:pt idx="108">
                  <c:v>1329</c:v>
                </c:pt>
                <c:pt idx="109">
                  <c:v>1364</c:v>
                </c:pt>
                <c:pt idx="110">
                  <c:v>1354.8</c:v>
                </c:pt>
              </c:numCache>
            </c:numRef>
          </c:val>
          <c:smooth val="0"/>
          <c:extLst xmlns:c16r2="http://schemas.microsoft.com/office/drawing/2015/06/chart">
            <c:ext xmlns:c16="http://schemas.microsoft.com/office/drawing/2014/chart" uri="{C3380CC4-5D6E-409C-BE32-E72D297353CC}">
              <c16:uniqueId val="{00000001-DD79-487F-8DAD-D56C67A900F8}"/>
            </c:ext>
          </c:extLst>
        </c:ser>
        <c:ser>
          <c:idx val="4"/>
          <c:order val="1"/>
          <c:tx>
            <c:strRef>
              <c:f>Data!$G$1</c:f>
              <c:strCache>
                <c:ptCount val="1"/>
                <c:pt idx="0">
                  <c:v>Male predicted one-break model</c:v>
                </c:pt>
              </c:strCache>
            </c:strRef>
          </c:tx>
          <c:spPr>
            <a:ln w="25400" cap="rnd">
              <a:solidFill>
                <a:schemeClr val="tx1"/>
              </a:solidFill>
              <a:prstDash val="sysDash"/>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Data!$G$2:$G$112</c:f>
              <c:numCache>
                <c:formatCode>General</c:formatCode>
                <c:ptCount val="111"/>
                <c:pt idx="0">
                  <c:v>2164.2901999999999</c:v>
                </c:pt>
                <c:pt idx="1">
                  <c:v>2155.1653000000001</c:v>
                </c:pt>
                <c:pt idx="2">
                  <c:v>2146.0403999999999</c:v>
                </c:pt>
                <c:pt idx="3">
                  <c:v>2136.9153999999999</c:v>
                </c:pt>
                <c:pt idx="4">
                  <c:v>2127.7905000000001</c:v>
                </c:pt>
                <c:pt idx="5">
                  <c:v>2118.6655999999998</c:v>
                </c:pt>
                <c:pt idx="6">
                  <c:v>2109.5407</c:v>
                </c:pt>
                <c:pt idx="7">
                  <c:v>2100.4158000000002</c:v>
                </c:pt>
                <c:pt idx="8">
                  <c:v>2091.2909</c:v>
                </c:pt>
                <c:pt idx="9">
                  <c:v>2082.1659</c:v>
                </c:pt>
                <c:pt idx="10">
                  <c:v>2073.0410000000002</c:v>
                </c:pt>
                <c:pt idx="11">
                  <c:v>2063.9160999999999</c:v>
                </c:pt>
                <c:pt idx="12">
                  <c:v>2054.7912000000001</c:v>
                </c:pt>
                <c:pt idx="13">
                  <c:v>2045.6663000000001</c:v>
                </c:pt>
                <c:pt idx="14">
                  <c:v>2036.5414000000001</c:v>
                </c:pt>
                <c:pt idx="15">
                  <c:v>2027.4164000000001</c:v>
                </c:pt>
                <c:pt idx="16">
                  <c:v>2018.2915</c:v>
                </c:pt>
                <c:pt idx="17">
                  <c:v>2009.1666</c:v>
                </c:pt>
                <c:pt idx="18">
                  <c:v>2000.0417</c:v>
                </c:pt>
                <c:pt idx="19">
                  <c:v>1990.9168</c:v>
                </c:pt>
                <c:pt idx="20">
                  <c:v>1981.7918999999999</c:v>
                </c:pt>
                <c:pt idx="21">
                  <c:v>1972.6669999999999</c:v>
                </c:pt>
                <c:pt idx="22">
                  <c:v>1963.5419999999999</c:v>
                </c:pt>
                <c:pt idx="23">
                  <c:v>1954.4170999999999</c:v>
                </c:pt>
                <c:pt idx="24">
                  <c:v>1945.2922000000001</c:v>
                </c:pt>
                <c:pt idx="25">
                  <c:v>1936.1673000000001</c:v>
                </c:pt>
                <c:pt idx="26">
                  <c:v>1927.0424</c:v>
                </c:pt>
                <c:pt idx="27">
                  <c:v>1917.9175</c:v>
                </c:pt>
                <c:pt idx="28">
                  <c:v>1908.7925</c:v>
                </c:pt>
                <c:pt idx="29">
                  <c:v>1899.6676</c:v>
                </c:pt>
                <c:pt idx="30">
                  <c:v>1890.5427</c:v>
                </c:pt>
                <c:pt idx="31">
                  <c:v>1881.4177999999999</c:v>
                </c:pt>
                <c:pt idx="32">
                  <c:v>1872.2928999999999</c:v>
                </c:pt>
                <c:pt idx="33">
                  <c:v>1863.1679999999999</c:v>
                </c:pt>
                <c:pt idx="34">
                  <c:v>1854.0431000000001</c:v>
                </c:pt>
                <c:pt idx="35">
                  <c:v>1844.9181000000001</c:v>
                </c:pt>
                <c:pt idx="36">
                  <c:v>1835.7932000000001</c:v>
                </c:pt>
                <c:pt idx="37">
                  <c:v>1826.6683</c:v>
                </c:pt>
                <c:pt idx="38">
                  <c:v>1817.5434</c:v>
                </c:pt>
                <c:pt idx="39">
                  <c:v>1808.4185</c:v>
                </c:pt>
                <c:pt idx="40">
                  <c:v>1799.2936</c:v>
                </c:pt>
                <c:pt idx="41">
                  <c:v>1790.1686</c:v>
                </c:pt>
                <c:pt idx="42">
                  <c:v>1781.0436999999999</c:v>
                </c:pt>
                <c:pt idx="43">
                  <c:v>1771.9187999999999</c:v>
                </c:pt>
                <c:pt idx="44">
                  <c:v>1762.7938999999999</c:v>
                </c:pt>
                <c:pt idx="45">
                  <c:v>1753.6690000000001</c:v>
                </c:pt>
                <c:pt idx="46">
                  <c:v>1744.5441000000001</c:v>
                </c:pt>
                <c:pt idx="47">
                  <c:v>1735.4191000000001</c:v>
                </c:pt>
                <c:pt idx="48">
                  <c:v>1726.2942</c:v>
                </c:pt>
                <c:pt idx="49">
                  <c:v>1717.1693</c:v>
                </c:pt>
                <c:pt idx="50">
                  <c:v>1708.0444</c:v>
                </c:pt>
                <c:pt idx="51">
                  <c:v>1698.9195</c:v>
                </c:pt>
                <c:pt idx="52">
                  <c:v>1689.7945999999999</c:v>
                </c:pt>
                <c:pt idx="53">
                  <c:v>1680.6696999999999</c:v>
                </c:pt>
                <c:pt idx="54">
                  <c:v>1671.5446999999999</c:v>
                </c:pt>
                <c:pt idx="55">
                  <c:v>1662.4197999999999</c:v>
                </c:pt>
                <c:pt idx="56">
                  <c:v>1653.2949000000001</c:v>
                </c:pt>
                <c:pt idx="57">
                  <c:v>1644.17</c:v>
                </c:pt>
                <c:pt idx="58">
                  <c:v>1635.0451</c:v>
                </c:pt>
                <c:pt idx="59">
                  <c:v>1625.9202</c:v>
                </c:pt>
                <c:pt idx="60">
                  <c:v>1616.7952</c:v>
                </c:pt>
                <c:pt idx="61">
                  <c:v>1607.6703</c:v>
                </c:pt>
                <c:pt idx="62">
                  <c:v>1598.5454</c:v>
                </c:pt>
                <c:pt idx="63">
                  <c:v>1589.4204999999999</c:v>
                </c:pt>
                <c:pt idx="64">
                  <c:v>1580.2955999999999</c:v>
                </c:pt>
                <c:pt idx="65">
                  <c:v>1571.1706999999999</c:v>
                </c:pt>
                <c:pt idx="66">
                  <c:v>1562.0458000000001</c:v>
                </c:pt>
                <c:pt idx="67">
                  <c:v>1552.9208000000001</c:v>
                </c:pt>
                <c:pt idx="68">
                  <c:v>1543.7959000000001</c:v>
                </c:pt>
                <c:pt idx="69">
                  <c:v>1534.671</c:v>
                </c:pt>
                <c:pt idx="70">
                  <c:v>1525.5461</c:v>
                </c:pt>
                <c:pt idx="71">
                  <c:v>1516.4212</c:v>
                </c:pt>
                <c:pt idx="72">
                  <c:v>1507.2963</c:v>
                </c:pt>
                <c:pt idx="73">
                  <c:v>1498.1713</c:v>
                </c:pt>
                <c:pt idx="74">
                  <c:v>1489.0463999999999</c:v>
                </c:pt>
                <c:pt idx="75">
                  <c:v>1479.9214999999999</c:v>
                </c:pt>
                <c:pt idx="76">
                  <c:v>1470.7965999999999</c:v>
                </c:pt>
                <c:pt idx="77">
                  <c:v>1461.6717000000001</c:v>
                </c:pt>
                <c:pt idx="78">
                  <c:v>1452.5468000000001</c:v>
                </c:pt>
                <c:pt idx="79">
                  <c:v>1443.4218000000001</c:v>
                </c:pt>
                <c:pt idx="80">
                  <c:v>1434.2969000000001</c:v>
                </c:pt>
                <c:pt idx="81">
                  <c:v>1425.172</c:v>
                </c:pt>
                <c:pt idx="82">
                  <c:v>1416.0471</c:v>
                </c:pt>
                <c:pt idx="83">
                  <c:v>1406.9222</c:v>
                </c:pt>
                <c:pt idx="84">
                  <c:v>1397.7973</c:v>
                </c:pt>
                <c:pt idx="85">
                  <c:v>1388.6723999999999</c:v>
                </c:pt>
                <c:pt idx="86">
                  <c:v>1379.5473999999999</c:v>
                </c:pt>
                <c:pt idx="87">
                  <c:v>1370.4224999999999</c:v>
                </c:pt>
                <c:pt idx="88">
                  <c:v>1361.2976000000001</c:v>
                </c:pt>
                <c:pt idx="89">
                  <c:v>1352.1727000000001</c:v>
                </c:pt>
                <c:pt idx="90">
                  <c:v>1343.0478000000001</c:v>
                </c:pt>
                <c:pt idx="91">
                  <c:v>1333.9229</c:v>
                </c:pt>
                <c:pt idx="92">
                  <c:v>1328.8632</c:v>
                </c:pt>
                <c:pt idx="93">
                  <c:v>1329.6841999999999</c:v>
                </c:pt>
                <c:pt idx="94">
                  <c:v>1330.5053</c:v>
                </c:pt>
                <c:pt idx="95">
                  <c:v>1331.3262999999999</c:v>
                </c:pt>
                <c:pt idx="96">
                  <c:v>1332.1474000000001</c:v>
                </c:pt>
                <c:pt idx="97">
                  <c:v>1332.9684</c:v>
                </c:pt>
                <c:pt idx="98">
                  <c:v>1333.7895000000001</c:v>
                </c:pt>
                <c:pt idx="99">
                  <c:v>1334.6105</c:v>
                </c:pt>
                <c:pt idx="100">
                  <c:v>1335.4315999999999</c:v>
                </c:pt>
                <c:pt idx="101">
                  <c:v>1336.2526</c:v>
                </c:pt>
                <c:pt idx="102">
                  <c:v>1337.0736999999999</c:v>
                </c:pt>
                <c:pt idx="103">
                  <c:v>1337.8947000000001</c:v>
                </c:pt>
                <c:pt idx="104">
                  <c:v>1338.7157999999999</c:v>
                </c:pt>
                <c:pt idx="105">
                  <c:v>1339.5368000000001</c:v>
                </c:pt>
                <c:pt idx="106">
                  <c:v>1340.3579</c:v>
                </c:pt>
                <c:pt idx="107">
                  <c:v>1341.1789000000001</c:v>
                </c:pt>
                <c:pt idx="108">
                  <c:v>1342</c:v>
                </c:pt>
                <c:pt idx="109">
                  <c:v>1342.8210999999999</c:v>
                </c:pt>
                <c:pt idx="110">
                  <c:v>1343.6421</c:v>
                </c:pt>
              </c:numCache>
            </c:numRef>
          </c:val>
          <c:smooth val="0"/>
          <c:extLst xmlns:c16r2="http://schemas.microsoft.com/office/drawing/2015/06/chart">
            <c:ext xmlns:c16="http://schemas.microsoft.com/office/drawing/2014/chart" uri="{C3380CC4-5D6E-409C-BE32-E72D297353CC}">
              <c16:uniqueId val="{00000002-DD79-487F-8DAD-D56C67A900F8}"/>
            </c:ext>
          </c:extLst>
        </c:ser>
        <c:ser>
          <c:idx val="5"/>
          <c:order val="2"/>
          <c:tx>
            <c:strRef>
              <c:f>Data!$H$1</c:f>
              <c:strCache>
                <c:ptCount val="1"/>
                <c:pt idx="0">
                  <c:v>Male two-break model</c:v>
                </c:pt>
              </c:strCache>
            </c:strRef>
          </c:tx>
          <c:spPr>
            <a:ln w="19050" cap="rnd" cmpd="sng">
              <a:solidFill>
                <a:schemeClr val="tx1"/>
              </a:solidFill>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Data!$H$2:$H$112</c:f>
              <c:numCache>
                <c:formatCode>General</c:formatCode>
                <c:ptCount val="111"/>
                <c:pt idx="0">
                  <c:v>2087.5641000000001</c:v>
                </c:pt>
                <c:pt idx="1">
                  <c:v>2086.9992000000002</c:v>
                </c:pt>
                <c:pt idx="2">
                  <c:v>2086.4344000000001</c:v>
                </c:pt>
                <c:pt idx="3">
                  <c:v>2085.8694999999998</c:v>
                </c:pt>
                <c:pt idx="4">
                  <c:v>2085.3045999999999</c:v>
                </c:pt>
                <c:pt idx="5">
                  <c:v>2084.7397999999998</c:v>
                </c:pt>
                <c:pt idx="6">
                  <c:v>2084.1749</c:v>
                </c:pt>
                <c:pt idx="7">
                  <c:v>2083.6100999999999</c:v>
                </c:pt>
                <c:pt idx="8">
                  <c:v>2083.0452</c:v>
                </c:pt>
                <c:pt idx="9">
                  <c:v>2082.4803000000002</c:v>
                </c:pt>
                <c:pt idx="10">
                  <c:v>2081.9155000000001</c:v>
                </c:pt>
                <c:pt idx="11">
                  <c:v>2081.3506000000002</c:v>
                </c:pt>
                <c:pt idx="12">
                  <c:v>2078.6941999999999</c:v>
                </c:pt>
                <c:pt idx="13">
                  <c:v>2069.0329999999999</c:v>
                </c:pt>
                <c:pt idx="14">
                  <c:v>2059.3717000000001</c:v>
                </c:pt>
                <c:pt idx="15">
                  <c:v>2049.7105000000001</c:v>
                </c:pt>
                <c:pt idx="16">
                  <c:v>2040.0492999999999</c:v>
                </c:pt>
                <c:pt idx="17">
                  <c:v>2030.3880999999999</c:v>
                </c:pt>
                <c:pt idx="18">
                  <c:v>2020.7268999999999</c:v>
                </c:pt>
                <c:pt idx="19">
                  <c:v>2011.0655999999999</c:v>
                </c:pt>
                <c:pt idx="20">
                  <c:v>2001.4043999999999</c:v>
                </c:pt>
                <c:pt idx="21">
                  <c:v>1991.7431999999999</c:v>
                </c:pt>
                <c:pt idx="22">
                  <c:v>1982.0820000000001</c:v>
                </c:pt>
                <c:pt idx="23">
                  <c:v>1972.4208000000001</c:v>
                </c:pt>
                <c:pt idx="24">
                  <c:v>1962.7594999999999</c:v>
                </c:pt>
                <c:pt idx="25">
                  <c:v>1953.0983000000001</c:v>
                </c:pt>
                <c:pt idx="26">
                  <c:v>1943.4371000000001</c:v>
                </c:pt>
                <c:pt idx="27">
                  <c:v>1933.7759000000001</c:v>
                </c:pt>
                <c:pt idx="28">
                  <c:v>1924.1147000000001</c:v>
                </c:pt>
                <c:pt idx="29">
                  <c:v>1914.4534000000001</c:v>
                </c:pt>
                <c:pt idx="30">
                  <c:v>1904.7922000000001</c:v>
                </c:pt>
                <c:pt idx="31">
                  <c:v>1895.1310000000001</c:v>
                </c:pt>
                <c:pt idx="32">
                  <c:v>1885.4698000000001</c:v>
                </c:pt>
                <c:pt idx="33">
                  <c:v>1875.8086000000001</c:v>
                </c:pt>
                <c:pt idx="34">
                  <c:v>1866.1473000000001</c:v>
                </c:pt>
                <c:pt idx="35">
                  <c:v>1856.4861000000001</c:v>
                </c:pt>
                <c:pt idx="36">
                  <c:v>1846.8249000000001</c:v>
                </c:pt>
                <c:pt idx="37">
                  <c:v>1837.1637000000001</c:v>
                </c:pt>
                <c:pt idx="38">
                  <c:v>1827.5025000000001</c:v>
                </c:pt>
                <c:pt idx="39">
                  <c:v>1817.8412000000001</c:v>
                </c:pt>
                <c:pt idx="40">
                  <c:v>1808.18</c:v>
                </c:pt>
                <c:pt idx="41">
                  <c:v>1798.5188000000001</c:v>
                </c:pt>
                <c:pt idx="42">
                  <c:v>1788.8576</c:v>
                </c:pt>
                <c:pt idx="43">
                  <c:v>1779.1964</c:v>
                </c:pt>
                <c:pt idx="44">
                  <c:v>1769.5351000000001</c:v>
                </c:pt>
                <c:pt idx="45">
                  <c:v>1759.8739</c:v>
                </c:pt>
                <c:pt idx="46">
                  <c:v>1750.2127</c:v>
                </c:pt>
                <c:pt idx="47">
                  <c:v>1740.5515</c:v>
                </c:pt>
                <c:pt idx="48">
                  <c:v>1730.8903</c:v>
                </c:pt>
                <c:pt idx="49">
                  <c:v>1721.229</c:v>
                </c:pt>
                <c:pt idx="50">
                  <c:v>1711.5678</c:v>
                </c:pt>
                <c:pt idx="51">
                  <c:v>1701.9066</c:v>
                </c:pt>
                <c:pt idx="52">
                  <c:v>1692.2454</c:v>
                </c:pt>
                <c:pt idx="53">
                  <c:v>1682.5842</c:v>
                </c:pt>
                <c:pt idx="54">
                  <c:v>1672.9229</c:v>
                </c:pt>
                <c:pt idx="55">
                  <c:v>1663.2617</c:v>
                </c:pt>
                <c:pt idx="56">
                  <c:v>1653.6005</c:v>
                </c:pt>
                <c:pt idx="57">
                  <c:v>1643.9393</c:v>
                </c:pt>
                <c:pt idx="58">
                  <c:v>1634.2781</c:v>
                </c:pt>
                <c:pt idx="59">
                  <c:v>1624.6168</c:v>
                </c:pt>
                <c:pt idx="60">
                  <c:v>1614.9556</c:v>
                </c:pt>
                <c:pt idx="61">
                  <c:v>1605.2944</c:v>
                </c:pt>
                <c:pt idx="62">
                  <c:v>1595.6332</c:v>
                </c:pt>
                <c:pt idx="63">
                  <c:v>1585.972</c:v>
                </c:pt>
                <c:pt idx="64">
                  <c:v>1576.3107</c:v>
                </c:pt>
                <c:pt idx="65">
                  <c:v>1566.6495</c:v>
                </c:pt>
                <c:pt idx="66">
                  <c:v>1556.9883</c:v>
                </c:pt>
                <c:pt idx="67">
                  <c:v>1547.3271</c:v>
                </c:pt>
                <c:pt idx="68">
                  <c:v>1537.6659</c:v>
                </c:pt>
                <c:pt idx="69">
                  <c:v>1528.0046</c:v>
                </c:pt>
                <c:pt idx="70">
                  <c:v>1518.3434</c:v>
                </c:pt>
                <c:pt idx="71">
                  <c:v>1508.6822</c:v>
                </c:pt>
                <c:pt idx="72">
                  <c:v>1499.021</c:v>
                </c:pt>
                <c:pt idx="73">
                  <c:v>1489.3598</c:v>
                </c:pt>
                <c:pt idx="74">
                  <c:v>1479.6985</c:v>
                </c:pt>
                <c:pt idx="75">
                  <c:v>1470.0373</c:v>
                </c:pt>
                <c:pt idx="76">
                  <c:v>1460.3761</c:v>
                </c:pt>
                <c:pt idx="77">
                  <c:v>1450.7148999999999</c:v>
                </c:pt>
                <c:pt idx="78">
                  <c:v>1441.0536999999999</c:v>
                </c:pt>
                <c:pt idx="79">
                  <c:v>1431.3924</c:v>
                </c:pt>
                <c:pt idx="80">
                  <c:v>1421.7311999999999</c:v>
                </c:pt>
                <c:pt idx="81">
                  <c:v>1412.07</c:v>
                </c:pt>
                <c:pt idx="82">
                  <c:v>1402.4087999999999</c:v>
                </c:pt>
                <c:pt idx="83">
                  <c:v>1392.7475999999999</c:v>
                </c:pt>
                <c:pt idx="84">
                  <c:v>1383.0862999999999</c:v>
                </c:pt>
                <c:pt idx="85">
                  <c:v>1373.4250999999999</c:v>
                </c:pt>
                <c:pt idx="86">
                  <c:v>1363.7638999999999</c:v>
                </c:pt>
                <c:pt idx="87">
                  <c:v>1354.1026999999999</c:v>
                </c:pt>
                <c:pt idx="88">
                  <c:v>1347.8692000000001</c:v>
                </c:pt>
                <c:pt idx="89">
                  <c:v>1347.2599</c:v>
                </c:pt>
                <c:pt idx="90">
                  <c:v>1346.6505999999999</c:v>
                </c:pt>
                <c:pt idx="91">
                  <c:v>1346.0411999999999</c:v>
                </c:pt>
                <c:pt idx="92">
                  <c:v>1345.4319</c:v>
                </c:pt>
                <c:pt idx="93">
                  <c:v>1344.8226</c:v>
                </c:pt>
                <c:pt idx="94">
                  <c:v>1344.2131999999999</c:v>
                </c:pt>
                <c:pt idx="95">
                  <c:v>1343.6039000000001</c:v>
                </c:pt>
                <c:pt idx="96">
                  <c:v>1342.9946</c:v>
                </c:pt>
                <c:pt idx="97">
                  <c:v>1342.3851999999999</c:v>
                </c:pt>
                <c:pt idx="98">
                  <c:v>1341.7759000000001</c:v>
                </c:pt>
                <c:pt idx="99">
                  <c:v>1341.1666</c:v>
                </c:pt>
                <c:pt idx="100">
                  <c:v>1340.5572</c:v>
                </c:pt>
                <c:pt idx="101">
                  <c:v>1339.9478999999999</c:v>
                </c:pt>
                <c:pt idx="102">
                  <c:v>1339.3386</c:v>
                </c:pt>
                <c:pt idx="103">
                  <c:v>1338.7292</c:v>
                </c:pt>
                <c:pt idx="104">
                  <c:v>1338.1198999999999</c:v>
                </c:pt>
                <c:pt idx="105">
                  <c:v>1337.5106000000001</c:v>
                </c:pt>
                <c:pt idx="106">
                  <c:v>1336.9012</c:v>
                </c:pt>
                <c:pt idx="107">
                  <c:v>1336.2918999999999</c:v>
                </c:pt>
                <c:pt idx="108">
                  <c:v>1335.6826000000001</c:v>
                </c:pt>
                <c:pt idx="109">
                  <c:v>1335.0732</c:v>
                </c:pt>
                <c:pt idx="110">
                  <c:v>1334.4639</c:v>
                </c:pt>
              </c:numCache>
            </c:numRef>
          </c:val>
          <c:smooth val="0"/>
          <c:extLst xmlns:c16r2="http://schemas.microsoft.com/office/drawing/2015/06/chart">
            <c:ext xmlns:c16="http://schemas.microsoft.com/office/drawing/2014/chart" uri="{C3380CC4-5D6E-409C-BE32-E72D297353CC}">
              <c16:uniqueId val="{00000003-DD79-487F-8DAD-D56C67A900F8}"/>
            </c:ext>
          </c:extLst>
        </c:ser>
        <c:ser>
          <c:idx val="0"/>
          <c:order val="3"/>
          <c:tx>
            <c:strRef>
              <c:f>Data!$C$1</c:f>
              <c:strCache>
                <c:ptCount val="1"/>
                <c:pt idx="0">
                  <c:v>Female observed rate</c:v>
                </c:pt>
              </c:strCache>
            </c:strRef>
          </c:tx>
          <c:spPr>
            <a:ln w="28575" cap="rnd">
              <a:noFill/>
              <a:round/>
            </a:ln>
            <a:effectLst/>
          </c:spPr>
          <c:marker>
            <c:symbol val="circle"/>
            <c:size val="5"/>
            <c:spPr>
              <a:noFill/>
              <a:ln w="9525">
                <a:solidFill>
                  <a:schemeClr val="tx1"/>
                </a:solidFill>
              </a:ln>
              <a:effectLst/>
            </c:spPr>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Data!$C$2:$C$112</c:f>
              <c:numCache>
                <c:formatCode>General</c:formatCode>
                <c:ptCount val="111"/>
                <c:pt idx="0">
                  <c:v>1386.2</c:v>
                </c:pt>
                <c:pt idx="1">
                  <c:v>1371</c:v>
                </c:pt>
                <c:pt idx="2">
                  <c:v>1362</c:v>
                </c:pt>
                <c:pt idx="3">
                  <c:v>1356.4</c:v>
                </c:pt>
                <c:pt idx="4">
                  <c:v>1359.8</c:v>
                </c:pt>
                <c:pt idx="5">
                  <c:v>1358.6</c:v>
                </c:pt>
                <c:pt idx="6">
                  <c:v>1349.8</c:v>
                </c:pt>
                <c:pt idx="7">
                  <c:v>1354.1</c:v>
                </c:pt>
                <c:pt idx="8">
                  <c:v>1341.6</c:v>
                </c:pt>
                <c:pt idx="9">
                  <c:v>1345.7</c:v>
                </c:pt>
                <c:pt idx="10">
                  <c:v>1360</c:v>
                </c:pt>
                <c:pt idx="11">
                  <c:v>1364.8</c:v>
                </c:pt>
                <c:pt idx="12">
                  <c:v>1418.1</c:v>
                </c:pt>
                <c:pt idx="13">
                  <c:v>1405.9</c:v>
                </c:pt>
                <c:pt idx="14">
                  <c:v>1379.6</c:v>
                </c:pt>
                <c:pt idx="15">
                  <c:v>1375.9</c:v>
                </c:pt>
                <c:pt idx="16">
                  <c:v>1300.4000000000001</c:v>
                </c:pt>
                <c:pt idx="17">
                  <c:v>1297.0999999999999</c:v>
                </c:pt>
                <c:pt idx="18">
                  <c:v>1306.9000000000001</c:v>
                </c:pt>
                <c:pt idx="19">
                  <c:v>1290.5999999999999</c:v>
                </c:pt>
                <c:pt idx="20">
                  <c:v>1318.1</c:v>
                </c:pt>
                <c:pt idx="21">
                  <c:v>1331.4</c:v>
                </c:pt>
                <c:pt idx="22">
                  <c:v>1315.4</c:v>
                </c:pt>
                <c:pt idx="23">
                  <c:v>1313.5</c:v>
                </c:pt>
                <c:pt idx="24">
                  <c:v>1298.3</c:v>
                </c:pt>
                <c:pt idx="25">
                  <c:v>1298.3</c:v>
                </c:pt>
                <c:pt idx="26">
                  <c:v>1300.7</c:v>
                </c:pt>
                <c:pt idx="27">
                  <c:v>1295.2</c:v>
                </c:pt>
                <c:pt idx="28">
                  <c:v>1281.8</c:v>
                </c:pt>
                <c:pt idx="29">
                  <c:v>1257.5</c:v>
                </c:pt>
                <c:pt idx="30">
                  <c:v>1258.5999999999999</c:v>
                </c:pt>
                <c:pt idx="31">
                  <c:v>1263.7</c:v>
                </c:pt>
                <c:pt idx="32">
                  <c:v>1269.2</c:v>
                </c:pt>
                <c:pt idx="33">
                  <c:v>1311.4</c:v>
                </c:pt>
                <c:pt idx="34">
                  <c:v>1293.5999999999999</c:v>
                </c:pt>
                <c:pt idx="35">
                  <c:v>1284.3</c:v>
                </c:pt>
                <c:pt idx="36">
                  <c:v>1287.9000000000001</c:v>
                </c:pt>
                <c:pt idx="37">
                  <c:v>1271.4000000000001</c:v>
                </c:pt>
                <c:pt idx="38">
                  <c:v>1266.3</c:v>
                </c:pt>
                <c:pt idx="39">
                  <c:v>1255.7</c:v>
                </c:pt>
                <c:pt idx="40">
                  <c:v>1218.3</c:v>
                </c:pt>
                <c:pt idx="41">
                  <c:v>1184.0999999999999</c:v>
                </c:pt>
                <c:pt idx="42">
                  <c:v>1183.0999999999999</c:v>
                </c:pt>
                <c:pt idx="43">
                  <c:v>1184.5</c:v>
                </c:pt>
                <c:pt idx="44">
                  <c:v>1196.2</c:v>
                </c:pt>
                <c:pt idx="45">
                  <c:v>1184.5999999999999</c:v>
                </c:pt>
                <c:pt idx="46">
                  <c:v>1187.9000000000001</c:v>
                </c:pt>
                <c:pt idx="47">
                  <c:v>1193.4000000000001</c:v>
                </c:pt>
                <c:pt idx="48">
                  <c:v>1201.8</c:v>
                </c:pt>
                <c:pt idx="49">
                  <c:v>1208.9000000000001</c:v>
                </c:pt>
                <c:pt idx="50">
                  <c:v>1206.4000000000001</c:v>
                </c:pt>
                <c:pt idx="51">
                  <c:v>1200.5999999999999</c:v>
                </c:pt>
                <c:pt idx="52">
                  <c:v>1213</c:v>
                </c:pt>
                <c:pt idx="53">
                  <c:v>1208.5999999999999</c:v>
                </c:pt>
                <c:pt idx="54">
                  <c:v>1198.9000000000001</c:v>
                </c:pt>
                <c:pt idx="55">
                  <c:v>1193.3</c:v>
                </c:pt>
                <c:pt idx="56">
                  <c:v>1157.2</c:v>
                </c:pt>
                <c:pt idx="57">
                  <c:v>1158.8</c:v>
                </c:pt>
                <c:pt idx="58">
                  <c:v>1161.2</c:v>
                </c:pt>
                <c:pt idx="59">
                  <c:v>1153.5</c:v>
                </c:pt>
                <c:pt idx="60">
                  <c:v>1139.0999999999999</c:v>
                </c:pt>
                <c:pt idx="61">
                  <c:v>1115.8</c:v>
                </c:pt>
                <c:pt idx="62">
                  <c:v>1119.0999999999999</c:v>
                </c:pt>
                <c:pt idx="63">
                  <c:v>1116.5999999999999</c:v>
                </c:pt>
                <c:pt idx="64">
                  <c:v>1112.5999999999999</c:v>
                </c:pt>
                <c:pt idx="65">
                  <c:v>1137.7</c:v>
                </c:pt>
                <c:pt idx="66">
                  <c:v>1114.5</c:v>
                </c:pt>
                <c:pt idx="67">
                  <c:v>1105.7</c:v>
                </c:pt>
                <c:pt idx="68">
                  <c:v>1114.5999999999999</c:v>
                </c:pt>
                <c:pt idx="69">
                  <c:v>1092.5</c:v>
                </c:pt>
                <c:pt idx="70">
                  <c:v>1100.3</c:v>
                </c:pt>
                <c:pt idx="71">
                  <c:v>1103.2</c:v>
                </c:pt>
                <c:pt idx="72">
                  <c:v>1111.3</c:v>
                </c:pt>
                <c:pt idx="73">
                  <c:v>1102.7</c:v>
                </c:pt>
                <c:pt idx="74">
                  <c:v>1083.5999999999999</c:v>
                </c:pt>
                <c:pt idx="75">
                  <c:v>1072.0999999999999</c:v>
                </c:pt>
                <c:pt idx="76">
                  <c:v>1056.2</c:v>
                </c:pt>
                <c:pt idx="77">
                  <c:v>1047.5</c:v>
                </c:pt>
                <c:pt idx="78">
                  <c:v>1045</c:v>
                </c:pt>
                <c:pt idx="79">
                  <c:v>1045.5999999999999</c:v>
                </c:pt>
                <c:pt idx="80">
                  <c:v>1036.2</c:v>
                </c:pt>
                <c:pt idx="81">
                  <c:v>1025.3</c:v>
                </c:pt>
                <c:pt idx="82">
                  <c:v>1022.6</c:v>
                </c:pt>
                <c:pt idx="83">
                  <c:v>1013.4</c:v>
                </c:pt>
                <c:pt idx="84">
                  <c:v>1006.9</c:v>
                </c:pt>
                <c:pt idx="85">
                  <c:v>1001.2</c:v>
                </c:pt>
                <c:pt idx="86">
                  <c:v>1013.4</c:v>
                </c:pt>
                <c:pt idx="87">
                  <c:v>1019.4</c:v>
                </c:pt>
                <c:pt idx="88">
                  <c:v>1034</c:v>
                </c:pt>
                <c:pt idx="89">
                  <c:v>1047.2</c:v>
                </c:pt>
                <c:pt idx="90">
                  <c:v>1042.9000000000001</c:v>
                </c:pt>
                <c:pt idx="91">
                  <c:v>1026.9000000000001</c:v>
                </c:pt>
                <c:pt idx="92">
                  <c:v>1004.3</c:v>
                </c:pt>
                <c:pt idx="93">
                  <c:v>976.5</c:v>
                </c:pt>
                <c:pt idx="94">
                  <c:v>952.9</c:v>
                </c:pt>
                <c:pt idx="95">
                  <c:v>960.4</c:v>
                </c:pt>
                <c:pt idx="96">
                  <c:v>972.4</c:v>
                </c:pt>
                <c:pt idx="97">
                  <c:v>1021.2</c:v>
                </c:pt>
                <c:pt idx="98">
                  <c:v>1039</c:v>
                </c:pt>
                <c:pt idx="99">
                  <c:v>1038.4000000000001</c:v>
                </c:pt>
                <c:pt idx="100">
                  <c:v>1024.4000000000001</c:v>
                </c:pt>
                <c:pt idx="101">
                  <c:v>996.9</c:v>
                </c:pt>
                <c:pt idx="102">
                  <c:v>984</c:v>
                </c:pt>
                <c:pt idx="103">
                  <c:v>981.1</c:v>
                </c:pt>
                <c:pt idx="104">
                  <c:v>988.4</c:v>
                </c:pt>
                <c:pt idx="105">
                  <c:v>993.4</c:v>
                </c:pt>
                <c:pt idx="106">
                  <c:v>996.2</c:v>
                </c:pt>
                <c:pt idx="107">
                  <c:v>992.5</c:v>
                </c:pt>
                <c:pt idx="108">
                  <c:v>997.6</c:v>
                </c:pt>
                <c:pt idx="109">
                  <c:v>1033.7</c:v>
                </c:pt>
                <c:pt idx="110">
                  <c:v>1024.5999999999999</c:v>
                </c:pt>
              </c:numCache>
            </c:numRef>
          </c:val>
          <c:smooth val="0"/>
          <c:extLst xmlns:c16r2="http://schemas.microsoft.com/office/drawing/2015/06/chart">
            <c:ext xmlns:c16="http://schemas.microsoft.com/office/drawing/2014/chart" uri="{C3380CC4-5D6E-409C-BE32-E72D297353CC}">
              <c16:uniqueId val="{00000004-DD79-487F-8DAD-D56C67A900F8}"/>
            </c:ext>
          </c:extLst>
        </c:ser>
        <c:ser>
          <c:idx val="1"/>
          <c:order val="4"/>
          <c:tx>
            <c:strRef>
              <c:f>Data!$D$1</c:f>
              <c:strCache>
                <c:ptCount val="1"/>
                <c:pt idx="0">
                  <c:v>Female one-break model</c:v>
                </c:pt>
              </c:strCache>
            </c:strRef>
          </c:tx>
          <c:spPr>
            <a:ln w="25400" cap="rnd">
              <a:solidFill>
                <a:schemeClr val="bg1">
                  <a:lumMod val="50000"/>
                </a:schemeClr>
              </a:solidFill>
              <a:prstDash val="sysDash"/>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Data!$D$2:$D$112</c:f>
              <c:numCache>
                <c:formatCode>General</c:formatCode>
                <c:ptCount val="111"/>
                <c:pt idx="0">
                  <c:v>1403.6322</c:v>
                </c:pt>
                <c:pt idx="1">
                  <c:v>1399.2592</c:v>
                </c:pt>
                <c:pt idx="2">
                  <c:v>1394.8861999999999</c:v>
                </c:pt>
                <c:pt idx="3">
                  <c:v>1390.5130999999999</c:v>
                </c:pt>
                <c:pt idx="4">
                  <c:v>1386.1401000000001</c:v>
                </c:pt>
                <c:pt idx="5">
                  <c:v>1381.7671</c:v>
                </c:pt>
                <c:pt idx="6">
                  <c:v>1377.3941</c:v>
                </c:pt>
                <c:pt idx="7">
                  <c:v>1373.021</c:v>
                </c:pt>
                <c:pt idx="8">
                  <c:v>1368.6479999999999</c:v>
                </c:pt>
                <c:pt idx="9">
                  <c:v>1364.2750000000001</c:v>
                </c:pt>
                <c:pt idx="10">
                  <c:v>1359.902</c:v>
                </c:pt>
                <c:pt idx="11">
                  <c:v>1355.529</c:v>
                </c:pt>
                <c:pt idx="12">
                  <c:v>1351.1559</c:v>
                </c:pt>
                <c:pt idx="13">
                  <c:v>1346.7828999999999</c:v>
                </c:pt>
                <c:pt idx="14">
                  <c:v>1342.4099000000001</c:v>
                </c:pt>
                <c:pt idx="15">
                  <c:v>1338.0369000000001</c:v>
                </c:pt>
                <c:pt idx="16">
                  <c:v>1333.6638</c:v>
                </c:pt>
                <c:pt idx="17">
                  <c:v>1329.2908</c:v>
                </c:pt>
                <c:pt idx="18">
                  <c:v>1324.9177999999999</c:v>
                </c:pt>
                <c:pt idx="19">
                  <c:v>1320.5447999999999</c:v>
                </c:pt>
                <c:pt idx="20">
                  <c:v>1316.1717000000001</c:v>
                </c:pt>
                <c:pt idx="21">
                  <c:v>1311.7987000000001</c:v>
                </c:pt>
                <c:pt idx="22">
                  <c:v>1307.4257</c:v>
                </c:pt>
                <c:pt idx="23">
                  <c:v>1303.0527</c:v>
                </c:pt>
                <c:pt idx="24">
                  <c:v>1298.6796999999999</c:v>
                </c:pt>
                <c:pt idx="25">
                  <c:v>1294.3065999999999</c:v>
                </c:pt>
                <c:pt idx="26">
                  <c:v>1289.9336000000001</c:v>
                </c:pt>
                <c:pt idx="27">
                  <c:v>1285.5606</c:v>
                </c:pt>
                <c:pt idx="28">
                  <c:v>1281.1876</c:v>
                </c:pt>
                <c:pt idx="29">
                  <c:v>1276.8145</c:v>
                </c:pt>
                <c:pt idx="30">
                  <c:v>1272.4414999999999</c:v>
                </c:pt>
                <c:pt idx="31">
                  <c:v>1268.0685000000001</c:v>
                </c:pt>
                <c:pt idx="32">
                  <c:v>1263.6955</c:v>
                </c:pt>
                <c:pt idx="33">
                  <c:v>1259.3225</c:v>
                </c:pt>
                <c:pt idx="34">
                  <c:v>1254.9494</c:v>
                </c:pt>
                <c:pt idx="35">
                  <c:v>1250.5763999999999</c:v>
                </c:pt>
                <c:pt idx="36">
                  <c:v>1246.2034000000001</c:v>
                </c:pt>
                <c:pt idx="37">
                  <c:v>1241.8304000000001</c:v>
                </c:pt>
                <c:pt idx="38">
                  <c:v>1237.4573</c:v>
                </c:pt>
                <c:pt idx="39">
                  <c:v>1233.0843</c:v>
                </c:pt>
                <c:pt idx="40">
                  <c:v>1228.7112999999999</c:v>
                </c:pt>
                <c:pt idx="41">
                  <c:v>1224.3382999999999</c:v>
                </c:pt>
                <c:pt idx="42">
                  <c:v>1219.9652000000001</c:v>
                </c:pt>
                <c:pt idx="43">
                  <c:v>1215.5922</c:v>
                </c:pt>
                <c:pt idx="44">
                  <c:v>1211.2192</c:v>
                </c:pt>
                <c:pt idx="45">
                  <c:v>1206.8462</c:v>
                </c:pt>
                <c:pt idx="46">
                  <c:v>1202.4731999999999</c:v>
                </c:pt>
                <c:pt idx="47">
                  <c:v>1198.1001000000001</c:v>
                </c:pt>
                <c:pt idx="48">
                  <c:v>1193.7271000000001</c:v>
                </c:pt>
                <c:pt idx="49">
                  <c:v>1189.3541</c:v>
                </c:pt>
                <c:pt idx="50">
                  <c:v>1184.9811</c:v>
                </c:pt>
                <c:pt idx="51">
                  <c:v>1180.6079999999999</c:v>
                </c:pt>
                <c:pt idx="52">
                  <c:v>1176.2349999999999</c:v>
                </c:pt>
                <c:pt idx="53">
                  <c:v>1171.8620000000001</c:v>
                </c:pt>
                <c:pt idx="54">
                  <c:v>1167.489</c:v>
                </c:pt>
                <c:pt idx="55">
                  <c:v>1163.1159</c:v>
                </c:pt>
                <c:pt idx="56">
                  <c:v>1158.7429</c:v>
                </c:pt>
                <c:pt idx="57">
                  <c:v>1154.3698999999999</c:v>
                </c:pt>
                <c:pt idx="58">
                  <c:v>1149.9969000000001</c:v>
                </c:pt>
                <c:pt idx="59">
                  <c:v>1145.6239</c:v>
                </c:pt>
                <c:pt idx="60">
                  <c:v>1141.2508</c:v>
                </c:pt>
                <c:pt idx="61">
                  <c:v>1136.8778</c:v>
                </c:pt>
                <c:pt idx="62">
                  <c:v>1132.5047999999999</c:v>
                </c:pt>
                <c:pt idx="63">
                  <c:v>1128.1318000000001</c:v>
                </c:pt>
                <c:pt idx="64">
                  <c:v>1123.7587000000001</c:v>
                </c:pt>
                <c:pt idx="65">
                  <c:v>1119.3857</c:v>
                </c:pt>
                <c:pt idx="66">
                  <c:v>1115.0127</c:v>
                </c:pt>
                <c:pt idx="67">
                  <c:v>1110.6396999999999</c:v>
                </c:pt>
                <c:pt idx="68">
                  <c:v>1106.2665999999999</c:v>
                </c:pt>
                <c:pt idx="69">
                  <c:v>1101.8936000000001</c:v>
                </c:pt>
                <c:pt idx="70">
                  <c:v>1097.5206000000001</c:v>
                </c:pt>
                <c:pt idx="71">
                  <c:v>1093.1476</c:v>
                </c:pt>
                <c:pt idx="72">
                  <c:v>1088.7746</c:v>
                </c:pt>
                <c:pt idx="73">
                  <c:v>1084.4014999999999</c:v>
                </c:pt>
                <c:pt idx="74">
                  <c:v>1080.0284999999999</c:v>
                </c:pt>
                <c:pt idx="75">
                  <c:v>1075.6555000000001</c:v>
                </c:pt>
                <c:pt idx="76">
                  <c:v>1071.2825</c:v>
                </c:pt>
                <c:pt idx="77">
                  <c:v>1066.9094</c:v>
                </c:pt>
                <c:pt idx="78">
                  <c:v>1062.5364</c:v>
                </c:pt>
                <c:pt idx="79">
                  <c:v>1058.1633999999999</c:v>
                </c:pt>
                <c:pt idx="80">
                  <c:v>1053.7904000000001</c:v>
                </c:pt>
                <c:pt idx="81">
                  <c:v>1049.4173000000001</c:v>
                </c:pt>
                <c:pt idx="82">
                  <c:v>1045.0443</c:v>
                </c:pt>
                <c:pt idx="83">
                  <c:v>1040.6713</c:v>
                </c:pt>
                <c:pt idx="84">
                  <c:v>1036.2982999999999</c:v>
                </c:pt>
                <c:pt idx="85">
                  <c:v>1031.9253000000001</c:v>
                </c:pt>
                <c:pt idx="86">
                  <c:v>1027.5522000000001</c:v>
                </c:pt>
                <c:pt idx="87">
                  <c:v>1023.1792</c:v>
                </c:pt>
                <c:pt idx="88">
                  <c:v>1018.8062</c:v>
                </c:pt>
                <c:pt idx="89">
                  <c:v>1014.4332000000001</c:v>
                </c:pt>
                <c:pt idx="90">
                  <c:v>1010.0601</c:v>
                </c:pt>
                <c:pt idx="91">
                  <c:v>1005.6871</c:v>
                </c:pt>
                <c:pt idx="92">
                  <c:v>1001.3141000000001</c:v>
                </c:pt>
                <c:pt idx="93">
                  <c:v>996.94110000000001</c:v>
                </c:pt>
                <c:pt idx="94">
                  <c:v>992.58</c:v>
                </c:pt>
                <c:pt idx="95">
                  <c:v>993.70719999999994</c:v>
                </c:pt>
                <c:pt idx="96">
                  <c:v>994.83429999999998</c:v>
                </c:pt>
                <c:pt idx="97">
                  <c:v>995.9615</c:v>
                </c:pt>
                <c:pt idx="98">
                  <c:v>997.08870000000002</c:v>
                </c:pt>
                <c:pt idx="99">
                  <c:v>998.21590000000003</c:v>
                </c:pt>
                <c:pt idx="100">
                  <c:v>999.34299999999996</c:v>
                </c:pt>
                <c:pt idx="101">
                  <c:v>1000.4702</c:v>
                </c:pt>
                <c:pt idx="102">
                  <c:v>1001.5974</c:v>
                </c:pt>
                <c:pt idx="103">
                  <c:v>1002.7246</c:v>
                </c:pt>
                <c:pt idx="104">
                  <c:v>1003.8518</c:v>
                </c:pt>
                <c:pt idx="105">
                  <c:v>1004.9789</c:v>
                </c:pt>
                <c:pt idx="106">
                  <c:v>1006.1061</c:v>
                </c:pt>
                <c:pt idx="107">
                  <c:v>1007.2333</c:v>
                </c:pt>
                <c:pt idx="108">
                  <c:v>1008.3605</c:v>
                </c:pt>
                <c:pt idx="109">
                  <c:v>1009.4876</c:v>
                </c:pt>
                <c:pt idx="110">
                  <c:v>1010.6147999999999</c:v>
                </c:pt>
              </c:numCache>
            </c:numRef>
          </c:val>
          <c:smooth val="0"/>
          <c:extLst xmlns:c16r2="http://schemas.microsoft.com/office/drawing/2015/06/chart">
            <c:ext xmlns:c16="http://schemas.microsoft.com/office/drawing/2014/chart" uri="{C3380CC4-5D6E-409C-BE32-E72D297353CC}">
              <c16:uniqueId val="{00000005-DD79-487F-8DAD-D56C67A900F8}"/>
            </c:ext>
          </c:extLst>
        </c:ser>
        <c:ser>
          <c:idx val="2"/>
          <c:order val="5"/>
          <c:tx>
            <c:strRef>
              <c:f>Data!$E$1</c:f>
              <c:strCache>
                <c:ptCount val="1"/>
                <c:pt idx="0">
                  <c:v>Female two-break model</c:v>
                </c:pt>
              </c:strCache>
            </c:strRef>
          </c:tx>
          <c:spPr>
            <a:ln w="19050" cap="rnd" cmpd="sng">
              <a:solidFill>
                <a:schemeClr val="bg1">
                  <a:lumMod val="50000"/>
                </a:schemeClr>
              </a:solidFill>
              <a:prstDash val="solid"/>
              <a:round/>
            </a:ln>
            <a:effectLst/>
          </c:spPr>
          <c:marker>
            <c:symbol val="none"/>
          </c:marker>
          <c:cat>
            <c:strRef>
              <c:f>Data!$A$2:$A$112</c:f>
              <c:strCache>
                <c:ptCount val="110"/>
                <c:pt idx="1">
                  <c:v>1991</c:v>
                </c:pt>
                <c:pt idx="5">
                  <c:v>1992</c:v>
                </c:pt>
                <c:pt idx="9">
                  <c:v>1993</c:v>
                </c:pt>
                <c:pt idx="13">
                  <c:v>1994</c:v>
                </c:pt>
                <c:pt idx="17">
                  <c:v>1995</c:v>
                </c:pt>
                <c:pt idx="21">
                  <c:v>1996</c:v>
                </c:pt>
                <c:pt idx="25">
                  <c:v>1997</c:v>
                </c:pt>
                <c:pt idx="29">
                  <c:v>1998</c:v>
                </c:pt>
                <c:pt idx="33">
                  <c:v>1999</c:v>
                </c:pt>
                <c:pt idx="37">
                  <c:v>2000</c:v>
                </c:pt>
                <c:pt idx="41">
                  <c:v>2001</c:v>
                </c:pt>
                <c:pt idx="45">
                  <c:v>2002</c:v>
                </c:pt>
                <c:pt idx="49">
                  <c:v>2003</c:v>
                </c:pt>
                <c:pt idx="53">
                  <c:v>2004</c:v>
                </c:pt>
                <c:pt idx="57">
                  <c:v>2005</c:v>
                </c:pt>
                <c:pt idx="61">
                  <c:v>2006</c:v>
                </c:pt>
                <c:pt idx="65">
                  <c:v>2007</c:v>
                </c:pt>
                <c:pt idx="69">
                  <c:v>2008</c:v>
                </c:pt>
                <c:pt idx="73">
                  <c:v>2009</c:v>
                </c:pt>
                <c:pt idx="77">
                  <c:v>2010</c:v>
                </c:pt>
                <c:pt idx="81">
                  <c:v>2011</c:v>
                </c:pt>
                <c:pt idx="85">
                  <c:v>2012</c:v>
                </c:pt>
                <c:pt idx="89">
                  <c:v>2013</c:v>
                </c:pt>
                <c:pt idx="93">
                  <c:v>2014</c:v>
                </c:pt>
                <c:pt idx="97">
                  <c:v>2015</c:v>
                </c:pt>
                <c:pt idx="101">
                  <c:v>2016</c:v>
                </c:pt>
                <c:pt idx="105">
                  <c:v>2017</c:v>
                </c:pt>
                <c:pt idx="109">
                  <c:v>2018</c:v>
                </c:pt>
              </c:strCache>
            </c:strRef>
          </c:cat>
          <c:val>
            <c:numRef>
              <c:f>Data!$E$2:$E$112</c:f>
              <c:numCache>
                <c:formatCode>General</c:formatCode>
                <c:ptCount val="111"/>
                <c:pt idx="0">
                  <c:v>1362.8842999999999</c:v>
                </c:pt>
                <c:pt idx="1">
                  <c:v>1362.8430000000001</c:v>
                </c:pt>
                <c:pt idx="2">
                  <c:v>1362.8016</c:v>
                </c:pt>
                <c:pt idx="3">
                  <c:v>1362.7601999999999</c:v>
                </c:pt>
                <c:pt idx="4">
                  <c:v>1362.7189000000001</c:v>
                </c:pt>
                <c:pt idx="5">
                  <c:v>1362.6775</c:v>
                </c:pt>
                <c:pt idx="6">
                  <c:v>1362.6360999999999</c:v>
                </c:pt>
                <c:pt idx="7">
                  <c:v>1362.5947000000001</c:v>
                </c:pt>
                <c:pt idx="8">
                  <c:v>1362.5534</c:v>
                </c:pt>
                <c:pt idx="9">
                  <c:v>1362.5119999999999</c:v>
                </c:pt>
                <c:pt idx="10">
                  <c:v>1362.4706000000001</c:v>
                </c:pt>
                <c:pt idx="11">
                  <c:v>1362.4293</c:v>
                </c:pt>
                <c:pt idx="12">
                  <c:v>1361.9612</c:v>
                </c:pt>
                <c:pt idx="13">
                  <c:v>1357.3903</c:v>
                </c:pt>
                <c:pt idx="14">
                  <c:v>1352.8194000000001</c:v>
                </c:pt>
                <c:pt idx="15">
                  <c:v>1348.2485999999999</c:v>
                </c:pt>
                <c:pt idx="16">
                  <c:v>1343.6777</c:v>
                </c:pt>
                <c:pt idx="17">
                  <c:v>1339.1068</c:v>
                </c:pt>
                <c:pt idx="18">
                  <c:v>1334.5359000000001</c:v>
                </c:pt>
                <c:pt idx="19">
                  <c:v>1329.9650999999999</c:v>
                </c:pt>
                <c:pt idx="20">
                  <c:v>1325.3942</c:v>
                </c:pt>
                <c:pt idx="21">
                  <c:v>1320.8233</c:v>
                </c:pt>
                <c:pt idx="22">
                  <c:v>1316.2525000000001</c:v>
                </c:pt>
                <c:pt idx="23">
                  <c:v>1311.6815999999999</c:v>
                </c:pt>
                <c:pt idx="24">
                  <c:v>1307.1107</c:v>
                </c:pt>
                <c:pt idx="25">
                  <c:v>1302.5398</c:v>
                </c:pt>
                <c:pt idx="26">
                  <c:v>1297.9690000000001</c:v>
                </c:pt>
                <c:pt idx="27">
                  <c:v>1293.3981000000001</c:v>
                </c:pt>
                <c:pt idx="28">
                  <c:v>1288.8271999999999</c:v>
                </c:pt>
                <c:pt idx="29">
                  <c:v>1284.2564</c:v>
                </c:pt>
                <c:pt idx="30">
                  <c:v>1279.6855</c:v>
                </c:pt>
                <c:pt idx="31">
                  <c:v>1275.1146000000001</c:v>
                </c:pt>
                <c:pt idx="32">
                  <c:v>1270.5436999999999</c:v>
                </c:pt>
                <c:pt idx="33">
                  <c:v>1265.9729</c:v>
                </c:pt>
                <c:pt idx="34">
                  <c:v>1261.402</c:v>
                </c:pt>
                <c:pt idx="35">
                  <c:v>1256.8311000000001</c:v>
                </c:pt>
                <c:pt idx="36">
                  <c:v>1252.2602999999999</c:v>
                </c:pt>
                <c:pt idx="37">
                  <c:v>1247.6894</c:v>
                </c:pt>
                <c:pt idx="38">
                  <c:v>1243.1185</c:v>
                </c:pt>
                <c:pt idx="39">
                  <c:v>1238.5476000000001</c:v>
                </c:pt>
                <c:pt idx="40">
                  <c:v>1233.9767999999999</c:v>
                </c:pt>
                <c:pt idx="41">
                  <c:v>1229.4059</c:v>
                </c:pt>
                <c:pt idx="42">
                  <c:v>1224.835</c:v>
                </c:pt>
                <c:pt idx="43">
                  <c:v>1220.2642000000001</c:v>
                </c:pt>
                <c:pt idx="44">
                  <c:v>1215.6932999999999</c:v>
                </c:pt>
                <c:pt idx="45">
                  <c:v>1211.1224</c:v>
                </c:pt>
                <c:pt idx="46">
                  <c:v>1206.5515</c:v>
                </c:pt>
                <c:pt idx="47">
                  <c:v>1201.9807000000001</c:v>
                </c:pt>
                <c:pt idx="48">
                  <c:v>1197.4097999999999</c:v>
                </c:pt>
                <c:pt idx="49">
                  <c:v>1192.8389</c:v>
                </c:pt>
                <c:pt idx="50">
                  <c:v>1188.268</c:v>
                </c:pt>
                <c:pt idx="51">
                  <c:v>1183.6972000000001</c:v>
                </c:pt>
                <c:pt idx="52">
                  <c:v>1179.1262999999999</c:v>
                </c:pt>
                <c:pt idx="53">
                  <c:v>1174.5554</c:v>
                </c:pt>
                <c:pt idx="54">
                  <c:v>1169.9846</c:v>
                </c:pt>
                <c:pt idx="55">
                  <c:v>1165.4137000000001</c:v>
                </c:pt>
                <c:pt idx="56">
                  <c:v>1160.8427999999999</c:v>
                </c:pt>
                <c:pt idx="57">
                  <c:v>1156.2719</c:v>
                </c:pt>
                <c:pt idx="58">
                  <c:v>1151.7011</c:v>
                </c:pt>
                <c:pt idx="59">
                  <c:v>1147.1302000000001</c:v>
                </c:pt>
                <c:pt idx="60">
                  <c:v>1142.5592999999999</c:v>
                </c:pt>
                <c:pt idx="61">
                  <c:v>1137.9884999999999</c:v>
                </c:pt>
                <c:pt idx="62">
                  <c:v>1133.4176</c:v>
                </c:pt>
                <c:pt idx="63">
                  <c:v>1128.8467000000001</c:v>
                </c:pt>
                <c:pt idx="64">
                  <c:v>1124.2757999999999</c:v>
                </c:pt>
                <c:pt idx="65">
                  <c:v>1119.7049999999999</c:v>
                </c:pt>
                <c:pt idx="66">
                  <c:v>1115.1341</c:v>
                </c:pt>
                <c:pt idx="67">
                  <c:v>1110.5632000000001</c:v>
                </c:pt>
                <c:pt idx="68">
                  <c:v>1105.9924000000001</c:v>
                </c:pt>
                <c:pt idx="69">
                  <c:v>1101.4214999999999</c:v>
                </c:pt>
                <c:pt idx="70">
                  <c:v>1096.8506</c:v>
                </c:pt>
                <c:pt idx="71">
                  <c:v>1092.2797</c:v>
                </c:pt>
                <c:pt idx="72">
                  <c:v>1087.7089000000001</c:v>
                </c:pt>
                <c:pt idx="73">
                  <c:v>1083.1379999999999</c:v>
                </c:pt>
                <c:pt idx="74">
                  <c:v>1078.5671</c:v>
                </c:pt>
                <c:pt idx="75">
                  <c:v>1073.9963</c:v>
                </c:pt>
                <c:pt idx="76">
                  <c:v>1069.4254000000001</c:v>
                </c:pt>
                <c:pt idx="77">
                  <c:v>1064.8544999999999</c:v>
                </c:pt>
                <c:pt idx="78">
                  <c:v>1060.2836</c:v>
                </c:pt>
                <c:pt idx="79">
                  <c:v>1055.7128</c:v>
                </c:pt>
                <c:pt idx="80">
                  <c:v>1051.1419000000001</c:v>
                </c:pt>
                <c:pt idx="81">
                  <c:v>1046.5709999999999</c:v>
                </c:pt>
                <c:pt idx="82">
                  <c:v>1042.0001999999999</c:v>
                </c:pt>
                <c:pt idx="83">
                  <c:v>1037.4293</c:v>
                </c:pt>
                <c:pt idx="84">
                  <c:v>1032.8584000000001</c:v>
                </c:pt>
                <c:pt idx="85">
                  <c:v>1028.2874999999999</c:v>
                </c:pt>
                <c:pt idx="86">
                  <c:v>1023.7166999999999</c:v>
                </c:pt>
                <c:pt idx="87">
                  <c:v>1019.1458</c:v>
                </c:pt>
                <c:pt idx="88">
                  <c:v>1014.5749</c:v>
                </c:pt>
                <c:pt idx="89">
                  <c:v>1010.0041</c:v>
                </c:pt>
                <c:pt idx="90">
                  <c:v>1005.4332000000001</c:v>
                </c:pt>
                <c:pt idx="91">
                  <c:v>1000.8623</c:v>
                </c:pt>
                <c:pt idx="92">
                  <c:v>996.29139999999995</c:v>
                </c:pt>
                <c:pt idx="93">
                  <c:v>991.72059999999999</c:v>
                </c:pt>
                <c:pt idx="94">
                  <c:v>987.14970000000005</c:v>
                </c:pt>
                <c:pt idx="95">
                  <c:v>988.60990000000004</c:v>
                </c:pt>
                <c:pt idx="96">
                  <c:v>990.24620000000004</c:v>
                </c:pt>
                <c:pt idx="97">
                  <c:v>991.88260000000002</c:v>
                </c:pt>
                <c:pt idx="98">
                  <c:v>993.51890000000003</c:v>
                </c:pt>
                <c:pt idx="99">
                  <c:v>995.15520000000004</c:v>
                </c:pt>
                <c:pt idx="100">
                  <c:v>996.79150000000004</c:v>
                </c:pt>
                <c:pt idx="101">
                  <c:v>998.42780000000005</c:v>
                </c:pt>
                <c:pt idx="102">
                  <c:v>1000.0642</c:v>
                </c:pt>
                <c:pt idx="103">
                  <c:v>1001.7005</c:v>
                </c:pt>
                <c:pt idx="104">
                  <c:v>1003.3368</c:v>
                </c:pt>
                <c:pt idx="105">
                  <c:v>1004.9731</c:v>
                </c:pt>
                <c:pt idx="106">
                  <c:v>1006.6095</c:v>
                </c:pt>
                <c:pt idx="107">
                  <c:v>1008.2458</c:v>
                </c:pt>
                <c:pt idx="108">
                  <c:v>1009.8821</c:v>
                </c:pt>
                <c:pt idx="109">
                  <c:v>1011.5184</c:v>
                </c:pt>
                <c:pt idx="110">
                  <c:v>1013.1547</c:v>
                </c:pt>
              </c:numCache>
            </c:numRef>
          </c:val>
          <c:smooth val="0"/>
          <c:extLst xmlns:c16r2="http://schemas.microsoft.com/office/drawing/2015/06/chart">
            <c:ext xmlns:c16="http://schemas.microsoft.com/office/drawing/2014/chart" uri="{C3380CC4-5D6E-409C-BE32-E72D297353CC}">
              <c16:uniqueId val="{00000006-DD79-487F-8DAD-D56C67A900F8}"/>
            </c:ext>
          </c:extLst>
        </c:ser>
        <c:dLbls>
          <c:showLegendKey val="0"/>
          <c:showVal val="0"/>
          <c:showCatName val="0"/>
          <c:showSerName val="0"/>
          <c:showPercent val="0"/>
          <c:showBubbleSize val="0"/>
        </c:dLbls>
        <c:marker val="1"/>
        <c:smooth val="0"/>
        <c:axId val="409286544"/>
        <c:axId val="409287104"/>
      </c:lineChart>
      <c:catAx>
        <c:axId val="409286544"/>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Year </a:t>
                </a:r>
              </a:p>
            </c:rich>
          </c:tx>
          <c:layout>
            <c:manualLayout>
              <c:xMode val="edge"/>
              <c:yMode val="edge"/>
              <c:x val="0.44170846240028333"/>
              <c:y val="0.95380800127256804"/>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09287104"/>
        <c:crosses val="autoZero"/>
        <c:auto val="1"/>
        <c:lblAlgn val="ctr"/>
        <c:lblOffset val="100"/>
        <c:noMultiLvlLbl val="0"/>
      </c:catAx>
      <c:valAx>
        <c:axId val="409287104"/>
        <c:scaling>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Age-standardised mortality rate per 100,000</a:t>
                </a:r>
              </a:p>
            </c:rich>
          </c:tx>
          <c:layout>
            <c:manualLayout>
              <c:xMode val="edge"/>
              <c:yMode val="edge"/>
              <c:x val="4.1926078953579615E-3"/>
              <c:y val="0.25148588244651238"/>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09286544"/>
        <c:crosses val="autoZero"/>
        <c:crossBetween val="between"/>
      </c:valAx>
      <c:spPr>
        <a:noFill/>
        <a:ln w="6350">
          <a:noFill/>
        </a:ln>
        <a:effectLst/>
      </c:spPr>
    </c:plotArea>
    <c:legend>
      <c:legendPos val="r"/>
      <c:layout>
        <c:manualLayout>
          <c:xMode val="edge"/>
          <c:yMode val="edge"/>
          <c:x val="0.54355168824235944"/>
          <c:y val="3.2984692786016435E-2"/>
          <c:w val="0.44695678633391173"/>
          <c:h val="0.33105594203100452"/>
        </c:manualLayout>
      </c:layout>
      <c:overlay val="0"/>
      <c:spPr>
        <a:noFill/>
        <a:ln>
          <a:solidFill>
            <a:schemeClr val="dk1"/>
          </a:solid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userShapes r:id="rId5"/>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5.4060347107774319E-2"/>
          <c:y val="1.4195812732710736E-2"/>
          <c:w val="0.92836859346070111"/>
          <c:h val="0.87393273515229197"/>
        </c:manualLayout>
      </c:layout>
      <c:areaChart>
        <c:grouping val="standard"/>
        <c:varyColors val="0"/>
        <c:ser>
          <c:idx val="0"/>
          <c:order val="0"/>
          <c:tx>
            <c:strRef>
              <c:f>Sheet15!$B$1</c:f>
              <c:strCache>
                <c:ptCount val="1"/>
                <c:pt idx="0">
                  <c:v>Female</c:v>
                </c:pt>
              </c:strCache>
            </c:strRef>
          </c:tx>
          <c:spPr>
            <a:solidFill>
              <a:schemeClr val="bg2">
                <a:lumMod val="25000"/>
                <a:alpha val="75000"/>
              </a:schemeClr>
            </a:solidFill>
            <a:ln>
              <a:solidFill>
                <a:schemeClr val="bg2">
                  <a:lumMod val="10000"/>
                </a:schemeClr>
              </a:solidFill>
            </a:ln>
            <a:effectLst/>
          </c:spPr>
          <c:cat>
            <c:numRef>
              <c:f>Female!$A$8:$A$165</c:f>
              <c:numCache>
                <c:formatCode>General</c:formatCode>
                <c:ptCount val="158"/>
                <c:pt idx="0">
                  <c:v>1859</c:v>
                </c:pt>
                <c:pt idx="1">
                  <c:v>1860</c:v>
                </c:pt>
                <c:pt idx="2">
                  <c:v>1861</c:v>
                </c:pt>
                <c:pt idx="3">
                  <c:v>1862</c:v>
                </c:pt>
                <c:pt idx="4">
                  <c:v>1863</c:v>
                </c:pt>
                <c:pt idx="5">
                  <c:v>1864</c:v>
                </c:pt>
                <c:pt idx="6">
                  <c:v>1865</c:v>
                </c:pt>
                <c:pt idx="7">
                  <c:v>1866</c:v>
                </c:pt>
                <c:pt idx="8">
                  <c:v>1867</c:v>
                </c:pt>
                <c:pt idx="9">
                  <c:v>1868</c:v>
                </c:pt>
                <c:pt idx="10">
                  <c:v>1869</c:v>
                </c:pt>
                <c:pt idx="11">
                  <c:v>1870</c:v>
                </c:pt>
                <c:pt idx="12">
                  <c:v>1871</c:v>
                </c:pt>
                <c:pt idx="13">
                  <c:v>1872</c:v>
                </c:pt>
                <c:pt idx="14">
                  <c:v>1873</c:v>
                </c:pt>
                <c:pt idx="15">
                  <c:v>1874</c:v>
                </c:pt>
                <c:pt idx="16">
                  <c:v>1875</c:v>
                </c:pt>
                <c:pt idx="17">
                  <c:v>1876</c:v>
                </c:pt>
                <c:pt idx="18">
                  <c:v>1877</c:v>
                </c:pt>
                <c:pt idx="19">
                  <c:v>1878</c:v>
                </c:pt>
                <c:pt idx="20">
                  <c:v>1879</c:v>
                </c:pt>
                <c:pt idx="21">
                  <c:v>1880</c:v>
                </c:pt>
                <c:pt idx="22">
                  <c:v>1881</c:v>
                </c:pt>
                <c:pt idx="23">
                  <c:v>1882</c:v>
                </c:pt>
                <c:pt idx="24">
                  <c:v>1883</c:v>
                </c:pt>
                <c:pt idx="25">
                  <c:v>1884</c:v>
                </c:pt>
                <c:pt idx="26">
                  <c:v>1885</c:v>
                </c:pt>
                <c:pt idx="27">
                  <c:v>1886</c:v>
                </c:pt>
                <c:pt idx="28">
                  <c:v>1887</c:v>
                </c:pt>
                <c:pt idx="29">
                  <c:v>1888</c:v>
                </c:pt>
                <c:pt idx="30">
                  <c:v>1889</c:v>
                </c:pt>
                <c:pt idx="31">
                  <c:v>1890</c:v>
                </c:pt>
                <c:pt idx="32">
                  <c:v>1891</c:v>
                </c:pt>
                <c:pt idx="33">
                  <c:v>1892</c:v>
                </c:pt>
                <c:pt idx="34">
                  <c:v>1893</c:v>
                </c:pt>
                <c:pt idx="35">
                  <c:v>1894</c:v>
                </c:pt>
                <c:pt idx="36">
                  <c:v>1895</c:v>
                </c:pt>
                <c:pt idx="37">
                  <c:v>1896</c:v>
                </c:pt>
                <c:pt idx="38">
                  <c:v>1897</c:v>
                </c:pt>
                <c:pt idx="39">
                  <c:v>1898</c:v>
                </c:pt>
                <c:pt idx="40">
                  <c:v>1899</c:v>
                </c:pt>
                <c:pt idx="41">
                  <c:v>1900</c:v>
                </c:pt>
                <c:pt idx="42">
                  <c:v>1901</c:v>
                </c:pt>
                <c:pt idx="43">
                  <c:v>1902</c:v>
                </c:pt>
                <c:pt idx="44">
                  <c:v>1903</c:v>
                </c:pt>
                <c:pt idx="45">
                  <c:v>1904</c:v>
                </c:pt>
                <c:pt idx="46">
                  <c:v>1905</c:v>
                </c:pt>
                <c:pt idx="47">
                  <c:v>1906</c:v>
                </c:pt>
                <c:pt idx="48">
                  <c:v>1907</c:v>
                </c:pt>
                <c:pt idx="49">
                  <c:v>1908</c:v>
                </c:pt>
                <c:pt idx="50">
                  <c:v>1909</c:v>
                </c:pt>
                <c:pt idx="51">
                  <c:v>1910</c:v>
                </c:pt>
                <c:pt idx="52">
                  <c:v>1911</c:v>
                </c:pt>
                <c:pt idx="53">
                  <c:v>1912</c:v>
                </c:pt>
                <c:pt idx="54">
                  <c:v>1913</c:v>
                </c:pt>
                <c:pt idx="55">
                  <c:v>1914</c:v>
                </c:pt>
                <c:pt idx="56">
                  <c:v>1915</c:v>
                </c:pt>
                <c:pt idx="57">
                  <c:v>1916</c:v>
                </c:pt>
                <c:pt idx="58">
                  <c:v>1917</c:v>
                </c:pt>
                <c:pt idx="59">
                  <c:v>1918</c:v>
                </c:pt>
                <c:pt idx="60">
                  <c:v>1919</c:v>
                </c:pt>
                <c:pt idx="61">
                  <c:v>1920</c:v>
                </c:pt>
                <c:pt idx="62">
                  <c:v>1921</c:v>
                </c:pt>
                <c:pt idx="63">
                  <c:v>1922</c:v>
                </c:pt>
                <c:pt idx="64">
                  <c:v>1923</c:v>
                </c:pt>
                <c:pt idx="65">
                  <c:v>1924</c:v>
                </c:pt>
                <c:pt idx="66">
                  <c:v>1925</c:v>
                </c:pt>
                <c:pt idx="67">
                  <c:v>1926</c:v>
                </c:pt>
                <c:pt idx="68">
                  <c:v>1927</c:v>
                </c:pt>
                <c:pt idx="69">
                  <c:v>1928</c:v>
                </c:pt>
                <c:pt idx="70">
                  <c:v>1929</c:v>
                </c:pt>
                <c:pt idx="71">
                  <c:v>1930</c:v>
                </c:pt>
                <c:pt idx="72">
                  <c:v>1931</c:v>
                </c:pt>
                <c:pt idx="73">
                  <c:v>1932</c:v>
                </c:pt>
                <c:pt idx="74">
                  <c:v>1933</c:v>
                </c:pt>
                <c:pt idx="75">
                  <c:v>1934</c:v>
                </c:pt>
                <c:pt idx="76">
                  <c:v>1935</c:v>
                </c:pt>
                <c:pt idx="77">
                  <c:v>1936</c:v>
                </c:pt>
                <c:pt idx="78">
                  <c:v>1937</c:v>
                </c:pt>
                <c:pt idx="79">
                  <c:v>1938</c:v>
                </c:pt>
                <c:pt idx="80">
                  <c:v>1939</c:v>
                </c:pt>
                <c:pt idx="81">
                  <c:v>1940</c:v>
                </c:pt>
                <c:pt idx="82">
                  <c:v>1941</c:v>
                </c:pt>
                <c:pt idx="83">
                  <c:v>1942</c:v>
                </c:pt>
                <c:pt idx="84">
                  <c:v>1943</c:v>
                </c:pt>
                <c:pt idx="85">
                  <c:v>1944</c:v>
                </c:pt>
                <c:pt idx="86">
                  <c:v>1945</c:v>
                </c:pt>
                <c:pt idx="87">
                  <c:v>1946</c:v>
                </c:pt>
                <c:pt idx="88">
                  <c:v>1947</c:v>
                </c:pt>
                <c:pt idx="89">
                  <c:v>1948</c:v>
                </c:pt>
                <c:pt idx="90">
                  <c:v>1949</c:v>
                </c:pt>
                <c:pt idx="91">
                  <c:v>1950</c:v>
                </c:pt>
                <c:pt idx="92">
                  <c:v>1951</c:v>
                </c:pt>
                <c:pt idx="93">
                  <c:v>1952</c:v>
                </c:pt>
                <c:pt idx="94">
                  <c:v>1953</c:v>
                </c:pt>
                <c:pt idx="95">
                  <c:v>1954</c:v>
                </c:pt>
                <c:pt idx="96">
                  <c:v>1955</c:v>
                </c:pt>
                <c:pt idx="97">
                  <c:v>1956</c:v>
                </c:pt>
                <c:pt idx="98">
                  <c:v>1957</c:v>
                </c:pt>
                <c:pt idx="99">
                  <c:v>1958</c:v>
                </c:pt>
                <c:pt idx="100">
                  <c:v>1959</c:v>
                </c:pt>
                <c:pt idx="101">
                  <c:v>1960</c:v>
                </c:pt>
                <c:pt idx="102">
                  <c:v>1961</c:v>
                </c:pt>
                <c:pt idx="103">
                  <c:v>1962</c:v>
                </c:pt>
                <c:pt idx="104">
                  <c:v>1963</c:v>
                </c:pt>
                <c:pt idx="105">
                  <c:v>1964</c:v>
                </c:pt>
                <c:pt idx="106">
                  <c:v>1965</c:v>
                </c:pt>
                <c:pt idx="107">
                  <c:v>1966</c:v>
                </c:pt>
                <c:pt idx="108">
                  <c:v>1967</c:v>
                </c:pt>
                <c:pt idx="109">
                  <c:v>1968</c:v>
                </c:pt>
                <c:pt idx="110">
                  <c:v>1969</c:v>
                </c:pt>
                <c:pt idx="111">
                  <c:v>1970</c:v>
                </c:pt>
                <c:pt idx="112">
                  <c:v>1971</c:v>
                </c:pt>
                <c:pt idx="113">
                  <c:v>1972</c:v>
                </c:pt>
                <c:pt idx="114">
                  <c:v>1973</c:v>
                </c:pt>
                <c:pt idx="115">
                  <c:v>1974</c:v>
                </c:pt>
                <c:pt idx="116">
                  <c:v>1975</c:v>
                </c:pt>
                <c:pt idx="117">
                  <c:v>1976</c:v>
                </c:pt>
                <c:pt idx="118">
                  <c:v>1977</c:v>
                </c:pt>
                <c:pt idx="119">
                  <c:v>1978</c:v>
                </c:pt>
                <c:pt idx="120">
                  <c:v>1979</c:v>
                </c:pt>
                <c:pt idx="121">
                  <c:v>1980</c:v>
                </c:pt>
                <c:pt idx="122">
                  <c:v>1981</c:v>
                </c:pt>
                <c:pt idx="123">
                  <c:v>1982</c:v>
                </c:pt>
                <c:pt idx="124">
                  <c:v>1983</c:v>
                </c:pt>
                <c:pt idx="125">
                  <c:v>1984</c:v>
                </c:pt>
                <c:pt idx="126">
                  <c:v>1985</c:v>
                </c:pt>
                <c:pt idx="127">
                  <c:v>1986</c:v>
                </c:pt>
                <c:pt idx="128">
                  <c:v>1987</c:v>
                </c:pt>
                <c:pt idx="129">
                  <c:v>1988</c:v>
                </c:pt>
                <c:pt idx="130">
                  <c:v>1989</c:v>
                </c:pt>
                <c:pt idx="131">
                  <c:v>1990</c:v>
                </c:pt>
                <c:pt idx="132">
                  <c:v>1991</c:v>
                </c:pt>
                <c:pt idx="133">
                  <c:v>1992</c:v>
                </c:pt>
                <c:pt idx="134">
                  <c:v>1993</c:v>
                </c:pt>
                <c:pt idx="135">
                  <c:v>1994</c:v>
                </c:pt>
                <c:pt idx="136">
                  <c:v>1995</c:v>
                </c:pt>
                <c:pt idx="137">
                  <c:v>1996</c:v>
                </c:pt>
                <c:pt idx="138">
                  <c:v>1997</c:v>
                </c:pt>
                <c:pt idx="139">
                  <c:v>1998</c:v>
                </c:pt>
                <c:pt idx="140">
                  <c:v>1999</c:v>
                </c:pt>
                <c:pt idx="141">
                  <c:v>2000</c:v>
                </c:pt>
                <c:pt idx="142">
                  <c:v>2001</c:v>
                </c:pt>
                <c:pt idx="143">
                  <c:v>2002</c:v>
                </c:pt>
                <c:pt idx="144">
                  <c:v>2003</c:v>
                </c:pt>
                <c:pt idx="145">
                  <c:v>2004</c:v>
                </c:pt>
                <c:pt idx="146">
                  <c:v>2005</c:v>
                </c:pt>
                <c:pt idx="147">
                  <c:v>2006</c:v>
                </c:pt>
                <c:pt idx="148">
                  <c:v>2007</c:v>
                </c:pt>
                <c:pt idx="149">
                  <c:v>2008</c:v>
                </c:pt>
                <c:pt idx="150">
                  <c:v>2009</c:v>
                </c:pt>
                <c:pt idx="151">
                  <c:v>2010</c:v>
                </c:pt>
                <c:pt idx="152">
                  <c:v>2011</c:v>
                </c:pt>
                <c:pt idx="153">
                  <c:v>2012</c:v>
                </c:pt>
                <c:pt idx="154">
                  <c:v>2013</c:v>
                </c:pt>
                <c:pt idx="155">
                  <c:v>2014</c:v>
                </c:pt>
                <c:pt idx="156">
                  <c:v>2015</c:v>
                </c:pt>
                <c:pt idx="157">
                  <c:v>2016</c:v>
                </c:pt>
              </c:numCache>
            </c:numRef>
          </c:cat>
          <c:val>
            <c:numRef>
              <c:f>Female!$F$8:$F$165</c:f>
              <c:numCache>
                <c:formatCode>General</c:formatCode>
                <c:ptCount val="158"/>
                <c:pt idx="0">
                  <c:v>10.660000000000004</c:v>
                </c:pt>
                <c:pt idx="1">
                  <c:v>-17.471999999999998</c:v>
                </c:pt>
                <c:pt idx="2">
                  <c:v>-6.9680000000000177</c:v>
                </c:pt>
                <c:pt idx="3">
                  <c:v>-13.935999999999961</c:v>
                </c:pt>
                <c:pt idx="4">
                  <c:v>-27.456000000000007</c:v>
                </c:pt>
                <c:pt idx="5">
                  <c:v>-38.168000000000013</c:v>
                </c:pt>
                <c:pt idx="6">
                  <c:v>6.0319999999999823</c:v>
                </c:pt>
                <c:pt idx="7">
                  <c:v>-18.512000000000011</c:v>
                </c:pt>
                <c:pt idx="8">
                  <c:v>12.168000000000019</c:v>
                </c:pt>
                <c:pt idx="9">
                  <c:v>30.160000000000061</c:v>
                </c:pt>
                <c:pt idx="10">
                  <c:v>10.4</c:v>
                </c:pt>
                <c:pt idx="11">
                  <c:v>-0.83199999999998231</c:v>
                </c:pt>
                <c:pt idx="12">
                  <c:v>-11.335999999999961</c:v>
                </c:pt>
                <c:pt idx="13">
                  <c:v>-18.2</c:v>
                </c:pt>
                <c:pt idx="14">
                  <c:v>-10.087999999999989</c:v>
                </c:pt>
                <c:pt idx="15">
                  <c:v>-3.8479999999999732</c:v>
                </c:pt>
                <c:pt idx="16">
                  <c:v>-12.687999999999988</c:v>
                </c:pt>
                <c:pt idx="17">
                  <c:v>29.951999999999952</c:v>
                </c:pt>
                <c:pt idx="18">
                  <c:v>30.263999999999964</c:v>
                </c:pt>
                <c:pt idx="19">
                  <c:v>10.4</c:v>
                </c:pt>
                <c:pt idx="20">
                  <c:v>44.511999999999937</c:v>
                </c:pt>
                <c:pt idx="21">
                  <c:v>34.631999999999984</c:v>
                </c:pt>
                <c:pt idx="22">
                  <c:v>15.392000000000042</c:v>
                </c:pt>
                <c:pt idx="23">
                  <c:v>3.328000000000003</c:v>
                </c:pt>
                <c:pt idx="24">
                  <c:v>8.2159999999999922</c:v>
                </c:pt>
                <c:pt idx="25">
                  <c:v>-0.62399999999994982</c:v>
                </c:pt>
                <c:pt idx="26">
                  <c:v>15.49600000000002</c:v>
                </c:pt>
                <c:pt idx="27">
                  <c:v>7.0719999999999974</c:v>
                </c:pt>
                <c:pt idx="28">
                  <c:v>5.512000000000012</c:v>
                </c:pt>
                <c:pt idx="29">
                  <c:v>29.015999999999991</c:v>
                </c:pt>
                <c:pt idx="30">
                  <c:v>13.831999999999983</c:v>
                </c:pt>
                <c:pt idx="31">
                  <c:v>-11.440000000000014</c:v>
                </c:pt>
                <c:pt idx="32">
                  <c:v>-25.064000000000039</c:v>
                </c:pt>
                <c:pt idx="33">
                  <c:v>5.9280000000000035</c:v>
                </c:pt>
                <c:pt idx="34">
                  <c:v>-24.856000000000005</c:v>
                </c:pt>
                <c:pt idx="35">
                  <c:v>15.49600000000002</c:v>
                </c:pt>
                <c:pt idx="36">
                  <c:v>8.7359999999999616</c:v>
                </c:pt>
                <c:pt idx="37">
                  <c:v>51.687999999999988</c:v>
                </c:pt>
                <c:pt idx="38">
                  <c:v>1.7680000000000178</c:v>
                </c:pt>
                <c:pt idx="39">
                  <c:v>21.319999999999968</c:v>
                </c:pt>
                <c:pt idx="40">
                  <c:v>-8.3200000000000447</c:v>
                </c:pt>
                <c:pt idx="41">
                  <c:v>16.015999999999991</c:v>
                </c:pt>
                <c:pt idx="42">
                  <c:v>-19.759999999999987</c:v>
                </c:pt>
                <c:pt idx="43">
                  <c:v>22.775999999999978</c:v>
                </c:pt>
                <c:pt idx="44">
                  <c:v>25.687999999999988</c:v>
                </c:pt>
                <c:pt idx="45">
                  <c:v>14.871999999999996</c:v>
                </c:pt>
                <c:pt idx="46">
                  <c:v>31.824000000000023</c:v>
                </c:pt>
                <c:pt idx="47">
                  <c:v>30.78400000000001</c:v>
                </c:pt>
                <c:pt idx="48">
                  <c:v>8.4240000000000226</c:v>
                </c:pt>
                <c:pt idx="49">
                  <c:v>0.83200000000005614</c:v>
                </c:pt>
                <c:pt idx="50">
                  <c:v>23.504000000000051</c:v>
                </c:pt>
                <c:pt idx="51">
                  <c:v>17.575999999999976</c:v>
                </c:pt>
                <c:pt idx="52">
                  <c:v>19.759999999999987</c:v>
                </c:pt>
                <c:pt idx="53">
                  <c:v>25.687999999999988</c:v>
                </c:pt>
                <c:pt idx="54">
                  <c:v>25.584000000000007</c:v>
                </c:pt>
                <c:pt idx="55">
                  <c:v>8.9439999999999937</c:v>
                </c:pt>
                <c:pt idx="56">
                  <c:v>-21.319999999999968</c:v>
                </c:pt>
                <c:pt idx="57">
                  <c:v>15.392000000000042</c:v>
                </c:pt>
                <c:pt idx="58">
                  <c:v>13.728000000000003</c:v>
                </c:pt>
                <c:pt idx="59">
                  <c:v>-27.872000000000071</c:v>
                </c:pt>
                <c:pt idx="60">
                  <c:v>-4.2640000000000384</c:v>
                </c:pt>
                <c:pt idx="61">
                  <c:v>53.456000000000003</c:v>
                </c:pt>
                <c:pt idx="62">
                  <c:v>30.991999999999969</c:v>
                </c:pt>
                <c:pt idx="63">
                  <c:v>7.0719999999999974</c:v>
                </c:pt>
                <c:pt idx="64">
                  <c:v>88.920000000000044</c:v>
                </c:pt>
                <c:pt idx="65">
                  <c:v>40.352000000000025</c:v>
                </c:pt>
                <c:pt idx="66">
                  <c:v>24.647999999999971</c:v>
                </c:pt>
                <c:pt idx="67">
                  <c:v>15.808000000000032</c:v>
                </c:pt>
                <c:pt idx="68">
                  <c:v>36.295999999999943</c:v>
                </c:pt>
                <c:pt idx="69">
                  <c:v>-3.743999999999994</c:v>
                </c:pt>
                <c:pt idx="70">
                  <c:v>14.456000000000007</c:v>
                </c:pt>
                <c:pt idx="71">
                  <c:v>12.168000000000019</c:v>
                </c:pt>
                <c:pt idx="72">
                  <c:v>9.4639999999999649</c:v>
                </c:pt>
                <c:pt idx="73">
                  <c:v>4.680000000000029</c:v>
                </c:pt>
                <c:pt idx="74">
                  <c:v>19.447999999999976</c:v>
                </c:pt>
                <c:pt idx="75">
                  <c:v>29.535999999999962</c:v>
                </c:pt>
                <c:pt idx="76">
                  <c:v>18.303999999999977</c:v>
                </c:pt>
                <c:pt idx="77">
                  <c:v>10.087999999999989</c:v>
                </c:pt>
                <c:pt idx="78">
                  <c:v>18.615999999999989</c:v>
                </c:pt>
                <c:pt idx="79">
                  <c:v>21.112000000000013</c:v>
                </c:pt>
                <c:pt idx="80">
                  <c:v>29.328000000000003</c:v>
                </c:pt>
                <c:pt idx="81">
                  <c:v>2.2879999999999883</c:v>
                </c:pt>
                <c:pt idx="82">
                  <c:v>0.83200000000005614</c:v>
                </c:pt>
                <c:pt idx="83">
                  <c:v>29.848000000000049</c:v>
                </c:pt>
                <c:pt idx="84">
                  <c:v>11.336000000000036</c:v>
                </c:pt>
                <c:pt idx="85">
                  <c:v>12.480000000000031</c:v>
                </c:pt>
                <c:pt idx="86">
                  <c:v>47.008000000000102</c:v>
                </c:pt>
                <c:pt idx="87">
                  <c:v>46.695999999999948</c:v>
                </c:pt>
                <c:pt idx="88">
                  <c:v>18.096000000000021</c:v>
                </c:pt>
                <c:pt idx="89">
                  <c:v>40.975999999999978</c:v>
                </c:pt>
                <c:pt idx="90">
                  <c:v>30.056000000000004</c:v>
                </c:pt>
                <c:pt idx="91">
                  <c:v>23.295999999999946</c:v>
                </c:pt>
                <c:pt idx="92">
                  <c:v>30.99200000000004</c:v>
                </c:pt>
                <c:pt idx="93">
                  <c:v>42.223999999999876</c:v>
                </c:pt>
                <c:pt idx="94">
                  <c:v>32.656000000000006</c:v>
                </c:pt>
                <c:pt idx="95">
                  <c:v>31.71999999999997</c:v>
                </c:pt>
                <c:pt idx="96">
                  <c:v>25.895999999999948</c:v>
                </c:pt>
                <c:pt idx="97">
                  <c:v>29.327999999999928</c:v>
                </c:pt>
                <c:pt idx="98">
                  <c:v>19.240000000000091</c:v>
                </c:pt>
                <c:pt idx="99">
                  <c:v>7.6959999999999464</c:v>
                </c:pt>
                <c:pt idx="100">
                  <c:v>10.4</c:v>
                </c:pt>
                <c:pt idx="101">
                  <c:v>13.416000000000064</c:v>
                </c:pt>
                <c:pt idx="102">
                  <c:v>6.7600000000000593</c:v>
                </c:pt>
                <c:pt idx="103">
                  <c:v>7.2800000000000296</c:v>
                </c:pt>
                <c:pt idx="104">
                  <c:v>5.9280000000000763</c:v>
                </c:pt>
                <c:pt idx="105">
                  <c:v>13.104000000000052</c:v>
                </c:pt>
                <c:pt idx="106">
                  <c:v>8.1120000000000108</c:v>
                </c:pt>
                <c:pt idx="107">
                  <c:v>7.9040000000000532</c:v>
                </c:pt>
                <c:pt idx="108">
                  <c:v>16.327999999999928</c:v>
                </c:pt>
                <c:pt idx="109">
                  <c:v>12.895999999999946</c:v>
                </c:pt>
                <c:pt idx="110">
                  <c:v>3.8479999999998995</c:v>
                </c:pt>
                <c:pt idx="111">
                  <c:v>7.2800000000000296</c:v>
                </c:pt>
                <c:pt idx="112">
                  <c:v>13.623999999999876</c:v>
                </c:pt>
                <c:pt idx="113">
                  <c:v>-0.10399999999990542</c:v>
                </c:pt>
                <c:pt idx="114">
                  <c:v>6.7600000000000593</c:v>
                </c:pt>
                <c:pt idx="115">
                  <c:v>6.3439999999999941</c:v>
                </c:pt>
                <c:pt idx="116">
                  <c:v>10.191999999999894</c:v>
                </c:pt>
                <c:pt idx="117">
                  <c:v>4.0560000000000054</c:v>
                </c:pt>
                <c:pt idx="118">
                  <c:v>10.815999999999917</c:v>
                </c:pt>
                <c:pt idx="119">
                  <c:v>5.6159999999999171</c:v>
                </c:pt>
                <c:pt idx="120">
                  <c:v>7.5920000000000414</c:v>
                </c:pt>
                <c:pt idx="121">
                  <c:v>8.4240000000000226</c:v>
                </c:pt>
                <c:pt idx="122">
                  <c:v>11.232000000000129</c:v>
                </c:pt>
                <c:pt idx="123">
                  <c:v>5.9280000000000763</c:v>
                </c:pt>
                <c:pt idx="124">
                  <c:v>13.728000000000076</c:v>
                </c:pt>
                <c:pt idx="125">
                  <c:v>14.248000000000047</c:v>
                </c:pt>
                <c:pt idx="126">
                  <c:v>6.4480000000000475</c:v>
                </c:pt>
                <c:pt idx="127">
                  <c:v>9.0479999999999006</c:v>
                </c:pt>
                <c:pt idx="128">
                  <c:v>13.103999999999905</c:v>
                </c:pt>
                <c:pt idx="129">
                  <c:v>10.4</c:v>
                </c:pt>
                <c:pt idx="130">
                  <c:v>2.7040000000000535</c:v>
                </c:pt>
                <c:pt idx="131">
                  <c:v>11.439999999999941</c:v>
                </c:pt>
                <c:pt idx="132">
                  <c:v>8.8400000000000887</c:v>
                </c:pt>
                <c:pt idx="133">
                  <c:v>7.8</c:v>
                </c:pt>
                <c:pt idx="134">
                  <c:v>2.6</c:v>
                </c:pt>
                <c:pt idx="135">
                  <c:v>16.223999999999876</c:v>
                </c:pt>
                <c:pt idx="136">
                  <c:v>7.8</c:v>
                </c:pt>
                <c:pt idx="137">
                  <c:v>6.9679999999998703</c:v>
                </c:pt>
                <c:pt idx="138">
                  <c:v>8.4240000000000226</c:v>
                </c:pt>
                <c:pt idx="139">
                  <c:v>13</c:v>
                </c:pt>
                <c:pt idx="140">
                  <c:v>5.2</c:v>
                </c:pt>
                <c:pt idx="141">
                  <c:v>9.7759999999999767</c:v>
                </c:pt>
                <c:pt idx="142">
                  <c:v>10.4</c:v>
                </c:pt>
                <c:pt idx="143">
                  <c:v>7.9040000000000532</c:v>
                </c:pt>
                <c:pt idx="144">
                  <c:v>6.6560000000000059</c:v>
                </c:pt>
                <c:pt idx="145">
                  <c:v>11.960000000000059</c:v>
                </c:pt>
                <c:pt idx="146">
                  <c:v>8.6319999999999819</c:v>
                </c:pt>
                <c:pt idx="147">
                  <c:v>9.7760000000001241</c:v>
                </c:pt>
                <c:pt idx="148">
                  <c:v>9.6719999999999242</c:v>
                </c:pt>
                <c:pt idx="149">
                  <c:v>11.024000000000024</c:v>
                </c:pt>
                <c:pt idx="150">
                  <c:v>10.712000000000012</c:v>
                </c:pt>
                <c:pt idx="151">
                  <c:v>11.960000000000059</c:v>
                </c:pt>
                <c:pt idx="152">
                  <c:v>11.023999999999875</c:v>
                </c:pt>
                <c:pt idx="153">
                  <c:v>10.504000000000053</c:v>
                </c:pt>
                <c:pt idx="154">
                  <c:v>11.751999999999953</c:v>
                </c:pt>
                <c:pt idx="155">
                  <c:v>9.4639999999999649</c:v>
                </c:pt>
                <c:pt idx="156">
                  <c:v>4.3680000000000172</c:v>
                </c:pt>
                <c:pt idx="157">
                  <c:v>2.4960000000000946</c:v>
                </c:pt>
              </c:numCache>
            </c:numRef>
          </c:val>
          <c:extLst xmlns:c16r2="http://schemas.microsoft.com/office/drawing/2015/06/chart">
            <c:ext xmlns:c16="http://schemas.microsoft.com/office/drawing/2014/chart" uri="{C3380CC4-5D6E-409C-BE32-E72D297353CC}">
              <c16:uniqueId val="{00000000-681C-49E3-B252-912D6619D878}"/>
            </c:ext>
          </c:extLst>
        </c:ser>
        <c:ser>
          <c:idx val="1"/>
          <c:order val="1"/>
          <c:tx>
            <c:strRef>
              <c:f>Sheet15!$C$1</c:f>
              <c:strCache>
                <c:ptCount val="1"/>
                <c:pt idx="0">
                  <c:v>Male</c:v>
                </c:pt>
              </c:strCache>
            </c:strRef>
          </c:tx>
          <c:spPr>
            <a:solidFill>
              <a:schemeClr val="bg2">
                <a:lumMod val="75000"/>
                <a:alpha val="74000"/>
              </a:schemeClr>
            </a:solidFill>
            <a:ln>
              <a:solidFill>
                <a:schemeClr val="bg2">
                  <a:lumMod val="50000"/>
                </a:schemeClr>
              </a:solidFill>
            </a:ln>
            <a:effectLst/>
          </c:spPr>
          <c:cat>
            <c:numRef>
              <c:f>Female!$A$8:$A$165</c:f>
              <c:numCache>
                <c:formatCode>General</c:formatCode>
                <c:ptCount val="158"/>
                <c:pt idx="0">
                  <c:v>1859</c:v>
                </c:pt>
                <c:pt idx="1">
                  <c:v>1860</c:v>
                </c:pt>
                <c:pt idx="2">
                  <c:v>1861</c:v>
                </c:pt>
                <c:pt idx="3">
                  <c:v>1862</c:v>
                </c:pt>
                <c:pt idx="4">
                  <c:v>1863</c:v>
                </c:pt>
                <c:pt idx="5">
                  <c:v>1864</c:v>
                </c:pt>
                <c:pt idx="6">
                  <c:v>1865</c:v>
                </c:pt>
                <c:pt idx="7">
                  <c:v>1866</c:v>
                </c:pt>
                <c:pt idx="8">
                  <c:v>1867</c:v>
                </c:pt>
                <c:pt idx="9">
                  <c:v>1868</c:v>
                </c:pt>
                <c:pt idx="10">
                  <c:v>1869</c:v>
                </c:pt>
                <c:pt idx="11">
                  <c:v>1870</c:v>
                </c:pt>
                <c:pt idx="12">
                  <c:v>1871</c:v>
                </c:pt>
                <c:pt idx="13">
                  <c:v>1872</c:v>
                </c:pt>
                <c:pt idx="14">
                  <c:v>1873</c:v>
                </c:pt>
                <c:pt idx="15">
                  <c:v>1874</c:v>
                </c:pt>
                <c:pt idx="16">
                  <c:v>1875</c:v>
                </c:pt>
                <c:pt idx="17">
                  <c:v>1876</c:v>
                </c:pt>
                <c:pt idx="18">
                  <c:v>1877</c:v>
                </c:pt>
                <c:pt idx="19">
                  <c:v>1878</c:v>
                </c:pt>
                <c:pt idx="20">
                  <c:v>1879</c:v>
                </c:pt>
                <c:pt idx="21">
                  <c:v>1880</c:v>
                </c:pt>
                <c:pt idx="22">
                  <c:v>1881</c:v>
                </c:pt>
                <c:pt idx="23">
                  <c:v>1882</c:v>
                </c:pt>
                <c:pt idx="24">
                  <c:v>1883</c:v>
                </c:pt>
                <c:pt idx="25">
                  <c:v>1884</c:v>
                </c:pt>
                <c:pt idx="26">
                  <c:v>1885</c:v>
                </c:pt>
                <c:pt idx="27">
                  <c:v>1886</c:v>
                </c:pt>
                <c:pt idx="28">
                  <c:v>1887</c:v>
                </c:pt>
                <c:pt idx="29">
                  <c:v>1888</c:v>
                </c:pt>
                <c:pt idx="30">
                  <c:v>1889</c:v>
                </c:pt>
                <c:pt idx="31">
                  <c:v>1890</c:v>
                </c:pt>
                <c:pt idx="32">
                  <c:v>1891</c:v>
                </c:pt>
                <c:pt idx="33">
                  <c:v>1892</c:v>
                </c:pt>
                <c:pt idx="34">
                  <c:v>1893</c:v>
                </c:pt>
                <c:pt idx="35">
                  <c:v>1894</c:v>
                </c:pt>
                <c:pt idx="36">
                  <c:v>1895</c:v>
                </c:pt>
                <c:pt idx="37">
                  <c:v>1896</c:v>
                </c:pt>
                <c:pt idx="38">
                  <c:v>1897</c:v>
                </c:pt>
                <c:pt idx="39">
                  <c:v>1898</c:v>
                </c:pt>
                <c:pt idx="40">
                  <c:v>1899</c:v>
                </c:pt>
                <c:pt idx="41">
                  <c:v>1900</c:v>
                </c:pt>
                <c:pt idx="42">
                  <c:v>1901</c:v>
                </c:pt>
                <c:pt idx="43">
                  <c:v>1902</c:v>
                </c:pt>
                <c:pt idx="44">
                  <c:v>1903</c:v>
                </c:pt>
                <c:pt idx="45">
                  <c:v>1904</c:v>
                </c:pt>
                <c:pt idx="46">
                  <c:v>1905</c:v>
                </c:pt>
                <c:pt idx="47">
                  <c:v>1906</c:v>
                </c:pt>
                <c:pt idx="48">
                  <c:v>1907</c:v>
                </c:pt>
                <c:pt idx="49">
                  <c:v>1908</c:v>
                </c:pt>
                <c:pt idx="50">
                  <c:v>1909</c:v>
                </c:pt>
                <c:pt idx="51">
                  <c:v>1910</c:v>
                </c:pt>
                <c:pt idx="52">
                  <c:v>1911</c:v>
                </c:pt>
                <c:pt idx="53">
                  <c:v>1912</c:v>
                </c:pt>
                <c:pt idx="54">
                  <c:v>1913</c:v>
                </c:pt>
                <c:pt idx="55">
                  <c:v>1914</c:v>
                </c:pt>
                <c:pt idx="56">
                  <c:v>1915</c:v>
                </c:pt>
                <c:pt idx="57">
                  <c:v>1916</c:v>
                </c:pt>
                <c:pt idx="58">
                  <c:v>1917</c:v>
                </c:pt>
                <c:pt idx="59">
                  <c:v>1918</c:v>
                </c:pt>
                <c:pt idx="60">
                  <c:v>1919</c:v>
                </c:pt>
                <c:pt idx="61">
                  <c:v>1920</c:v>
                </c:pt>
                <c:pt idx="62">
                  <c:v>1921</c:v>
                </c:pt>
                <c:pt idx="63">
                  <c:v>1922</c:v>
                </c:pt>
                <c:pt idx="64">
                  <c:v>1923</c:v>
                </c:pt>
                <c:pt idx="65">
                  <c:v>1924</c:v>
                </c:pt>
                <c:pt idx="66">
                  <c:v>1925</c:v>
                </c:pt>
                <c:pt idx="67">
                  <c:v>1926</c:v>
                </c:pt>
                <c:pt idx="68">
                  <c:v>1927</c:v>
                </c:pt>
                <c:pt idx="69">
                  <c:v>1928</c:v>
                </c:pt>
                <c:pt idx="70">
                  <c:v>1929</c:v>
                </c:pt>
                <c:pt idx="71">
                  <c:v>1930</c:v>
                </c:pt>
                <c:pt idx="72">
                  <c:v>1931</c:v>
                </c:pt>
                <c:pt idx="73">
                  <c:v>1932</c:v>
                </c:pt>
                <c:pt idx="74">
                  <c:v>1933</c:v>
                </c:pt>
                <c:pt idx="75">
                  <c:v>1934</c:v>
                </c:pt>
                <c:pt idx="76">
                  <c:v>1935</c:v>
                </c:pt>
                <c:pt idx="77">
                  <c:v>1936</c:v>
                </c:pt>
                <c:pt idx="78">
                  <c:v>1937</c:v>
                </c:pt>
                <c:pt idx="79">
                  <c:v>1938</c:v>
                </c:pt>
                <c:pt idx="80">
                  <c:v>1939</c:v>
                </c:pt>
                <c:pt idx="81">
                  <c:v>1940</c:v>
                </c:pt>
                <c:pt idx="82">
                  <c:v>1941</c:v>
                </c:pt>
                <c:pt idx="83">
                  <c:v>1942</c:v>
                </c:pt>
                <c:pt idx="84">
                  <c:v>1943</c:v>
                </c:pt>
                <c:pt idx="85">
                  <c:v>1944</c:v>
                </c:pt>
                <c:pt idx="86">
                  <c:v>1945</c:v>
                </c:pt>
                <c:pt idx="87">
                  <c:v>1946</c:v>
                </c:pt>
                <c:pt idx="88">
                  <c:v>1947</c:v>
                </c:pt>
                <c:pt idx="89">
                  <c:v>1948</c:v>
                </c:pt>
                <c:pt idx="90">
                  <c:v>1949</c:v>
                </c:pt>
                <c:pt idx="91">
                  <c:v>1950</c:v>
                </c:pt>
                <c:pt idx="92">
                  <c:v>1951</c:v>
                </c:pt>
                <c:pt idx="93">
                  <c:v>1952</c:v>
                </c:pt>
                <c:pt idx="94">
                  <c:v>1953</c:v>
                </c:pt>
                <c:pt idx="95">
                  <c:v>1954</c:v>
                </c:pt>
                <c:pt idx="96">
                  <c:v>1955</c:v>
                </c:pt>
                <c:pt idx="97">
                  <c:v>1956</c:v>
                </c:pt>
                <c:pt idx="98">
                  <c:v>1957</c:v>
                </c:pt>
                <c:pt idx="99">
                  <c:v>1958</c:v>
                </c:pt>
                <c:pt idx="100">
                  <c:v>1959</c:v>
                </c:pt>
                <c:pt idx="101">
                  <c:v>1960</c:v>
                </c:pt>
                <c:pt idx="102">
                  <c:v>1961</c:v>
                </c:pt>
                <c:pt idx="103">
                  <c:v>1962</c:v>
                </c:pt>
                <c:pt idx="104">
                  <c:v>1963</c:v>
                </c:pt>
                <c:pt idx="105">
                  <c:v>1964</c:v>
                </c:pt>
                <c:pt idx="106">
                  <c:v>1965</c:v>
                </c:pt>
                <c:pt idx="107">
                  <c:v>1966</c:v>
                </c:pt>
                <c:pt idx="108">
                  <c:v>1967</c:v>
                </c:pt>
                <c:pt idx="109">
                  <c:v>1968</c:v>
                </c:pt>
                <c:pt idx="110">
                  <c:v>1969</c:v>
                </c:pt>
                <c:pt idx="111">
                  <c:v>1970</c:v>
                </c:pt>
                <c:pt idx="112">
                  <c:v>1971</c:v>
                </c:pt>
                <c:pt idx="113">
                  <c:v>1972</c:v>
                </c:pt>
                <c:pt idx="114">
                  <c:v>1973</c:v>
                </c:pt>
                <c:pt idx="115">
                  <c:v>1974</c:v>
                </c:pt>
                <c:pt idx="116">
                  <c:v>1975</c:v>
                </c:pt>
                <c:pt idx="117">
                  <c:v>1976</c:v>
                </c:pt>
                <c:pt idx="118">
                  <c:v>1977</c:v>
                </c:pt>
                <c:pt idx="119">
                  <c:v>1978</c:v>
                </c:pt>
                <c:pt idx="120">
                  <c:v>1979</c:v>
                </c:pt>
                <c:pt idx="121">
                  <c:v>1980</c:v>
                </c:pt>
                <c:pt idx="122">
                  <c:v>1981</c:v>
                </c:pt>
                <c:pt idx="123">
                  <c:v>1982</c:v>
                </c:pt>
                <c:pt idx="124">
                  <c:v>1983</c:v>
                </c:pt>
                <c:pt idx="125">
                  <c:v>1984</c:v>
                </c:pt>
                <c:pt idx="126">
                  <c:v>1985</c:v>
                </c:pt>
                <c:pt idx="127">
                  <c:v>1986</c:v>
                </c:pt>
                <c:pt idx="128">
                  <c:v>1987</c:v>
                </c:pt>
                <c:pt idx="129">
                  <c:v>1988</c:v>
                </c:pt>
                <c:pt idx="130">
                  <c:v>1989</c:v>
                </c:pt>
                <c:pt idx="131">
                  <c:v>1990</c:v>
                </c:pt>
                <c:pt idx="132">
                  <c:v>1991</c:v>
                </c:pt>
                <c:pt idx="133">
                  <c:v>1992</c:v>
                </c:pt>
                <c:pt idx="134">
                  <c:v>1993</c:v>
                </c:pt>
                <c:pt idx="135">
                  <c:v>1994</c:v>
                </c:pt>
                <c:pt idx="136">
                  <c:v>1995</c:v>
                </c:pt>
                <c:pt idx="137">
                  <c:v>1996</c:v>
                </c:pt>
                <c:pt idx="138">
                  <c:v>1997</c:v>
                </c:pt>
                <c:pt idx="139">
                  <c:v>1998</c:v>
                </c:pt>
                <c:pt idx="140">
                  <c:v>1999</c:v>
                </c:pt>
                <c:pt idx="141">
                  <c:v>2000</c:v>
                </c:pt>
                <c:pt idx="142">
                  <c:v>2001</c:v>
                </c:pt>
                <c:pt idx="143">
                  <c:v>2002</c:v>
                </c:pt>
                <c:pt idx="144">
                  <c:v>2003</c:v>
                </c:pt>
                <c:pt idx="145">
                  <c:v>2004</c:v>
                </c:pt>
                <c:pt idx="146">
                  <c:v>2005</c:v>
                </c:pt>
                <c:pt idx="147">
                  <c:v>2006</c:v>
                </c:pt>
                <c:pt idx="148">
                  <c:v>2007</c:v>
                </c:pt>
                <c:pt idx="149">
                  <c:v>2008</c:v>
                </c:pt>
                <c:pt idx="150">
                  <c:v>2009</c:v>
                </c:pt>
                <c:pt idx="151">
                  <c:v>2010</c:v>
                </c:pt>
                <c:pt idx="152">
                  <c:v>2011</c:v>
                </c:pt>
                <c:pt idx="153">
                  <c:v>2012</c:v>
                </c:pt>
                <c:pt idx="154">
                  <c:v>2013</c:v>
                </c:pt>
                <c:pt idx="155">
                  <c:v>2014</c:v>
                </c:pt>
                <c:pt idx="156">
                  <c:v>2015</c:v>
                </c:pt>
                <c:pt idx="157">
                  <c:v>2016</c:v>
                </c:pt>
              </c:numCache>
            </c:numRef>
          </c:cat>
          <c:val>
            <c:numRef>
              <c:f>Male!$F$7:$F$164</c:f>
              <c:numCache>
                <c:formatCode>General</c:formatCode>
                <c:ptCount val="158"/>
                <c:pt idx="0">
                  <c:v>13.130000000000067</c:v>
                </c:pt>
                <c:pt idx="1">
                  <c:v>-12.791999999999968</c:v>
                </c:pt>
                <c:pt idx="2">
                  <c:v>1.3520000000000267</c:v>
                </c:pt>
                <c:pt idx="3">
                  <c:v>-4.991999999999968</c:v>
                </c:pt>
                <c:pt idx="4">
                  <c:v>-21.736000000000036</c:v>
                </c:pt>
                <c:pt idx="5">
                  <c:v>-38.480000000000025</c:v>
                </c:pt>
                <c:pt idx="6">
                  <c:v>3.743999999999994</c:v>
                </c:pt>
                <c:pt idx="7">
                  <c:v>-17.57600000000005</c:v>
                </c:pt>
                <c:pt idx="8">
                  <c:v>8.528000000000004</c:v>
                </c:pt>
                <c:pt idx="9">
                  <c:v>26.831999999999983</c:v>
                </c:pt>
                <c:pt idx="10">
                  <c:v>10.503999999999978</c:v>
                </c:pt>
                <c:pt idx="11">
                  <c:v>-1.456000000000006</c:v>
                </c:pt>
                <c:pt idx="12">
                  <c:v>-5.6159999999999917</c:v>
                </c:pt>
                <c:pt idx="13">
                  <c:v>-19.656000000000006</c:v>
                </c:pt>
                <c:pt idx="14">
                  <c:v>-16.431999999999984</c:v>
                </c:pt>
                <c:pt idx="15">
                  <c:v>-8.0079999999999583</c:v>
                </c:pt>
                <c:pt idx="16">
                  <c:v>-6.135999999999961</c:v>
                </c:pt>
                <c:pt idx="17">
                  <c:v>17.36800000000002</c:v>
                </c:pt>
                <c:pt idx="18">
                  <c:v>27.559999999999985</c:v>
                </c:pt>
                <c:pt idx="19">
                  <c:v>19.552000000000024</c:v>
                </c:pt>
                <c:pt idx="20">
                  <c:v>52.728000000000002</c:v>
                </c:pt>
                <c:pt idx="21">
                  <c:v>26.728000000000002</c:v>
                </c:pt>
                <c:pt idx="22">
                  <c:v>20.175999999999977</c:v>
                </c:pt>
                <c:pt idx="23">
                  <c:v>11.024000000000024</c:v>
                </c:pt>
                <c:pt idx="24">
                  <c:v>9.3599999999999852</c:v>
                </c:pt>
                <c:pt idx="25">
                  <c:v>-3.8480000000000474</c:v>
                </c:pt>
                <c:pt idx="26">
                  <c:v>21.319999999999968</c:v>
                </c:pt>
                <c:pt idx="27">
                  <c:v>11.232000000000056</c:v>
                </c:pt>
                <c:pt idx="28">
                  <c:v>8.3199999999999701</c:v>
                </c:pt>
                <c:pt idx="29">
                  <c:v>33.696000000000019</c:v>
                </c:pt>
                <c:pt idx="30">
                  <c:v>16.328000000000003</c:v>
                </c:pt>
                <c:pt idx="31">
                  <c:v>-12.89600000000002</c:v>
                </c:pt>
                <c:pt idx="32">
                  <c:v>-24.440000000000015</c:v>
                </c:pt>
                <c:pt idx="33">
                  <c:v>2.9120000000000119</c:v>
                </c:pt>
                <c:pt idx="34">
                  <c:v>-29.015999999999991</c:v>
                </c:pt>
                <c:pt idx="35">
                  <c:v>16.952000000000027</c:v>
                </c:pt>
                <c:pt idx="36">
                  <c:v>4.5760000000000502</c:v>
                </c:pt>
                <c:pt idx="37">
                  <c:v>47.112000000000016</c:v>
                </c:pt>
                <c:pt idx="38">
                  <c:v>-1.2479999999999734</c:v>
                </c:pt>
                <c:pt idx="39">
                  <c:v>16.743999999999996</c:v>
                </c:pt>
                <c:pt idx="40">
                  <c:v>-16.640000000000015</c:v>
                </c:pt>
                <c:pt idx="41">
                  <c:v>11.543999999999995</c:v>
                </c:pt>
                <c:pt idx="42">
                  <c:v>-21.112000000000013</c:v>
                </c:pt>
                <c:pt idx="43">
                  <c:v>17.056000000000008</c:v>
                </c:pt>
                <c:pt idx="44">
                  <c:v>22.983999999999934</c:v>
                </c:pt>
                <c:pt idx="45">
                  <c:v>18.615999999999989</c:v>
                </c:pt>
                <c:pt idx="46">
                  <c:v>35.984000000000009</c:v>
                </c:pt>
                <c:pt idx="47">
                  <c:v>31.928000000000004</c:v>
                </c:pt>
                <c:pt idx="48">
                  <c:v>16.847999999999974</c:v>
                </c:pt>
                <c:pt idx="49">
                  <c:v>3.0160000000000653</c:v>
                </c:pt>
                <c:pt idx="50">
                  <c:v>22.464000000000038</c:v>
                </c:pt>
                <c:pt idx="51">
                  <c:v>15.391999999999967</c:v>
                </c:pt>
                <c:pt idx="52">
                  <c:v>16.847999999999974</c:v>
                </c:pt>
                <c:pt idx="53">
                  <c:v>20.071999999999999</c:v>
                </c:pt>
                <c:pt idx="54">
                  <c:v>22.983999999999934</c:v>
                </c:pt>
                <c:pt idx="55">
                  <c:v>4.991999999999968</c:v>
                </c:pt>
                <c:pt idx="56">
                  <c:v>-27.456000000000007</c:v>
                </c:pt>
                <c:pt idx="57">
                  <c:v>10.4</c:v>
                </c:pt>
                <c:pt idx="58">
                  <c:v>6.8640000000000381</c:v>
                </c:pt>
                <c:pt idx="59">
                  <c:v>-27.143999999999995</c:v>
                </c:pt>
                <c:pt idx="60">
                  <c:v>-7.0719999999999974</c:v>
                </c:pt>
                <c:pt idx="61">
                  <c:v>51.480000000000025</c:v>
                </c:pt>
                <c:pt idx="62">
                  <c:v>35.256000000000007</c:v>
                </c:pt>
                <c:pt idx="63">
                  <c:v>14.351999999999952</c:v>
                </c:pt>
                <c:pt idx="64">
                  <c:v>87.152000000000029</c:v>
                </c:pt>
                <c:pt idx="65">
                  <c:v>40.143999999999998</c:v>
                </c:pt>
                <c:pt idx="66">
                  <c:v>24.128000000000004</c:v>
                </c:pt>
                <c:pt idx="67">
                  <c:v>10.81599999999999</c:v>
                </c:pt>
                <c:pt idx="68">
                  <c:v>28.49600000000002</c:v>
                </c:pt>
                <c:pt idx="69">
                  <c:v>-6.0319999999999823</c:v>
                </c:pt>
                <c:pt idx="70">
                  <c:v>10.192000000000041</c:v>
                </c:pt>
                <c:pt idx="71">
                  <c:v>13.207999999999959</c:v>
                </c:pt>
                <c:pt idx="72">
                  <c:v>7.9039999999999795</c:v>
                </c:pt>
                <c:pt idx="73">
                  <c:v>11.231999999999983</c:v>
                </c:pt>
                <c:pt idx="74">
                  <c:v>16.847999999999974</c:v>
                </c:pt>
                <c:pt idx="75">
                  <c:v>31.303999999999981</c:v>
                </c:pt>
                <c:pt idx="76">
                  <c:v>19.031999999999982</c:v>
                </c:pt>
                <c:pt idx="77">
                  <c:v>6.5520000000000262</c:v>
                </c:pt>
                <c:pt idx="78">
                  <c:v>7.9039999999999795</c:v>
                </c:pt>
                <c:pt idx="79">
                  <c:v>21.943999999999992</c:v>
                </c:pt>
                <c:pt idx="80">
                  <c:v>20.384000000000011</c:v>
                </c:pt>
                <c:pt idx="81">
                  <c:v>-20.8</c:v>
                </c:pt>
                <c:pt idx="82">
                  <c:v>-33.071999999999996</c:v>
                </c:pt>
                <c:pt idx="83">
                  <c:v>-9.1519999999999531</c:v>
                </c:pt>
                <c:pt idx="84">
                  <c:v>-33.279999999999951</c:v>
                </c:pt>
                <c:pt idx="85">
                  <c:v>-23.296000000000021</c:v>
                </c:pt>
                <c:pt idx="86">
                  <c:v>43.680000000000028</c:v>
                </c:pt>
                <c:pt idx="87">
                  <c:v>73.215999999999994</c:v>
                </c:pt>
                <c:pt idx="88">
                  <c:v>55.535999999999959</c:v>
                </c:pt>
                <c:pt idx="89">
                  <c:v>81.431999999999974</c:v>
                </c:pt>
                <c:pt idx="90">
                  <c:v>73.215999999999994</c:v>
                </c:pt>
                <c:pt idx="91">
                  <c:v>46.488000000000063</c:v>
                </c:pt>
                <c:pt idx="92">
                  <c:v>36.296000000000021</c:v>
                </c:pt>
                <c:pt idx="93">
                  <c:v>40.040000000000084</c:v>
                </c:pt>
                <c:pt idx="94">
                  <c:v>22.152000000000026</c:v>
                </c:pt>
                <c:pt idx="95">
                  <c:v>18.928000000000079</c:v>
                </c:pt>
                <c:pt idx="96">
                  <c:v>16.535999999999888</c:v>
                </c:pt>
                <c:pt idx="97">
                  <c:v>18.71999999999997</c:v>
                </c:pt>
                <c:pt idx="98">
                  <c:v>8.3199999999999701</c:v>
                </c:pt>
                <c:pt idx="99">
                  <c:v>5.8240000000000238</c:v>
                </c:pt>
                <c:pt idx="100">
                  <c:v>4.783999999999935</c:v>
                </c:pt>
                <c:pt idx="101">
                  <c:v>6.0319999999999823</c:v>
                </c:pt>
                <c:pt idx="102">
                  <c:v>2.2879999999999883</c:v>
                </c:pt>
                <c:pt idx="103">
                  <c:v>2.7039999999999051</c:v>
                </c:pt>
                <c:pt idx="104">
                  <c:v>-2.9120000000000119</c:v>
                </c:pt>
                <c:pt idx="105">
                  <c:v>7.6959999999999464</c:v>
                </c:pt>
                <c:pt idx="106">
                  <c:v>2.9120000000000119</c:v>
                </c:pt>
                <c:pt idx="107">
                  <c:v>5.512000000000012</c:v>
                </c:pt>
                <c:pt idx="108">
                  <c:v>14.248000000000047</c:v>
                </c:pt>
                <c:pt idx="109">
                  <c:v>11.856000000000007</c:v>
                </c:pt>
                <c:pt idx="110">
                  <c:v>3.2240000000000237</c:v>
                </c:pt>
                <c:pt idx="111">
                  <c:v>5.512000000000012</c:v>
                </c:pt>
                <c:pt idx="112">
                  <c:v>8.9439999999999937</c:v>
                </c:pt>
                <c:pt idx="113">
                  <c:v>-1.5600000000000591</c:v>
                </c:pt>
                <c:pt idx="114">
                  <c:v>3.4319999999999822</c:v>
                </c:pt>
                <c:pt idx="115">
                  <c:v>5.4080000000001069</c:v>
                </c:pt>
                <c:pt idx="116">
                  <c:v>8.1120000000000108</c:v>
                </c:pt>
                <c:pt idx="117">
                  <c:v>4.1600000000000597</c:v>
                </c:pt>
                <c:pt idx="118">
                  <c:v>11.440000000000088</c:v>
                </c:pt>
                <c:pt idx="119">
                  <c:v>10.60799999999996</c:v>
                </c:pt>
                <c:pt idx="120">
                  <c:v>8.6319999999999819</c:v>
                </c:pt>
                <c:pt idx="121">
                  <c:v>10.712000000000012</c:v>
                </c:pt>
                <c:pt idx="122">
                  <c:v>12.063999999999965</c:v>
                </c:pt>
                <c:pt idx="123">
                  <c:v>8.6319999999999819</c:v>
                </c:pt>
                <c:pt idx="124">
                  <c:v>13.416000000000064</c:v>
                </c:pt>
                <c:pt idx="125">
                  <c:v>15.912000000000011</c:v>
                </c:pt>
                <c:pt idx="126">
                  <c:v>11.543999999999995</c:v>
                </c:pt>
                <c:pt idx="127">
                  <c:v>10.192000000000041</c:v>
                </c:pt>
                <c:pt idx="128">
                  <c:v>12.792000000000042</c:v>
                </c:pt>
                <c:pt idx="129">
                  <c:v>8.7359999999998887</c:v>
                </c:pt>
                <c:pt idx="130">
                  <c:v>7.9039999999999058</c:v>
                </c:pt>
                <c:pt idx="131">
                  <c:v>11.128000000000076</c:v>
                </c:pt>
                <c:pt idx="132">
                  <c:v>13.415999999999917</c:v>
                </c:pt>
                <c:pt idx="133">
                  <c:v>11.647999999999898</c:v>
                </c:pt>
                <c:pt idx="134">
                  <c:v>9.4640000000001123</c:v>
                </c:pt>
                <c:pt idx="135">
                  <c:v>15.08000000000003</c:v>
                </c:pt>
                <c:pt idx="136">
                  <c:v>10.295999999999948</c:v>
                </c:pt>
                <c:pt idx="137">
                  <c:v>6.5520000000001009</c:v>
                </c:pt>
                <c:pt idx="138">
                  <c:v>9.9840000000000817</c:v>
                </c:pt>
                <c:pt idx="139">
                  <c:v>12.791999999999893</c:v>
                </c:pt>
                <c:pt idx="140">
                  <c:v>6.1360000000000356</c:v>
                </c:pt>
                <c:pt idx="141">
                  <c:v>11.128000000000076</c:v>
                </c:pt>
                <c:pt idx="142">
                  <c:v>14.143999999999995</c:v>
                </c:pt>
                <c:pt idx="143">
                  <c:v>8.0079999999999583</c:v>
                </c:pt>
                <c:pt idx="144">
                  <c:v>11.440000000000088</c:v>
                </c:pt>
                <c:pt idx="145">
                  <c:v>16.015999999999917</c:v>
                </c:pt>
                <c:pt idx="146">
                  <c:v>15.495999999999947</c:v>
                </c:pt>
                <c:pt idx="147">
                  <c:v>15.287999999999988</c:v>
                </c:pt>
                <c:pt idx="148">
                  <c:v>15.912000000000011</c:v>
                </c:pt>
                <c:pt idx="149">
                  <c:v>16.015999999999917</c:v>
                </c:pt>
                <c:pt idx="150">
                  <c:v>17.36800000000002</c:v>
                </c:pt>
                <c:pt idx="151">
                  <c:v>16.224000000000022</c:v>
                </c:pt>
                <c:pt idx="152">
                  <c:v>17.263999999999964</c:v>
                </c:pt>
                <c:pt idx="153">
                  <c:v>20.175999999999977</c:v>
                </c:pt>
                <c:pt idx="154">
                  <c:v>18.304000000000055</c:v>
                </c:pt>
                <c:pt idx="155">
                  <c:v>14.663999999999964</c:v>
                </c:pt>
                <c:pt idx="156">
                  <c:v>7.487999999999988</c:v>
                </c:pt>
                <c:pt idx="157">
                  <c:v>4.4720000000000715</c:v>
                </c:pt>
              </c:numCache>
            </c:numRef>
          </c:val>
          <c:extLst xmlns:c16r2="http://schemas.microsoft.com/office/drawing/2015/06/chart">
            <c:ext xmlns:c16="http://schemas.microsoft.com/office/drawing/2014/chart" uri="{C3380CC4-5D6E-409C-BE32-E72D297353CC}">
              <c16:uniqueId val="{00000001-681C-49E3-B252-912D6619D878}"/>
            </c:ext>
          </c:extLst>
        </c:ser>
        <c:dLbls>
          <c:showLegendKey val="0"/>
          <c:showVal val="0"/>
          <c:showCatName val="0"/>
          <c:showSerName val="0"/>
          <c:showPercent val="0"/>
          <c:showBubbleSize val="0"/>
        </c:dLbls>
        <c:axId val="424182480"/>
        <c:axId val="424183040"/>
      </c:areaChart>
      <c:catAx>
        <c:axId val="42418248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Year (5-year period</a:t>
                </a:r>
                <a:r>
                  <a:rPr lang="en-US" sz="1100" b="1" baseline="0"/>
                  <a:t> ending)</a:t>
                </a:r>
                <a:endParaRPr lang="en-US" sz="1100" b="1"/>
              </a:p>
            </c:rich>
          </c:tx>
          <c:layout>
            <c:manualLayout>
              <c:xMode val="edge"/>
              <c:yMode val="edge"/>
              <c:x val="0.43158184296730351"/>
              <c:y val="0.81064228163340046"/>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bg2">
                <a:lumMod val="50000"/>
              </a:schemeClr>
            </a:solidFill>
            <a:round/>
          </a:ln>
          <a:effectLst/>
        </c:spPr>
        <c:txPr>
          <a:bodyPr rot="-3000000" spcFirstLastPara="1" vertOverflow="ellipsis" wrap="square" anchor="ctr" anchorCtr="0"/>
          <a:lstStyle/>
          <a:p>
            <a:pPr>
              <a:defRPr sz="1100" b="0" i="0" u="none" strike="noStrike" kern="1200" baseline="0">
                <a:solidFill>
                  <a:schemeClr val="tx1">
                    <a:lumMod val="65000"/>
                    <a:lumOff val="35000"/>
                  </a:schemeClr>
                </a:solidFill>
                <a:latin typeface="+mn-lt"/>
                <a:ea typeface="+mn-ea"/>
                <a:cs typeface="+mn-cs"/>
              </a:defRPr>
            </a:pPr>
            <a:endParaRPr lang="en-US"/>
          </a:p>
        </c:txPr>
        <c:crossAx val="424183040"/>
        <c:crosses val="autoZero"/>
        <c:auto val="1"/>
        <c:lblAlgn val="ctr"/>
        <c:lblOffset val="100"/>
        <c:tickLblSkip val="5"/>
        <c:noMultiLvlLbl val="0"/>
      </c:catAx>
      <c:valAx>
        <c:axId val="42418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GB" sz="1100" b="1"/>
                  <a:t>Mean annual change in period life expectancy</a:t>
                </a:r>
                <a:r>
                  <a:rPr lang="en-GB" sz="1100" b="1" baseline="0"/>
                  <a:t> (weeks)</a:t>
                </a:r>
                <a:endParaRPr lang="en-GB" sz="1100" b="1"/>
              </a:p>
            </c:rich>
          </c:tx>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24182480"/>
        <c:crosses val="autoZero"/>
        <c:crossBetween val="midCat"/>
      </c:valAx>
      <c:spPr>
        <a:noFill/>
        <a:ln>
          <a:noFill/>
        </a:ln>
        <a:effectLst/>
      </c:spPr>
    </c:plotArea>
    <c:legend>
      <c:legendPos val="b"/>
      <c:layout>
        <c:manualLayout>
          <c:xMode val="edge"/>
          <c:yMode val="edge"/>
          <c:x val="0.70807552544304053"/>
          <c:y val="0.16884667032899961"/>
          <c:w val="0.10663598445543145"/>
          <c:h val="3.9735549044741497E-2"/>
        </c:manualLayout>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0567149980038907E-2"/>
          <c:y val="3.1279309643490134E-2"/>
          <c:w val="0.90559256144761835"/>
          <c:h val="0.90370224017200806"/>
        </c:manualLayout>
      </c:layout>
      <c:scatterChart>
        <c:scatterStyle val="lineMarker"/>
        <c:varyColors val="0"/>
        <c:ser>
          <c:idx val="0"/>
          <c:order val="0"/>
          <c:tx>
            <c:v>Female</c:v>
          </c:tx>
          <c:spPr>
            <a:ln w="25400" cap="rnd">
              <a:noFill/>
              <a:round/>
            </a:ln>
            <a:effectLst/>
          </c:spPr>
          <c:marker>
            <c:symbol val="circle"/>
            <c:size val="6"/>
            <c:spPr>
              <a:noFill/>
              <a:ln w="9525">
                <a:solidFill>
                  <a:schemeClr val="tx1"/>
                </a:solidFill>
              </a:ln>
              <a:effectLst/>
            </c:spPr>
          </c:marker>
          <c:dPt>
            <c:idx val="0"/>
            <c:marker>
              <c:symbol val="circle"/>
              <c:size val="6"/>
              <c:spPr>
                <a:solidFill>
                  <a:schemeClr val="bg1">
                    <a:lumMod val="50000"/>
                  </a:schemeClr>
                </a:solidFill>
                <a:ln w="9525">
                  <a:solidFill>
                    <a:schemeClr val="tx1"/>
                  </a:solidFill>
                </a:ln>
                <a:effectLst/>
              </c:spPr>
            </c:marker>
            <c:bubble3D val="0"/>
            <c:spPr>
              <a:ln w="25400" cap="rnd">
                <a:solidFill>
                  <a:schemeClr val="bg1">
                    <a:lumMod val="50000"/>
                  </a:schemeClr>
                </a:solidFill>
                <a:round/>
              </a:ln>
              <a:effectLst/>
            </c:spPr>
            <c:extLst xmlns:c16r2="http://schemas.microsoft.com/office/drawing/2015/06/chart">
              <c:ext xmlns:c16="http://schemas.microsoft.com/office/drawing/2014/chart" uri="{C3380CC4-5D6E-409C-BE32-E72D297353CC}">
                <c16:uniqueId val="{00000001-5569-4D05-B26D-53D5FF4764DC}"/>
              </c:ext>
            </c:extLst>
          </c:dPt>
          <c:trendline>
            <c:spPr>
              <a:ln w="19050" cap="rnd">
                <a:solidFill>
                  <a:schemeClr val="bg1">
                    <a:lumMod val="50000"/>
                  </a:schemeClr>
                </a:solidFill>
                <a:prstDash val="sysDot"/>
              </a:ln>
              <a:effectLst/>
            </c:spPr>
            <c:trendlineType val="linear"/>
            <c:dispRSqr val="1"/>
            <c:dispEq val="0"/>
            <c:trendlineLbl>
              <c:layout>
                <c:manualLayout>
                  <c:x val="8.5782772299093785E-2"/>
                  <c:y val="-1.8460063340790887E-2"/>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'F to 2016'!$B$158:$Y$158</c:f>
              <c:numCache>
                <c:formatCode>General</c:formatCode>
                <c:ptCount val="24"/>
                <c:pt idx="0">
                  <c:v>80.819999999999993</c:v>
                </c:pt>
                <c:pt idx="1">
                  <c:v>82.93</c:v>
                </c:pt>
                <c:pt idx="2">
                  <c:v>82.42</c:v>
                </c:pt>
                <c:pt idx="3">
                  <c:v>83.43</c:v>
                </c:pt>
                <c:pt idx="4">
                  <c:v>84.69</c:v>
                </c:pt>
                <c:pt idx="5">
                  <c:v>80.86</c:v>
                </c:pt>
                <c:pt idx="6">
                  <c:v>82.83</c:v>
                </c:pt>
                <c:pt idx="7">
                  <c:v>81.83</c:v>
                </c:pt>
                <c:pt idx="8">
                  <c:v>85.1</c:v>
                </c:pt>
                <c:pt idx="9">
                  <c:v>81</c:v>
                </c:pt>
                <c:pt idx="10">
                  <c:v>84.99</c:v>
                </c:pt>
                <c:pt idx="11">
                  <c:v>80.209999999999994</c:v>
                </c:pt>
                <c:pt idx="12">
                  <c:v>78.5</c:v>
                </c:pt>
                <c:pt idx="13">
                  <c:v>83.87</c:v>
                </c:pt>
                <c:pt idx="14">
                  <c:v>83.45</c:v>
                </c:pt>
                <c:pt idx="15">
                  <c:v>85.89</c:v>
                </c:pt>
                <c:pt idx="16">
                  <c:v>84.07</c:v>
                </c:pt>
                <c:pt idx="17">
                  <c:v>79.069999999999993</c:v>
                </c:pt>
                <c:pt idx="18">
                  <c:v>78.510000000000005</c:v>
                </c:pt>
                <c:pt idx="19">
                  <c:v>82.86</c:v>
                </c:pt>
                <c:pt idx="20">
                  <c:v>80.760000000000005</c:v>
                </c:pt>
                <c:pt idx="21">
                  <c:v>79.66</c:v>
                </c:pt>
                <c:pt idx="22">
                  <c:v>83.67</c:v>
                </c:pt>
                <c:pt idx="23">
                  <c:v>81.209999999999994</c:v>
                </c:pt>
              </c:numCache>
            </c:numRef>
          </c:xVal>
          <c:yVal>
            <c:numRef>
              <c:f>'F chart data'!$B$14:$Y$14</c:f>
              <c:numCache>
                <c:formatCode>General</c:formatCode>
                <c:ptCount val="24"/>
                <c:pt idx="0">
                  <c:v>2.4960000000000946</c:v>
                </c:pt>
                <c:pt idx="1">
                  <c:v>1.1439999999999941</c:v>
                </c:pt>
                <c:pt idx="2">
                  <c:v>-1.2480000000000473</c:v>
                </c:pt>
                <c:pt idx="3">
                  <c:v>5.3039999999999052</c:v>
                </c:pt>
                <c:pt idx="4">
                  <c:v>5.7199999999999704</c:v>
                </c:pt>
                <c:pt idx="5">
                  <c:v>10.504000000000053</c:v>
                </c:pt>
                <c:pt idx="6">
                  <c:v>4.5759999999999765</c:v>
                </c:pt>
                <c:pt idx="7">
                  <c:v>9.9840000000000817</c:v>
                </c:pt>
                <c:pt idx="8">
                  <c:v>7.1760000000001245</c:v>
                </c:pt>
                <c:pt idx="9">
                  <c:v>9.1519999999999531</c:v>
                </c:pt>
                <c:pt idx="10">
                  <c:v>3.4319999999999822</c:v>
                </c:pt>
                <c:pt idx="11">
                  <c:v>9.9840000000000817</c:v>
                </c:pt>
                <c:pt idx="12">
                  <c:v>11.127999999999929</c:v>
                </c:pt>
                <c:pt idx="13">
                  <c:v>0.10399999999990542</c:v>
                </c:pt>
                <c:pt idx="14">
                  <c:v>8.2159999999999176</c:v>
                </c:pt>
                <c:pt idx="15">
                  <c:v>13.312000000000012</c:v>
                </c:pt>
                <c:pt idx="16">
                  <c:v>14.456000000000007</c:v>
                </c:pt>
                <c:pt idx="17">
                  <c:v>9.4640000000001123</c:v>
                </c:pt>
                <c:pt idx="18">
                  <c:v>9.1519999999999531</c:v>
                </c:pt>
                <c:pt idx="19">
                  <c:v>2.7040000000000535</c:v>
                </c:pt>
                <c:pt idx="20">
                  <c:v>9.983999999999936</c:v>
                </c:pt>
                <c:pt idx="21">
                  <c:v>9.2560000000000056</c:v>
                </c:pt>
                <c:pt idx="22">
                  <c:v>4.3680000000000172</c:v>
                </c:pt>
                <c:pt idx="23">
                  <c:v>1.8720000000000709</c:v>
                </c:pt>
              </c:numCache>
            </c:numRef>
          </c:yVal>
          <c:smooth val="0"/>
          <c:extLst xmlns:c16r2="http://schemas.microsoft.com/office/drawing/2015/06/chart">
            <c:ext xmlns:c16="http://schemas.microsoft.com/office/drawing/2014/chart" uri="{C3380CC4-5D6E-409C-BE32-E72D297353CC}">
              <c16:uniqueId val="{00000003-5569-4D05-B26D-53D5FF4764DC}"/>
            </c:ext>
          </c:extLst>
        </c:ser>
        <c:ser>
          <c:idx val="1"/>
          <c:order val="1"/>
          <c:tx>
            <c:v>Male</c:v>
          </c:tx>
          <c:spPr>
            <a:ln w="25400" cap="rnd">
              <a:noFill/>
              <a:round/>
            </a:ln>
            <a:effectLst/>
          </c:spPr>
          <c:marker>
            <c:symbol val="square"/>
            <c:size val="6"/>
            <c:spPr>
              <a:noFill/>
              <a:ln w="9525">
                <a:solidFill>
                  <a:schemeClr val="tx1"/>
                </a:solidFill>
              </a:ln>
              <a:effectLst/>
            </c:spPr>
          </c:marker>
          <c:dPt>
            <c:idx val="0"/>
            <c:marker>
              <c:symbol val="square"/>
              <c:size val="6"/>
              <c:spPr>
                <a:solidFill>
                  <a:schemeClr val="bg1">
                    <a:lumMod val="50000"/>
                  </a:schemeClr>
                </a:solidFill>
                <a:ln w="9525">
                  <a:solidFill>
                    <a:schemeClr val="tx1"/>
                  </a:solidFill>
                </a:ln>
                <a:effectLst/>
              </c:spPr>
            </c:marker>
            <c:bubble3D val="0"/>
            <c:extLst xmlns:c16r2="http://schemas.microsoft.com/office/drawing/2015/06/chart">
              <c:ext xmlns:c16="http://schemas.microsoft.com/office/drawing/2014/chart" uri="{C3380CC4-5D6E-409C-BE32-E72D297353CC}">
                <c16:uniqueId val="{00000004-5569-4D05-B26D-53D5FF4764DC}"/>
              </c:ext>
            </c:extLst>
          </c:dPt>
          <c:trendline>
            <c:spPr>
              <a:ln w="19050" cap="rnd">
                <a:solidFill>
                  <a:schemeClr val="tx1"/>
                </a:solidFill>
                <a:prstDash val="sysDot"/>
              </a:ln>
              <a:effectLst/>
            </c:spPr>
            <c:trendlineType val="linear"/>
            <c:dispRSqr val="1"/>
            <c:dispEq val="0"/>
            <c:trendlineLbl>
              <c:layout>
                <c:manualLayout>
                  <c:x val="-0.43804783301763656"/>
                  <c:y val="-0.29559210080289777"/>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'M extract to 2016'!$B$158:$Y$158</c:f>
              <c:numCache>
                <c:formatCode>General</c:formatCode>
                <c:ptCount val="24"/>
                <c:pt idx="0">
                  <c:v>76.5</c:v>
                </c:pt>
                <c:pt idx="1">
                  <c:v>79.040000000000006</c:v>
                </c:pt>
                <c:pt idx="2">
                  <c:v>77.849999999999994</c:v>
                </c:pt>
                <c:pt idx="3">
                  <c:v>78.069999999999993</c:v>
                </c:pt>
                <c:pt idx="4">
                  <c:v>80.290000000000006</c:v>
                </c:pt>
                <c:pt idx="5">
                  <c:v>74.72</c:v>
                </c:pt>
                <c:pt idx="6">
                  <c:v>77.78</c:v>
                </c:pt>
                <c:pt idx="7">
                  <c:v>77.7</c:v>
                </c:pt>
                <c:pt idx="8">
                  <c:v>79.260000000000005</c:v>
                </c:pt>
                <c:pt idx="9">
                  <c:v>71.3</c:v>
                </c:pt>
                <c:pt idx="10">
                  <c:v>78.44</c:v>
                </c:pt>
                <c:pt idx="11">
                  <c:v>73.77</c:v>
                </c:pt>
                <c:pt idx="12">
                  <c:v>71.150000000000006</c:v>
                </c:pt>
                <c:pt idx="13">
                  <c:v>80.459999999999994</c:v>
                </c:pt>
                <c:pt idx="14">
                  <c:v>79.87</c:v>
                </c:pt>
                <c:pt idx="15">
                  <c:v>79.45</c:v>
                </c:pt>
                <c:pt idx="16">
                  <c:v>77.36</c:v>
                </c:pt>
                <c:pt idx="17">
                  <c:v>68.03</c:v>
                </c:pt>
                <c:pt idx="18">
                  <c:v>68.55</c:v>
                </c:pt>
                <c:pt idx="19">
                  <c:v>79.2</c:v>
                </c:pt>
                <c:pt idx="20">
                  <c:v>72.52</c:v>
                </c:pt>
                <c:pt idx="21">
                  <c:v>72.260000000000005</c:v>
                </c:pt>
                <c:pt idx="22">
                  <c:v>79.8</c:v>
                </c:pt>
                <c:pt idx="23">
                  <c:v>76.430000000000007</c:v>
                </c:pt>
              </c:numCache>
            </c:numRef>
          </c:xVal>
          <c:yVal>
            <c:numRef>
              <c:f>'M chart data'!$B$14:$Y$14</c:f>
              <c:numCache>
                <c:formatCode>General</c:formatCode>
                <c:ptCount val="24"/>
                <c:pt idx="0">
                  <c:v>4.4720000000000715</c:v>
                </c:pt>
                <c:pt idx="1">
                  <c:v>3.9519999999999529</c:v>
                </c:pt>
                <c:pt idx="2">
                  <c:v>9.4640000000001123</c:v>
                </c:pt>
                <c:pt idx="3">
                  <c:v>11.128000000000076</c:v>
                </c:pt>
                <c:pt idx="4">
                  <c:v>12.895999999999946</c:v>
                </c:pt>
                <c:pt idx="5">
                  <c:v>13.831999999999983</c:v>
                </c:pt>
                <c:pt idx="6">
                  <c:v>6.3439999999999941</c:v>
                </c:pt>
                <c:pt idx="7">
                  <c:v>13</c:v>
                </c:pt>
                <c:pt idx="8">
                  <c:v>10.503999999999905</c:v>
                </c:pt>
                <c:pt idx="9">
                  <c:v>19.656000000000006</c:v>
                </c:pt>
                <c:pt idx="10">
                  <c:v>9.3600000000000581</c:v>
                </c:pt>
                <c:pt idx="11">
                  <c:v>11.856000000000007</c:v>
                </c:pt>
                <c:pt idx="12">
                  <c:v>14.663999999999964</c:v>
                </c:pt>
                <c:pt idx="13">
                  <c:v>-1.6639999999999646</c:v>
                </c:pt>
                <c:pt idx="14">
                  <c:v>8.1120000000000108</c:v>
                </c:pt>
                <c:pt idx="15">
                  <c:v>16.119999999999973</c:v>
                </c:pt>
                <c:pt idx="16">
                  <c:v>20.592000000000041</c:v>
                </c:pt>
                <c:pt idx="17">
                  <c:v>14.871999999999924</c:v>
                </c:pt>
                <c:pt idx="18">
                  <c:v>12.896000000000095</c:v>
                </c:pt>
                <c:pt idx="19">
                  <c:v>7.0719999999999228</c:v>
                </c:pt>
                <c:pt idx="20">
                  <c:v>13.728000000000076</c:v>
                </c:pt>
                <c:pt idx="21">
                  <c:v>15.495999999999947</c:v>
                </c:pt>
                <c:pt idx="22">
                  <c:v>8.0079999999999583</c:v>
                </c:pt>
                <c:pt idx="23">
                  <c:v>-0.41600000000006504</c:v>
                </c:pt>
              </c:numCache>
            </c:numRef>
          </c:yVal>
          <c:smooth val="0"/>
          <c:extLst xmlns:c16r2="http://schemas.microsoft.com/office/drawing/2015/06/chart">
            <c:ext xmlns:c16="http://schemas.microsoft.com/office/drawing/2014/chart" uri="{C3380CC4-5D6E-409C-BE32-E72D297353CC}">
              <c16:uniqueId val="{00000006-5569-4D05-B26D-53D5FF4764DC}"/>
            </c:ext>
          </c:extLst>
        </c:ser>
        <c:dLbls>
          <c:showLegendKey val="0"/>
          <c:showVal val="0"/>
          <c:showCatName val="0"/>
          <c:showSerName val="0"/>
          <c:showPercent val="0"/>
          <c:showBubbleSize val="0"/>
        </c:dLbls>
        <c:axId val="413682048"/>
        <c:axId val="413682608"/>
      </c:scatterChart>
      <c:valAx>
        <c:axId val="413682048"/>
        <c:scaling>
          <c:orientation val="minMax"/>
          <c:min val="6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Life expectancy in 2011 (years)</a:t>
                </a:r>
              </a:p>
            </c:rich>
          </c:tx>
          <c:layout/>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3682608"/>
        <c:crosses val="autoZero"/>
        <c:crossBetween val="midCat"/>
      </c:valAx>
      <c:valAx>
        <c:axId val="41368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Mean annual gain in life expectancy 2012-2016 (weeks)</a:t>
                </a:r>
              </a:p>
            </c:rich>
          </c:tx>
          <c:layout>
            <c:manualLayout>
              <c:xMode val="edge"/>
              <c:yMode val="edge"/>
              <c:x val="9.7447527796889477E-3"/>
              <c:y val="0.16479084948329797"/>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13682048"/>
        <c:crosses val="autoZero"/>
        <c:crossBetween val="midCat"/>
      </c:valAx>
      <c:spPr>
        <a:noFill/>
        <a:ln>
          <a:noFill/>
        </a:ln>
        <a:effectLst/>
      </c:spPr>
    </c:plotArea>
    <c:legend>
      <c:legendPos val="r"/>
      <c:layout>
        <c:manualLayout>
          <c:xMode val="edge"/>
          <c:yMode val="edge"/>
          <c:x val="0.8142176240914869"/>
          <c:y val="8.7330292200559836E-2"/>
          <c:w val="0.13544077216885106"/>
          <c:h val="0.16605282273295177"/>
        </c:manualLayout>
      </c:layout>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0.09336</cdr:x>
      <cdr:y>0.77697</cdr:y>
    </cdr:from>
    <cdr:to>
      <cdr:x>0.21053</cdr:x>
      <cdr:y>0.85926</cdr:y>
    </cdr:to>
    <cdr:sp macro="" textlink="">
      <cdr:nvSpPr>
        <cdr:cNvPr id="2" name="TextBox 1"/>
        <cdr:cNvSpPr txBox="1"/>
      </cdr:nvSpPr>
      <cdr:spPr>
        <a:xfrm xmlns:a="http://schemas.openxmlformats.org/drawingml/2006/main">
          <a:off x="874446" y="3904090"/>
          <a:ext cx="1097477" cy="413467"/>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r>
            <a:rPr lang="en-GB" sz="1000"/>
            <a:t>Male and Female breakpoint 1993</a:t>
          </a:r>
        </a:p>
      </cdr:txBody>
    </cdr:sp>
  </cdr:relSizeAnchor>
  <cdr:relSizeAnchor xmlns:cdr="http://schemas.openxmlformats.org/drawingml/2006/chartDrawing">
    <cdr:from>
      <cdr:x>0.5493</cdr:x>
      <cdr:y>0.75165</cdr:y>
    </cdr:from>
    <cdr:to>
      <cdr:x>0.64491</cdr:x>
      <cdr:y>0.86643</cdr:y>
    </cdr:to>
    <cdr:sp macro="" textlink="">
      <cdr:nvSpPr>
        <cdr:cNvPr id="7" name="TextBox 6"/>
        <cdr:cNvSpPr txBox="1"/>
      </cdr:nvSpPr>
      <cdr:spPr>
        <a:xfrm xmlns:a="http://schemas.openxmlformats.org/drawingml/2006/main">
          <a:off x="5144877" y="3776870"/>
          <a:ext cx="895475" cy="576730"/>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pPr algn="ctr"/>
          <a:r>
            <a:rPr lang="en-GB" sz="1000"/>
            <a:t>Male breakpoint</a:t>
          </a:r>
          <a:r>
            <a:rPr lang="en-GB" sz="1000" baseline="0"/>
            <a:t> 2012</a:t>
          </a:r>
          <a:endParaRPr lang="en-GB" sz="1000"/>
        </a:p>
      </cdr:txBody>
    </cdr:sp>
  </cdr:relSizeAnchor>
  <cdr:relSizeAnchor xmlns:cdr="http://schemas.openxmlformats.org/drawingml/2006/chartDrawing">
    <cdr:from>
      <cdr:x>0.65907</cdr:x>
      <cdr:y>0.75323</cdr:y>
    </cdr:from>
    <cdr:to>
      <cdr:x>0.75285</cdr:x>
      <cdr:y>0.86643</cdr:y>
    </cdr:to>
    <cdr:sp macro="" textlink="">
      <cdr:nvSpPr>
        <cdr:cNvPr id="8" name="TextBox 7"/>
        <cdr:cNvSpPr txBox="1"/>
      </cdr:nvSpPr>
      <cdr:spPr>
        <a:xfrm xmlns:a="http://schemas.openxmlformats.org/drawingml/2006/main">
          <a:off x="6173008" y="3784821"/>
          <a:ext cx="878350" cy="568779"/>
        </a:xfrm>
        <a:prstGeom xmlns:a="http://schemas.openxmlformats.org/drawingml/2006/main" prst="rect">
          <a:avLst/>
        </a:prstGeom>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rtlCol="0"/>
        <a:lstStyle xmlns:a="http://schemas.openxmlformats.org/drawingml/2006/main"/>
        <a:p xmlns:a="http://schemas.openxmlformats.org/drawingml/2006/main">
          <a:pPr algn="ctr"/>
          <a:r>
            <a:rPr lang="en-GB" sz="1000"/>
            <a:t>Female breakpoint</a:t>
          </a:r>
          <a:r>
            <a:rPr lang="en-GB" sz="1000" baseline="0"/>
            <a:t> 2013-2014</a:t>
          </a:r>
          <a:endParaRPr lang="en-GB" sz="10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9392c51-0192-4e0e-b858-3a8b41b0fb8c">
      <Value>4325</Value>
      <Value>5723</Value>
      <Value>1508</Value>
      <Value>6426</Value>
      <Value>1526</Value>
    </TaxCatchAll>
    <daa1262b318242d28987a366a1d743c9 xmlns="1f9c2a4e-c33c-4586-94ce-504a756e9502">
      <Terms xmlns="http://schemas.microsoft.com/office/infopath/2007/PartnerControls">
        <TermInfo xmlns="http://schemas.microsoft.com/office/infopath/2007/PartnerControls">
          <TermName xmlns="http://schemas.microsoft.com/office/infopath/2007/PartnerControls">Public Health Science</TermName>
          <TermId xmlns="http://schemas.microsoft.com/office/infopath/2007/PartnerControls">b2b77e3c-2681-456c-b814-5de530825b32</TermId>
        </TermInfo>
        <TermInfo xmlns="http://schemas.microsoft.com/office/infopath/2007/PartnerControls">
          <TermName xmlns="http://schemas.microsoft.com/office/infopath/2007/PartnerControls">Public Health Observatory</TermName>
          <TermId xmlns="http://schemas.microsoft.com/office/infopath/2007/PartnerControls">93aae3ef-e663-4f27-9869-119d88d797dd</TermId>
        </TermInfo>
        <TermInfo xmlns="http://schemas.microsoft.com/office/infopath/2007/PartnerControls">
          <TermName xmlns="http://schemas.microsoft.com/office/infopath/2007/PartnerControls">Output</TermName>
          <TermId xmlns="http://schemas.microsoft.com/office/infopath/2007/PartnerControls">e7b7f30c-8859-4ebb-99e3-0d77a47f6e11</TermId>
        </TermInfo>
      </Terms>
    </daa1262b318242d28987a366a1d743c9>
    <f15ab22896834ccda9dd19a0d9fb96a7 xmlns="1f9c2a4e-c33c-4586-94ce-504a756e9502">
      <Terms xmlns="http://schemas.microsoft.com/office/infopath/2007/PartnerControls"/>
    </f15ab22896834ccda9dd19a0d9fb96a7>
    <pec585762dee4a4ea7f3d0f1b611b462 xmlns="1f9c2a4e-c33c-4586-94ce-504a756e9502">
      <Terms xmlns="http://schemas.microsoft.com/office/infopath/2007/PartnerControls"/>
    </pec585762dee4a4ea7f3d0f1b611b462>
  </documentManagement>
</p:properties>
</file>

<file path=customXml/item3.xml><?xml version="1.0" encoding="utf-8"?>
<ct:contentTypeSchema xmlns:ct="http://schemas.microsoft.com/office/2006/metadata/contentType" xmlns:ma="http://schemas.microsoft.com/office/2006/metadata/properties/metaAttributes" ct:_="" ma:_="" ma:contentTypeName="HS Document" ma:contentTypeID="0x010100AB71BC9B4D1D724495B6D89DE9CAF1830012BAE840607DE24ABED4A3ABE90E13D9" ma:contentTypeVersion="28" ma:contentTypeDescription="Standard Health Scotland document" ma:contentTypeScope="" ma:versionID="5f313c3f093115c72ee3e268abb2c06f">
  <xsd:schema xmlns:xsd="http://www.w3.org/2001/XMLSchema" xmlns:xs="http://www.w3.org/2001/XMLSchema" xmlns:p="http://schemas.microsoft.com/office/2006/metadata/properties" xmlns:ns2="79392c51-0192-4e0e-b858-3a8b41b0fb8c" xmlns:ns3="1f9c2a4e-c33c-4586-94ce-504a756e9502" targetNamespace="http://schemas.microsoft.com/office/2006/metadata/properties" ma:root="true" ma:fieldsID="7d660fa6253f917fd16c35ab69fa96c5" ns2:_="" ns3:_="">
    <xsd:import namespace="79392c51-0192-4e0e-b858-3a8b41b0fb8c"/>
    <xsd:import namespace="1f9c2a4e-c33c-4586-94ce-504a756e9502"/>
    <xsd:element name="properties">
      <xsd:complexType>
        <xsd:sequence>
          <xsd:element name="documentManagement">
            <xsd:complexType>
              <xsd:all>
                <xsd:element ref="ns2:TaxCatchAll" minOccurs="0"/>
                <xsd:element ref="ns2:TaxCatchAllLabel" minOccurs="0"/>
                <xsd:element ref="ns3:daa1262b318242d28987a366a1d743c9" minOccurs="0"/>
                <xsd:element ref="ns3:f15ab22896834ccda9dd19a0d9fb96a7" minOccurs="0"/>
                <xsd:element ref="ns3:pec585762dee4a4ea7f3d0f1b611b46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392c51-0192-4e0e-b858-3a8b41b0fb8c"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c6bb179b-2e3d-4740-bae1-cd660314586c}" ma:internalName="TaxCatchAll" ma:showField="CatchAllData" ma:web="1f9c2a4e-c33c-4586-94ce-504a756e950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6bb179b-2e3d-4740-bae1-cd660314586c}" ma:internalName="TaxCatchAllLabel" ma:readOnly="true" ma:showField="CatchAllDataLabel" ma:web="1f9c2a4e-c33c-4586-94ce-504a756e950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f9c2a4e-c33c-4586-94ce-504a756e9502" elementFormDefault="qualified">
    <xsd:import namespace="http://schemas.microsoft.com/office/2006/documentManagement/types"/>
    <xsd:import namespace="http://schemas.microsoft.com/office/infopath/2007/PartnerControls"/>
    <xsd:element name="daa1262b318242d28987a366a1d743c9" ma:index="10" ma:taxonomy="true" ma:internalName="daa1262b318242d28987a366a1d743c9" ma:taxonomyFieldName="HSDocumentTag" ma:displayName="HS Document Tag" ma:readOnly="false" ma:default="" ma:fieldId="{daa1262b-3182-42d2-8987-a366a1d743c9}" ma:taxonomyMulti="true" ma:sspId="c0f6cbc1-8b72-4b83-9c85-1dd2ec6ede9a" ma:termSetId="de4b84b4-8f63-4e23-8c8c-3fef434f4083" ma:anchorId="00000000-0000-0000-0000-000000000000" ma:open="false" ma:isKeyword="false">
      <xsd:complexType>
        <xsd:sequence>
          <xsd:element ref="pc:Terms" minOccurs="0" maxOccurs="1"/>
        </xsd:sequence>
      </xsd:complexType>
    </xsd:element>
    <xsd:element name="f15ab22896834ccda9dd19a0d9fb96a7" ma:index="12" nillable="true" ma:taxonomy="true" ma:internalName="f15ab22896834ccda9dd19a0d9fb96a7" ma:taxonomyFieldName="HSYear" ma:displayName="HS Year" ma:indexed="true" ma:readOnly="false" ma:fieldId="{f15ab228-9683-4ccd-a9dd-19a0d9fb96a7}" ma:sspId="c0f6cbc1-8b72-4b83-9c85-1dd2ec6ede9a" ma:termSetId="9144fb4a-73f0-4b6e-aed3-3dd2466e0982" ma:anchorId="00000000-0000-0000-0000-000000000000" ma:open="false" ma:isKeyword="false">
      <xsd:complexType>
        <xsd:sequence>
          <xsd:element ref="pc:Terms" minOccurs="0" maxOccurs="1"/>
        </xsd:sequence>
      </xsd:complexType>
    </xsd:element>
    <xsd:element name="pec585762dee4a4ea7f3d0f1b611b462" ma:index="14" nillable="true" ma:taxonomy="true" ma:internalName="pec585762dee4a4ea7f3d0f1b611b462" ma:taxonomyFieldName="HSMonth" ma:displayName="HS Month" ma:indexed="true" ma:readOnly="false" ma:fieldId="{9ec58576-2dee-4a4e-a7f3-d0f1b611b462}" ma:sspId="c0f6cbc1-8b72-4b83-9c85-1dd2ec6ede9a" ma:termSetId="ac3c59ba-1895-4a12-af7b-2d04ef4651d3"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c0f6cbc1-8b72-4b83-9c85-1dd2ec6ede9a" ContentTypeId="0x010100AB71BC9B4D1D724495B6D89DE9CAF183"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A60F-8D20-431E-A6D8-B538F19A4C5A}">
  <ds:schemaRefs>
    <ds:schemaRef ds:uri="http://schemas.microsoft.com/sharepoint/v3/contenttype/forms"/>
  </ds:schemaRefs>
</ds:datastoreItem>
</file>

<file path=customXml/itemProps2.xml><?xml version="1.0" encoding="utf-8"?>
<ds:datastoreItem xmlns:ds="http://schemas.openxmlformats.org/officeDocument/2006/customXml" ds:itemID="{05AE5F6F-890D-4105-80A4-D885757F1B30}">
  <ds:schemaRefs>
    <ds:schemaRef ds:uri="http://purl.org/dc/elements/1.1/"/>
    <ds:schemaRef ds:uri="http://purl.org/dc/dcmitype/"/>
    <ds:schemaRef ds:uri="79392c51-0192-4e0e-b858-3a8b41b0fb8c"/>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1f9c2a4e-c33c-4586-94ce-504a756e9502"/>
    <ds:schemaRef ds:uri="http://www.w3.org/XML/1998/namespace"/>
  </ds:schemaRefs>
</ds:datastoreItem>
</file>

<file path=customXml/itemProps3.xml><?xml version="1.0" encoding="utf-8"?>
<ds:datastoreItem xmlns:ds="http://schemas.openxmlformats.org/officeDocument/2006/customXml" ds:itemID="{9B8294FA-2DAB-455F-9D24-D6B10CF659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392c51-0192-4e0e-b858-3a8b41b0fb8c"/>
    <ds:schemaRef ds:uri="1f9c2a4e-c33c-4586-94ce-504a756e95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6AF4DA-680E-4726-BA4B-56A546F012ED}">
  <ds:schemaRefs>
    <ds:schemaRef ds:uri="Microsoft.SharePoint.Taxonomy.ContentTypeSync"/>
  </ds:schemaRefs>
</ds:datastoreItem>
</file>

<file path=customXml/itemProps5.xml><?xml version="1.0" encoding="utf-8"?>
<ds:datastoreItem xmlns:ds="http://schemas.openxmlformats.org/officeDocument/2006/customXml" ds:itemID="{8965E901-7E02-45C6-A5AA-B13FDEC4A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4421</Words>
  <Characters>25321</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29683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 McCartney</dc:creator>
  <cp:keywords/>
  <dc:description/>
  <cp:lastModifiedBy>Jon Minton</cp:lastModifiedBy>
  <cp:revision>2</cp:revision>
  <cp:lastPrinted>2019-01-07T13:30:00Z</cp:lastPrinted>
  <dcterms:created xsi:type="dcterms:W3CDTF">2019-01-10T15:29:00Z</dcterms:created>
  <dcterms:modified xsi:type="dcterms:W3CDTF">2019-01-10T15:29:00Z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ContentTypeId">
    <vt:lpwstr>0x010100AB71BC9B4D1D724495B6D89DE9CAF1830012BAE840607DE24ABED4A3ABE90E13D9</vt:lpwstr>
  </property>
  <property fmtid="{D5CDD505-2E9C-101B-9397-08002B2CF9AE}" pid="23" name="HSMonth">
    <vt:lpwstr/>
  </property>
  <property fmtid="{D5CDD505-2E9C-101B-9397-08002B2CF9AE}" pid="24" name="HSPHOOutputFileType">
    <vt:lpwstr>5723;#Drafts|7cc443af-3d91-4aef-a832-ee606aedacf0</vt:lpwstr>
  </property>
  <property fmtid="{D5CDD505-2E9C-101B-9397-08002B2CF9AE}" pid="25" name="HSYear">
    <vt:lpwstr/>
  </property>
  <property fmtid="{D5CDD505-2E9C-101B-9397-08002B2CF9AE}" pid="26" name="HSDocumentTag">
    <vt:lpwstr>1508;#Public Health Science|b2b77e3c-2681-456c-b814-5de530825b32;#1526;#Public Health Observatory|93aae3ef-e663-4f27-9869-119d88d797dd;#4325;#Output|e7b7f30c-8859-4ebb-99e3-0d77a47f6e11</vt:lpwstr>
  </property>
  <property fmtid="{D5CDD505-2E9C-101B-9397-08002B2CF9AE}" pid="27" name="HSPHOOutput">
    <vt:lpwstr>6426;#Mortality trends|95c21edd-a8d9-4cb2-898e-e98fc24643e5</vt:lpwstr>
  </property>
  <property fmtid="{D5CDD505-2E9C-101B-9397-08002B2CF9AE}" pid="28" name="dc8bdd57f6044d68ba2ad0d355b4e94f">
    <vt:lpwstr>Drafts|7cc443af-3d91-4aef-a832-ee606aedacf0</vt:lpwstr>
  </property>
  <property fmtid="{D5CDD505-2E9C-101B-9397-08002B2CF9AE}" pid="29" name="ld300b2b0b794dcab1c61f72098850b3">
    <vt:lpwstr>Mortality trends|95c21edd-a8d9-4cb2-898e-e98fc24643e5</vt:lpwstr>
  </property>
</Properties>
</file>