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14" w:rsidRDefault="00E95414" w:rsidP="00E95414">
      <w:pPr>
        <w:pStyle w:val="Heading1"/>
        <w:numPr>
          <w:ilvl w:val="0"/>
          <w:numId w:val="0"/>
        </w:numPr>
      </w:pPr>
      <w:r>
        <w:t>Title Page</w:t>
      </w:r>
    </w:p>
    <w:p w:rsidR="00E95414" w:rsidRDefault="00E95414" w:rsidP="00E95414">
      <w:pPr>
        <w:pStyle w:val="Heading2"/>
        <w:numPr>
          <w:ilvl w:val="0"/>
          <w:numId w:val="0"/>
        </w:numPr>
      </w:pPr>
      <w:r>
        <w:t>Title</w:t>
      </w:r>
    </w:p>
    <w:p w:rsidR="00E32C9B" w:rsidRDefault="00E32C9B" w:rsidP="00E95414">
      <w:r>
        <w:t>Honest outcome mapping: using statistical simulation to map health consequences onto a common scale</w:t>
      </w:r>
    </w:p>
    <w:p w:rsidR="00E32C9B" w:rsidRDefault="00E32C9B" w:rsidP="00E32C9B">
      <w:pPr>
        <w:pStyle w:val="Heading2"/>
        <w:numPr>
          <w:ilvl w:val="0"/>
          <w:numId w:val="0"/>
        </w:numPr>
        <w:rPr>
          <w:rFonts w:ascii="Verdana" w:hAnsi="Verdana"/>
          <w:color w:val="000000"/>
          <w:sz w:val="17"/>
          <w:szCs w:val="17"/>
          <w:shd w:val="clear" w:color="auto" w:fill="FFFFFF"/>
        </w:rPr>
      </w:pPr>
      <w:r w:rsidRPr="00980413">
        <w:t>Names, addresses, and positions of all authors</w:t>
      </w:r>
      <w:r>
        <w:rPr>
          <w:rFonts w:ascii="Verdana" w:hAnsi="Verdana"/>
          <w:color w:val="000000"/>
          <w:sz w:val="17"/>
          <w:szCs w:val="17"/>
          <w:shd w:val="clear" w:color="auto" w:fill="FFFFFF"/>
        </w:rPr>
        <w:t xml:space="preserve"> </w:t>
      </w:r>
    </w:p>
    <w:p w:rsidR="00E32C9B" w:rsidRDefault="00E32C9B" w:rsidP="00E32C9B">
      <w:pPr>
        <w:pStyle w:val="Heading3"/>
        <w:numPr>
          <w:ilvl w:val="0"/>
          <w:numId w:val="0"/>
        </w:numPr>
      </w:pPr>
      <w:r>
        <w:t xml:space="preserve">Corresponding Author: </w:t>
      </w:r>
    </w:p>
    <w:p w:rsidR="00E32C9B" w:rsidRDefault="00E32C9B" w:rsidP="00E32C9B">
      <w:pPr>
        <w:spacing w:after="0"/>
      </w:pPr>
      <w:r>
        <w:t>Jonathan Minton PhD</w:t>
      </w:r>
    </w:p>
    <w:p w:rsidR="00E32C9B" w:rsidRDefault="00E32C9B" w:rsidP="00E32C9B">
      <w:pPr>
        <w:spacing w:after="0"/>
      </w:pPr>
      <w:r>
        <w:t>Research Associate</w:t>
      </w:r>
    </w:p>
    <w:p w:rsidR="00E32C9B" w:rsidRDefault="00E32C9B" w:rsidP="00E32C9B">
      <w:pPr>
        <w:spacing w:after="0"/>
      </w:pPr>
      <w:r>
        <w:t>Advanced Quantitative Methods Network (</w:t>
      </w:r>
      <w:proofErr w:type="spellStart"/>
      <w:r>
        <w:t>AQMeN</w:t>
      </w:r>
      <w:proofErr w:type="spellEnd"/>
      <w:r>
        <w:t>)</w:t>
      </w:r>
    </w:p>
    <w:p w:rsidR="00E32C9B" w:rsidRDefault="00E32C9B" w:rsidP="00E32C9B">
      <w:pPr>
        <w:spacing w:after="0"/>
      </w:pPr>
      <w:r>
        <w:t>The University of Glasgow</w:t>
      </w:r>
    </w:p>
    <w:p w:rsidR="00E32C9B" w:rsidRDefault="00E32C9B" w:rsidP="00E32C9B">
      <w:pPr>
        <w:spacing w:after="0"/>
      </w:pPr>
      <w:r>
        <w:t>Adam Smith Building</w:t>
      </w:r>
    </w:p>
    <w:p w:rsidR="00E32C9B" w:rsidRDefault="00E32C9B" w:rsidP="00E32C9B">
      <w:pPr>
        <w:spacing w:after="0"/>
      </w:pPr>
      <w:r>
        <w:t>Glasgow</w:t>
      </w:r>
    </w:p>
    <w:p w:rsidR="00E32C9B" w:rsidRDefault="00E32C9B" w:rsidP="00E32C9B">
      <w:pPr>
        <w:spacing w:after="0"/>
      </w:pPr>
      <w:r>
        <w:t>G12 8RT</w:t>
      </w:r>
    </w:p>
    <w:p w:rsidR="00E32C9B" w:rsidRDefault="00E32C9B" w:rsidP="00E32C9B"/>
    <w:p w:rsidR="00E32C9B" w:rsidRDefault="00E32C9B" w:rsidP="00E32C9B">
      <w:pPr>
        <w:pStyle w:val="Heading3"/>
        <w:numPr>
          <w:ilvl w:val="0"/>
          <w:numId w:val="0"/>
        </w:numPr>
      </w:pPr>
      <w:r>
        <w:t xml:space="preserve">Second Author: </w:t>
      </w:r>
    </w:p>
    <w:p w:rsidR="00E32C9B" w:rsidRDefault="00E32C9B" w:rsidP="00E32C9B">
      <w:pPr>
        <w:spacing w:after="0"/>
      </w:pPr>
      <w:r>
        <w:t>Professor Matthew Stevenson</w:t>
      </w:r>
      <w:r>
        <w:t xml:space="preserve"> PhD</w:t>
      </w:r>
    </w:p>
    <w:p w:rsidR="00E32C9B" w:rsidRDefault="00E32C9B" w:rsidP="00E32C9B">
      <w:pPr>
        <w:spacing w:after="0"/>
      </w:pPr>
      <w:r>
        <w:t>Professor of Health Economics</w:t>
      </w:r>
    </w:p>
    <w:p w:rsidR="00E32C9B" w:rsidRDefault="00E32C9B" w:rsidP="00E32C9B">
      <w:pPr>
        <w:spacing w:after="0"/>
      </w:pPr>
      <w:r>
        <w:t>Health Economic and Decision Science</w:t>
      </w:r>
    </w:p>
    <w:p w:rsidR="00E32C9B" w:rsidRDefault="00E32C9B" w:rsidP="00E32C9B">
      <w:pPr>
        <w:spacing w:after="0"/>
      </w:pPr>
      <w:r>
        <w:t>School of Health and Related Research</w:t>
      </w:r>
    </w:p>
    <w:p w:rsidR="00E32C9B" w:rsidRDefault="00E32C9B" w:rsidP="00E32C9B">
      <w:pPr>
        <w:spacing w:after="0"/>
      </w:pPr>
      <w:r>
        <w:t>The University of Sheffield</w:t>
      </w:r>
    </w:p>
    <w:p w:rsidR="00E32C9B" w:rsidRDefault="00E32C9B" w:rsidP="00E32C9B">
      <w:pPr>
        <w:spacing w:after="0"/>
      </w:pPr>
      <w:r>
        <w:t>Regent Court</w:t>
      </w:r>
    </w:p>
    <w:p w:rsidR="00E32C9B" w:rsidRDefault="00E32C9B" w:rsidP="00E32C9B">
      <w:pPr>
        <w:spacing w:after="0"/>
      </w:pPr>
      <w:r>
        <w:t>30 Regent Street</w:t>
      </w:r>
    </w:p>
    <w:p w:rsidR="00E32C9B" w:rsidRDefault="00E32C9B" w:rsidP="00E32C9B">
      <w:pPr>
        <w:spacing w:after="0"/>
      </w:pPr>
      <w:r>
        <w:t>Sheffield</w:t>
      </w:r>
    </w:p>
    <w:p w:rsidR="00E32C9B" w:rsidRDefault="00E32C9B" w:rsidP="00E32C9B">
      <w:pPr>
        <w:spacing w:after="0"/>
      </w:pPr>
      <w:r>
        <w:t>S1 4DA</w:t>
      </w:r>
    </w:p>
    <w:p w:rsidR="00E32C9B" w:rsidRDefault="00E32C9B" w:rsidP="00E32C9B">
      <w:pPr>
        <w:pStyle w:val="Heading3"/>
        <w:numPr>
          <w:ilvl w:val="0"/>
          <w:numId w:val="0"/>
        </w:numPr>
      </w:pPr>
      <w:r>
        <w:t xml:space="preserve">Third Author: </w:t>
      </w:r>
    </w:p>
    <w:p w:rsidR="00E32C9B" w:rsidRDefault="00E32C9B" w:rsidP="00E32C9B">
      <w:pPr>
        <w:spacing w:after="0"/>
      </w:pPr>
      <w:r>
        <w:t xml:space="preserve">Dr Ralph </w:t>
      </w:r>
      <w:proofErr w:type="spellStart"/>
      <w:r>
        <w:t>Crott</w:t>
      </w:r>
      <w:proofErr w:type="spellEnd"/>
      <w:r>
        <w:t xml:space="preserve"> PhD</w:t>
      </w:r>
    </w:p>
    <w:p w:rsidR="00E32C9B" w:rsidRDefault="00E32C9B" w:rsidP="00E32C9B">
      <w:pPr>
        <w:spacing w:after="0"/>
      </w:pPr>
      <w:r>
        <w:t>Associate Research Fellow</w:t>
      </w:r>
    </w:p>
    <w:p w:rsidR="00E32C9B" w:rsidRDefault="00E32C9B" w:rsidP="00E32C9B">
      <w:pPr>
        <w:spacing w:after="0"/>
      </w:pPr>
      <w:r>
        <w:t>IRSS</w:t>
      </w:r>
    </w:p>
    <w:p w:rsidR="00E32C9B" w:rsidRDefault="00E32C9B" w:rsidP="00E32C9B">
      <w:pPr>
        <w:spacing w:after="0"/>
      </w:pPr>
      <w:r>
        <w:t>Catholic University of Louvain</w:t>
      </w:r>
    </w:p>
    <w:p w:rsidR="00E32C9B" w:rsidRDefault="00E32C9B" w:rsidP="00E32C9B">
      <w:pPr>
        <w:spacing w:after="0"/>
      </w:pPr>
      <w:r>
        <w:t>Brussels</w:t>
      </w:r>
    </w:p>
    <w:p w:rsidR="00E32C9B" w:rsidRDefault="00E32C9B" w:rsidP="00E32C9B">
      <w:pPr>
        <w:spacing w:after="0"/>
      </w:pPr>
      <w:r>
        <w:t>Belgium</w:t>
      </w:r>
    </w:p>
    <w:p w:rsidR="00E32C9B" w:rsidRDefault="00E32C9B" w:rsidP="00E32C9B">
      <w:pPr>
        <w:pStyle w:val="Heading2"/>
        <w:numPr>
          <w:ilvl w:val="0"/>
          <w:numId w:val="0"/>
        </w:numPr>
        <w:rPr>
          <w:rStyle w:val="apple-converted-space"/>
          <w:rFonts w:ascii="Verdana" w:hAnsi="Verdana"/>
          <w:color w:val="000000"/>
          <w:sz w:val="17"/>
          <w:szCs w:val="17"/>
          <w:shd w:val="clear" w:color="auto" w:fill="FFFFFF"/>
        </w:rPr>
      </w:pPr>
      <w:r>
        <w:rPr>
          <w:shd w:val="clear" w:color="auto" w:fill="FFFFFF"/>
        </w:rPr>
        <w:t>Details of funding</w:t>
      </w:r>
    </w:p>
    <w:p w:rsidR="00E32C9B" w:rsidRDefault="00E32C9B" w:rsidP="00E32C9B">
      <w:r>
        <w:rPr>
          <w:rFonts w:ascii="Palatino Linotype" w:hAnsi="Palatino Linotype"/>
          <w:i/>
          <w:iCs/>
          <w:color w:val="000000"/>
          <w:sz w:val="21"/>
          <w:szCs w:val="21"/>
        </w:rPr>
        <w:t xml:space="preserve">Financial support for this study was provided </w:t>
      </w:r>
      <w:r>
        <w:rPr>
          <w:rFonts w:ascii="Palatino Linotype" w:hAnsi="Palatino Linotype"/>
          <w:i/>
          <w:iCs/>
          <w:color w:val="000000"/>
          <w:sz w:val="21"/>
          <w:szCs w:val="21"/>
        </w:rPr>
        <w:t xml:space="preserve">in part </w:t>
      </w:r>
      <w:r>
        <w:rPr>
          <w:rFonts w:ascii="Palatino Linotype" w:hAnsi="Palatino Linotype"/>
          <w:i/>
          <w:iCs/>
          <w:color w:val="000000"/>
          <w:sz w:val="21"/>
          <w:szCs w:val="21"/>
        </w:rPr>
        <w:t>by a grant from</w:t>
      </w:r>
      <w:r w:rsidRPr="00E32C9B">
        <w:rPr>
          <w:rFonts w:ascii="Palatino Linotype" w:hAnsi="Palatino Linotype"/>
          <w:i/>
          <w:iCs/>
          <w:color w:val="000000"/>
          <w:sz w:val="21"/>
          <w:szCs w:val="21"/>
        </w:rPr>
        <w:t xml:space="preserve"> the National Institute for Health Research Health Technology Assessment Programme (Project code 08/45/01)</w:t>
      </w:r>
      <w:r>
        <w:rPr>
          <w:rFonts w:ascii="Palatino Linotype" w:hAnsi="Palatino Linotype"/>
          <w:i/>
          <w:iCs/>
          <w:color w:val="000000"/>
          <w:sz w:val="21"/>
          <w:szCs w:val="21"/>
        </w:rPr>
        <w:t xml:space="preserve">. The funding agreement ensured the authors’ independence in designing the study, interpreting the data, writing, and publishing the report. </w:t>
      </w:r>
    </w:p>
    <w:p w:rsidR="00E32C9B" w:rsidRDefault="00E32C9B" w:rsidP="00E32C9B">
      <w:pPr>
        <w:pStyle w:val="Heading2"/>
        <w:numPr>
          <w:ilvl w:val="0"/>
          <w:numId w:val="0"/>
        </w:numPr>
        <w:rPr>
          <w:shd w:val="clear" w:color="auto" w:fill="FFFFFF"/>
        </w:rPr>
      </w:pPr>
      <w:r>
        <w:rPr>
          <w:shd w:val="clear" w:color="auto" w:fill="FFFFFF"/>
        </w:rPr>
        <w:lastRenderedPageBreak/>
        <w:t>Word Count:</w:t>
      </w:r>
    </w:p>
    <w:p w:rsidR="00E32C9B" w:rsidRPr="00E32C9B" w:rsidRDefault="00E32C9B" w:rsidP="00E32C9B">
      <w:pPr>
        <w:rPr>
          <w:lang w:val="en-US" w:bidi="en-US"/>
        </w:rPr>
      </w:pPr>
      <w:r>
        <w:rPr>
          <w:lang w:val="en-US" w:bidi="en-US"/>
        </w:rPr>
        <w:t>3852 words</w:t>
      </w:r>
    </w:p>
    <w:p w:rsidR="00E95414" w:rsidRDefault="00E95414" w:rsidP="00E95414">
      <w:r>
        <w:br w:type="page"/>
      </w:r>
    </w:p>
    <w:p w:rsidR="0044660C" w:rsidRDefault="0044660C" w:rsidP="00E95414">
      <w:pPr>
        <w:pStyle w:val="Heading1"/>
        <w:numPr>
          <w:ilvl w:val="0"/>
          <w:numId w:val="0"/>
        </w:numPr>
      </w:pPr>
      <w:r>
        <w:lastRenderedPageBreak/>
        <w:t>Abstract</w:t>
      </w:r>
    </w:p>
    <w:p w:rsidR="00B32B51" w:rsidRPr="00BD129C" w:rsidRDefault="00B32B51" w:rsidP="00B32B51">
      <w:pPr>
        <w:spacing w:line="360" w:lineRule="auto"/>
        <w:jc w:val="both"/>
      </w:pPr>
      <w:r w:rsidRPr="00BD129C">
        <w:rPr>
          <w:b/>
        </w:rPr>
        <w:t>Background:</w:t>
      </w:r>
      <w:r w:rsidRPr="00BD129C">
        <w:t> </w:t>
      </w:r>
      <w:r>
        <w:t xml:space="preserve">Disease severity is often measured using different and incompatible systems of classification. This is problematic </w:t>
      </w:r>
      <w:r w:rsidR="00383EBD">
        <w:t>in economic evaluations if costs and consequences (health related quality of life (</w:t>
      </w:r>
      <w:proofErr w:type="spellStart"/>
      <w:r w:rsidR="00383EBD">
        <w:t>HRQoL</w:t>
      </w:r>
      <w:proofErr w:type="spellEnd"/>
      <w:r w:rsidR="00383EBD">
        <w:t>) are reported using different systems of classification.</w:t>
      </w:r>
      <w:r w:rsidRPr="00BD129C">
        <w:t xml:space="preserve"> </w:t>
      </w:r>
      <w:r w:rsidR="00383EBD">
        <w:t>Methods</w:t>
      </w:r>
      <w:r>
        <w:t xml:space="preserve"> for </w:t>
      </w:r>
      <w:r w:rsidRPr="00BD129C">
        <w:t xml:space="preserve">mapping between categories </w:t>
      </w:r>
      <w:r>
        <w:t xml:space="preserve">are </w:t>
      </w:r>
      <w:r w:rsidRPr="00BD129C">
        <w:t>required</w:t>
      </w:r>
      <w:r w:rsidR="00383EBD">
        <w:t xml:space="preserve"> to allow these different sources of evidence to be used</w:t>
      </w:r>
      <w:r w:rsidRPr="00BD129C">
        <w:t xml:space="preserve">. </w:t>
      </w:r>
      <w:r>
        <w:t>Using stroke as a case study, t</w:t>
      </w:r>
      <w:r w:rsidRPr="00BD129C">
        <w:t xml:space="preserve">his paper describes a method for mapping </w:t>
      </w:r>
      <w:proofErr w:type="spellStart"/>
      <w:r w:rsidRPr="00BD129C">
        <w:t>HRQoL</w:t>
      </w:r>
      <w:proofErr w:type="spellEnd"/>
      <w:r w:rsidRPr="00BD129C">
        <w:t xml:space="preserve"> from more (seven) to fewer (three</w:t>
      </w:r>
      <w:r w:rsidR="00180FFA">
        <w:t xml:space="preserve"> or four</w:t>
      </w:r>
      <w:r w:rsidRPr="00BD129C">
        <w:t xml:space="preserve">) categories in a way which does not </w:t>
      </w:r>
      <w:r>
        <w:t>underrepresent the additional uncertainty involved in this indirect use of evidence</w:t>
      </w:r>
      <w:r w:rsidRPr="00BD129C">
        <w:t>.   </w:t>
      </w:r>
    </w:p>
    <w:p w:rsidR="00B32B51" w:rsidRPr="00BD129C" w:rsidRDefault="00B32B51" w:rsidP="00B32B51">
      <w:pPr>
        <w:spacing w:line="360" w:lineRule="auto"/>
        <w:jc w:val="both"/>
      </w:pPr>
      <w:r w:rsidRPr="00BD129C">
        <w:rPr>
          <w:b/>
        </w:rPr>
        <w:t>Methods:</w:t>
      </w:r>
      <w:r w:rsidRPr="00BD129C">
        <w:t> </w:t>
      </w:r>
      <w:r>
        <w:t>An informal Bayesian simulation approach was used to estimate, with credible intervals</w:t>
      </w:r>
      <w:r w:rsidR="00383EBD">
        <w:t xml:space="preserve"> (</w:t>
      </w:r>
      <w:proofErr w:type="spellStart"/>
      <w:r w:rsidR="00383EBD">
        <w:t>CrIs</w:t>
      </w:r>
      <w:proofErr w:type="spellEnd"/>
      <w:r w:rsidR="00383EBD">
        <w:t>)</w:t>
      </w:r>
      <w:r>
        <w:t xml:space="preserve">, the estimated mean </w:t>
      </w:r>
      <w:proofErr w:type="spellStart"/>
      <w:r>
        <w:t>HRQoLs</w:t>
      </w:r>
      <w:proofErr w:type="spellEnd"/>
      <w:r>
        <w:t xml:space="preserve"> of p</w:t>
      </w:r>
      <w:r w:rsidR="00383EBD">
        <w:t>atients in each of three discrete states (dead, dependent stroke, independent stroke),</w:t>
      </w:r>
      <w:r>
        <w:t xml:space="preserve"> given s</w:t>
      </w:r>
      <w:r w:rsidRPr="00BD129C">
        <w:t xml:space="preserve">ummary data </w:t>
      </w:r>
      <w:r w:rsidR="00180FFA">
        <w:t xml:space="preserve">reported for each of </w:t>
      </w:r>
      <w:r>
        <w:t>se</w:t>
      </w:r>
      <w:r w:rsidR="005262D0">
        <w:t xml:space="preserve">ven </w:t>
      </w:r>
      <w:r w:rsidR="00180FFA">
        <w:t>discrete states</w:t>
      </w:r>
      <w:r>
        <w:t xml:space="preserve">. The approach incorporates the </w:t>
      </w:r>
      <w:r w:rsidRPr="00BD129C">
        <w:t xml:space="preserve">known uncertainty about </w:t>
      </w:r>
      <w:r>
        <w:t xml:space="preserve">both </w:t>
      </w:r>
      <w:r w:rsidRPr="00BD129C">
        <w:t xml:space="preserve">the expected </w:t>
      </w:r>
      <w:proofErr w:type="spellStart"/>
      <w:r w:rsidRPr="00BD129C">
        <w:t>HRQoL</w:t>
      </w:r>
      <w:proofErr w:type="spellEnd"/>
      <w:r w:rsidRPr="00BD129C">
        <w:t xml:space="preserve"> in each of the seven states and known uncertainty about </w:t>
      </w:r>
      <w:r>
        <w:t xml:space="preserve">the proportion of patients in each </w:t>
      </w:r>
      <w:r w:rsidRPr="00BD129C">
        <w:t>of the seven categories.</w:t>
      </w:r>
      <w:r>
        <w:t xml:space="preserve"> The three-state estimates produced were compared with older estimates to assess face validity.</w:t>
      </w:r>
    </w:p>
    <w:p w:rsidR="00B32B51" w:rsidRPr="00BD129C" w:rsidRDefault="00B32B51" w:rsidP="00B32B51">
      <w:pPr>
        <w:spacing w:line="360" w:lineRule="auto"/>
        <w:jc w:val="both"/>
      </w:pPr>
      <w:r w:rsidRPr="00BD129C">
        <w:rPr>
          <w:b/>
        </w:rPr>
        <w:t>Results:</w:t>
      </w:r>
      <w:r w:rsidRPr="00BD129C">
        <w:t> </w:t>
      </w:r>
      <w:r>
        <w:t xml:space="preserve"> </w:t>
      </w:r>
      <w:r w:rsidR="00180FFA">
        <w:t xml:space="preserve">Three-state and four-state mappings were performed. </w:t>
      </w:r>
      <w:r>
        <w:t xml:space="preserve">The new three-state estimates produced were similar to much older estimates, </w:t>
      </w:r>
      <w:r w:rsidR="005262D0">
        <w:t>but differed in ways which suggest improved patient outcomes due to a better quality of stroke care.</w:t>
      </w:r>
    </w:p>
    <w:p w:rsidR="00B32B51" w:rsidRPr="00BD129C" w:rsidRDefault="00B32B51" w:rsidP="00B32B51">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32B51" w:rsidRPr="00BD129C" w:rsidRDefault="00B32B51" w:rsidP="00B32B51">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B32B51" w:rsidRPr="00BD129C" w:rsidRDefault="00B32B51" w:rsidP="00BD129C">
      <w:pPr>
        <w:spacing w:line="360" w:lineRule="auto"/>
        <w:jc w:val="both"/>
      </w:pPr>
    </w:p>
    <w:p w:rsidR="0090212F" w:rsidRDefault="0090212F" w:rsidP="007E2AF9">
      <w:pPr>
        <w:rPr>
          <w:lang w:val="en-US" w:bidi="en-US"/>
        </w:rPr>
      </w:pPr>
    </w:p>
    <w:p w:rsidR="0090212F" w:rsidRDefault="0090212F" w:rsidP="007E2AF9">
      <w:pPr>
        <w:rPr>
          <w:lang w:val="en-US" w:bidi="en-US"/>
        </w:rPr>
        <w:sectPr w:rsidR="0090212F" w:rsidSect="002958F0">
          <w:footerReference w:type="default" r:id="rId9"/>
          <w:pgSz w:w="11906" w:h="16838"/>
          <w:pgMar w:top="1440" w:right="1440" w:bottom="1440" w:left="1440" w:header="708" w:footer="708" w:gutter="0"/>
          <w:lnNumType w:countBy="1"/>
          <w:cols w:space="708"/>
          <w:docGrid w:linePitch="360"/>
        </w:sectPr>
      </w:pPr>
    </w:p>
    <w:p w:rsidR="000D28AB" w:rsidRDefault="00E32C9B" w:rsidP="000D28AB">
      <w:pPr>
        <w:pStyle w:val="Heading1"/>
      </w:pPr>
      <w:r>
        <w:lastRenderedPageBreak/>
        <w:t>Manuscript</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w:t>
      </w:r>
      <w:r w:rsidR="001B569A">
        <w:t xml:space="preserve">uses </w:t>
      </w:r>
      <w:r w:rsidR="002A4372">
        <w:t xml:space="preserve">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64188A" w:rsidRPr="0064188A">
        <w:rPr>
          <w:noProof/>
        </w:rPr>
        <w:t>(1)</w:t>
      </w:r>
      <w:r w:rsidR="007518F5">
        <w:t xml:space="preserve"> </w:t>
      </w:r>
    </w:p>
    <w:p w:rsidR="007518F5" w:rsidRDefault="002A4372" w:rsidP="002A4372">
      <w:pPr>
        <w:spacing w:line="360" w:lineRule="auto"/>
        <w:jc w:val="both"/>
      </w:pPr>
      <w:r>
        <w:t xml:space="preserve">We </w:t>
      </w:r>
      <w:r w:rsidR="001B569A">
        <w:t>provide</w:t>
      </w:r>
      <w:r>
        <w:t xml:space="preserve"> two </w:t>
      </w:r>
      <w:r w:rsidR="001B569A">
        <w:t>case studies</w:t>
      </w:r>
      <w:r>
        <w:t xml:space="preserve">. </w:t>
      </w:r>
      <w:r w:rsidR="00180FFA">
        <w:t>In the first case study</w:t>
      </w:r>
      <w:r>
        <w:t xml:space="preserve">,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by Modified Rankin Scale (</w:t>
      </w:r>
      <w:proofErr w:type="spellStart"/>
      <w:r w:rsidR="00E71817">
        <w:t>mRS</w:t>
      </w:r>
      <w:proofErr w:type="spellEnd"/>
      <w:r w:rsidR="00E71817">
        <w:t xml:space="preserve">), which has seven mutually exclusive stroke severity states. </w:t>
      </w:r>
      <w:r w:rsidR="0064188A" w:rsidRPr="0064188A">
        <w:rPr>
          <w:noProof/>
        </w:rPr>
        <w:t>(2)</w:t>
      </w:r>
      <w:r w:rsidR="00F6657B">
        <w:t xml:space="preserve"> </w:t>
      </w:r>
      <w:r w:rsidR="00180FFA">
        <w:t>In the second case study</w:t>
      </w:r>
      <w:r w:rsidR="005D6A01">
        <w:t xml:space="preserve">,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w:t>
      </w:r>
      <w:r w:rsidR="007D3290">
        <w:t xml:space="preserve">an </w:t>
      </w:r>
      <w:r w:rsidR="005D6A01">
        <w:t xml:space="preserve">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w:t>
      </w:r>
      <w:r w:rsidR="007D3290">
        <w:t xml:space="preserve"> </w:t>
      </w:r>
      <w:r w:rsidR="005D6A01">
        <w:t xml:space="preserv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w:t>
      </w:r>
      <w:r w:rsidR="005B5912">
        <w:t>whilst</w:t>
      </w:r>
      <w:r w:rsidR="007518F5">
        <w:t xml:space="preserve">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 xml:space="preserve">The method described was developed when </w:t>
      </w:r>
      <w:r w:rsidR="001B569A">
        <w:t xml:space="preserve">constructing </w:t>
      </w:r>
      <w:r>
        <w:t>a model of the consequences of prescribing oral anticoagulants (OACs) in the management of atrial fibrillation</w:t>
      </w:r>
      <w:r w:rsidR="005D6A01">
        <w:t xml:space="preserve"> (AF)</w:t>
      </w:r>
      <w:r w:rsidR="00B32B51">
        <w:t xml:space="preserve">. </w:t>
      </w:r>
      <w:r w:rsidR="00F560A5" w:rsidRPr="00F560A5">
        <w:rPr>
          <w:noProof/>
        </w:rPr>
        <w:t>(3,4)</w:t>
      </w:r>
      <w:r>
        <w:t xml:space="preserve"> OACs reduce stroke risk but can lead to intracranial haemorrhages </w:t>
      </w:r>
      <w:r w:rsidR="00180FFA">
        <w:t xml:space="preserve">(ICHs) </w:t>
      </w:r>
      <w:r>
        <w:t>which can cause brain injury</w:t>
      </w:r>
      <w:r w:rsidR="00180FFA">
        <w:t xml:space="preserve">. Like strokes, ICHs can be fatal, and cause qualitatively similar kinds of disablement and quality of life impairment. The </w:t>
      </w:r>
      <w:r w:rsidR="007F3A38">
        <w:t xml:space="preserve">management of AF therefore involves balancing the costs and consequences of prescribing compared with not prescribing an OAC. </w:t>
      </w:r>
      <w:r w:rsidR="007F3A38" w:rsidRPr="007F3A38">
        <w:rPr>
          <w:noProof/>
        </w:rPr>
        <w:t>(3,4)</w:t>
      </w:r>
      <w:r w:rsidR="007F3A38">
        <w:t xml:space="preserve"> Being able to derive estimates for the consequences of both stroke and ICH therefore improves the consistency of the estimates used and validity of the model results. </w:t>
      </w:r>
    </w:p>
    <w:p w:rsidR="000D28AB" w:rsidRDefault="000D28AB" w:rsidP="000D28AB">
      <w:pPr>
        <w:pStyle w:val="Heading2"/>
      </w:pPr>
      <w:r>
        <w:t>Method</w:t>
      </w:r>
    </w:p>
    <w:p w:rsidR="000D28AB" w:rsidRDefault="007A1D5D" w:rsidP="000D28AB">
      <w:pPr>
        <w:pStyle w:val="Heading3"/>
      </w:pPr>
      <w:r>
        <w:t>Information required</w:t>
      </w:r>
    </w:p>
    <w:p w:rsidR="007F3A38" w:rsidRDefault="007A1D5D" w:rsidP="007A1D5D">
      <w:pPr>
        <w:spacing w:line="360" w:lineRule="auto"/>
        <w:jc w:val="both"/>
      </w:pPr>
      <w:r w:rsidRPr="007A1D5D">
        <w:lastRenderedPageBreak/>
        <w:t xml:space="preserve">In order to use the approach described here, </w:t>
      </w:r>
      <w:r w:rsidR="005B5912">
        <w:t>two sorts of information and one assumption is needed.</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w:t>
      </w:r>
      <w:r w:rsidR="005B5912">
        <w:t xml:space="preserve">between </w:t>
      </w:r>
      <w:r w:rsidRPr="007A1D5D">
        <w:t xml:space="preserve">these </w:t>
      </w:r>
      <w:r w:rsidR="004C25D9">
        <w:t>health states</w:t>
      </w:r>
      <w:r w:rsidRPr="007A1D5D">
        <w:t xml:space="preserve">. </w:t>
      </w:r>
      <w:r w:rsidR="007F3A38" w:rsidRPr="007A1D5D">
        <w:t xml:space="preserve">In our examples, the first two pieces of information were provided in a previous </w:t>
      </w:r>
      <w:r w:rsidR="007F3A38">
        <w:t>paper published in MDM in 2010, which we refer to as our ‘source paper’</w:t>
      </w:r>
      <w:proofErr w:type="gramStart"/>
      <w:r w:rsidR="007F3A38">
        <w:t>.</w:t>
      </w:r>
      <w:r w:rsidR="007F3A38" w:rsidRPr="0064188A">
        <w:rPr>
          <w:noProof/>
        </w:rPr>
        <w:t>(</w:t>
      </w:r>
      <w:proofErr w:type="gramEnd"/>
      <w:r w:rsidR="007F3A38" w:rsidRPr="0064188A">
        <w:rPr>
          <w:noProof/>
        </w:rPr>
        <w:t>2)</w:t>
      </w:r>
      <w:r w:rsidR="007F3A38">
        <w:t xml:space="preserve"> </w:t>
      </w:r>
    </w:p>
    <w:p w:rsidR="007A1D5D" w:rsidRDefault="007F3A38" w:rsidP="007A1D5D">
      <w:pPr>
        <w:spacing w:line="360" w:lineRule="auto"/>
        <w:jc w:val="both"/>
      </w:pPr>
      <w:r>
        <w:t xml:space="preserve">The assumption needed is about how </w:t>
      </w:r>
      <w:r w:rsidR="00585CB9">
        <w:t xml:space="preserve">larger </w:t>
      </w:r>
      <w:r>
        <w:t>number of categories (</w:t>
      </w:r>
      <w:proofErr w:type="spellStart"/>
      <w:proofErr w:type="gramStart"/>
      <w:r>
        <w:t>mRS</w:t>
      </w:r>
      <w:proofErr w:type="spellEnd"/>
      <w:proofErr w:type="gramEnd"/>
      <w:r>
        <w:t xml:space="preserve"> states</w:t>
      </w:r>
      <w:r w:rsidR="00585CB9">
        <w:t xml:space="preserve">) </w:t>
      </w:r>
      <w:r>
        <w:t xml:space="preserve">map onto </w:t>
      </w:r>
      <w:r w:rsidR="00585CB9">
        <w:t xml:space="preserve">to </w:t>
      </w:r>
      <w:r>
        <w:t xml:space="preserve">the smaller number of states. In the first example, the smaller </w:t>
      </w:r>
      <w:proofErr w:type="gramStart"/>
      <w:r>
        <w:t>number of states are</w:t>
      </w:r>
      <w:proofErr w:type="gramEnd"/>
      <w:r>
        <w:t xml:space="preserve">: dead; dependent stroke; and independent stroke. In the second example, the smaller </w:t>
      </w:r>
      <w:proofErr w:type="gramStart"/>
      <w:r>
        <w:t>number of states are</w:t>
      </w:r>
      <w:proofErr w:type="gramEnd"/>
      <w:r>
        <w:t xml:space="preserve"> the GOS states.</w:t>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F560A5" w:rsidRPr="00F560A5">
        <w:rPr>
          <w:noProof/>
        </w:rPr>
        <w:t>(5)</w:t>
      </w:r>
      <w:r>
        <w:t>, and originally based on a 1957 paper by J Rankin.</w:t>
      </w:r>
      <w:r w:rsidR="00F560A5" w:rsidRPr="00F560A5">
        <w:rPr>
          <w:noProof/>
        </w:rPr>
        <w:t>(6)</w:t>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F560A5" w:rsidRPr="00F560A5">
        <w:rPr>
          <w:noProof/>
        </w:rPr>
        <w:t>(7)</w:t>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w:t>
      </w:r>
      <w:r w:rsidR="001B569A">
        <w:t xml:space="preserve">source </w:t>
      </w:r>
      <w:r>
        <w:t xml:space="preserve">paper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1B569A">
        <w:t>, England</w:t>
      </w:r>
      <w:r w:rsidR="000D0043">
        <w:t>.</w:t>
      </w:r>
      <w:r w:rsidR="00F560A5" w:rsidRPr="00F560A5">
        <w:rPr>
          <w:noProof/>
        </w:rPr>
        <w:t>(8)</w:t>
      </w:r>
      <w:r w:rsidR="00843868">
        <w:t xml:space="preserve"> The </w:t>
      </w:r>
      <w:r w:rsidR="00E36C46">
        <w:t xml:space="preserve">source paper </w:t>
      </w:r>
      <w:r w:rsidR="00843868">
        <w:t>used 1</w:t>
      </w:r>
      <w:r w:rsidR="007F3A38">
        <w:t>,</w:t>
      </w:r>
      <w:r w:rsidR="00843868">
        <w:t xml:space="preserve">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w:t>
      </w:r>
      <w:r w:rsidR="005B5912">
        <w:t xml:space="preserve">The condition of the patients </w:t>
      </w:r>
      <w:r w:rsidR="00843868">
        <w:t xml:space="preserve">was assessed using the disease specific measure of the </w:t>
      </w:r>
      <w:proofErr w:type="spellStart"/>
      <w:r w:rsidR="00843868">
        <w:t>mRS</w:t>
      </w:r>
      <w:proofErr w:type="spellEnd"/>
      <w:r w:rsidR="00843868">
        <w:t xml:space="preserve">, as well as the </w:t>
      </w:r>
      <w:proofErr w:type="spellStart"/>
      <w:r w:rsidR="001B569A">
        <w:t>EuroQoL</w:t>
      </w:r>
      <w:proofErr w:type="spellEnd"/>
      <w:r w:rsidR="001B569A">
        <w:t xml:space="preserve"> 5 Dimension (EQ-5D) tool</w:t>
      </w:r>
      <w:r w:rsidR="00843868">
        <w:t xml:space="preserve">. Based on this, the EQ-5D utilities associated with each state </w:t>
      </w:r>
      <w:r w:rsidR="005B5912">
        <w:t>were estimated</w:t>
      </w:r>
      <w:r w:rsidR="00843868">
        <w:t xml:space="preserve">. </w:t>
      </w:r>
      <w:r w:rsidR="0064188A" w:rsidRPr="0064188A">
        <w:rPr>
          <w:noProof/>
        </w:rPr>
        <w:t>(2)</w:t>
      </w:r>
    </w:p>
    <w:p w:rsidR="00BE67CC" w:rsidRDefault="005D6A01" w:rsidP="00BE67CC">
      <w:pPr>
        <w:spacing w:line="360" w:lineRule="auto"/>
        <w:jc w:val="both"/>
      </w:pPr>
      <w:r>
        <w:t xml:space="preserve">The source paper </w:t>
      </w:r>
      <w:r w:rsidR="00BE67CC">
        <w:t>reported that, of the 1,283 patients who had a stroke within the Oxford vascular study (OXVAS</w:t>
      </w:r>
      <w:r w:rsidR="005B5912">
        <w:t>C</w:t>
      </w:r>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proofErr w:type="gramStart"/>
      <w:r w:rsidR="00BE67CC">
        <w:t>.</w:t>
      </w:r>
      <w:r w:rsidR="0064188A" w:rsidRPr="0064188A">
        <w:rPr>
          <w:noProof/>
        </w:rPr>
        <w:t>(</w:t>
      </w:r>
      <w:proofErr w:type="gramEnd"/>
      <w:r w:rsidR="0064188A" w:rsidRPr="0064188A">
        <w:rPr>
          <w:noProof/>
        </w:rPr>
        <w:t>2)</w:t>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xml:space="preserve">. </w:t>
      </w:r>
      <w:r w:rsidR="00F560A5" w:rsidRPr="00F560A5">
        <w:rPr>
          <w:noProof/>
        </w:rPr>
        <w:t>(9)</w:t>
      </w:r>
      <w:r w:rsidR="005B5912">
        <w:t xml:space="preserve"> </w:t>
      </w:r>
      <w:r w:rsidR="00BE67CC">
        <w:t>The ordinary least squares (OLS) based mean estimates for the utility associated with each state, combined with the standard deviations around these mean estimates, were also reported</w:t>
      </w:r>
      <w:r w:rsidR="0015167B">
        <w:t xml:space="preserve"> in the source paper</w:t>
      </w:r>
      <w:r w:rsidR="00BE67CC">
        <w:t>.</w:t>
      </w:r>
      <w:r w:rsidR="008164C2">
        <w:t xml:space="preserve"> The numbers used from the source paper to estimate the distribution of patients in different </w:t>
      </w:r>
      <w:proofErr w:type="spellStart"/>
      <w:proofErr w:type="gramStart"/>
      <w:r w:rsidR="008164C2">
        <w:t>mRS</w:t>
      </w:r>
      <w:proofErr w:type="spellEnd"/>
      <w:proofErr w:type="gramEnd"/>
      <w:r w:rsidR="008164C2">
        <w:t xml:space="preserve"> categories are presented in </w:t>
      </w:r>
      <w:r w:rsidR="008164C2">
        <w:t xml:space="preserve">Table </w:t>
      </w:r>
      <w:r w:rsidR="008164C2">
        <w:rPr>
          <w:noProof/>
        </w:rPr>
        <w:t>1</w:t>
      </w:r>
      <w:r w:rsidR="008164C2">
        <w:t>.</w:t>
      </w:r>
    </w:p>
    <w:p w:rsidR="008164C2" w:rsidRDefault="008164C2" w:rsidP="008164C2">
      <w:pPr>
        <w:spacing w:line="360" w:lineRule="auto"/>
        <w:jc w:val="center"/>
      </w:pPr>
      <w:r>
        <w:lastRenderedPageBreak/>
        <w:t>[</w:t>
      </w:r>
      <w:r>
        <w:t xml:space="preserve">Table </w:t>
      </w:r>
      <w:r>
        <w:rPr>
          <w:noProof/>
        </w:rPr>
        <w:t>1</w:t>
      </w:r>
      <w:r>
        <w:t xml:space="preserve"> about here]</w:t>
      </w:r>
    </w:p>
    <w:p w:rsidR="00CA0AD2" w:rsidRDefault="00CA0AD2" w:rsidP="00CA0AD2">
      <w:pPr>
        <w:pStyle w:val="Heading3"/>
      </w:pPr>
      <w:r>
        <w:t>Category mapping assumptions made</w:t>
      </w:r>
    </w:p>
    <w:p w:rsidR="00CA0AD2" w:rsidRDefault="005D6A01" w:rsidP="008164C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w:t>
      </w:r>
      <w:r w:rsidR="007F3A38">
        <w:t>mappings used</w:t>
      </w:r>
      <w:r w:rsidR="00585CB9">
        <w:t xml:space="preserve"> are shown in </w:t>
      </w:r>
      <w:r w:rsidR="008164C2">
        <w:t xml:space="preserve">Table </w:t>
      </w:r>
      <w:r w:rsidR="008164C2">
        <w:rPr>
          <w:noProof/>
        </w:rPr>
        <w:t>2</w:t>
      </w:r>
      <w:r w:rsidR="00585CB9">
        <w:t xml:space="preserve">. For the first example, we </w:t>
      </w:r>
      <w:r w:rsidR="001B569A">
        <w:t xml:space="preserve">assumed that </w:t>
      </w:r>
      <w:r w:rsidR="00585CB9">
        <w:t xml:space="preserve">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value of 0.</w:t>
      </w:r>
    </w:p>
    <w:p w:rsidR="0015167B" w:rsidRDefault="005B51A6" w:rsidP="004C25D9">
      <w:pPr>
        <w:spacing w:line="360" w:lineRule="auto"/>
        <w:jc w:val="center"/>
      </w:pPr>
      <w:r>
        <w:t>[</w:t>
      </w:r>
      <w:r w:rsidR="008164C2">
        <w:t xml:space="preserve">Table </w:t>
      </w:r>
      <w:proofErr w:type="gramStart"/>
      <w:r w:rsidR="008164C2">
        <w:rPr>
          <w:noProof/>
        </w:rPr>
        <w:t>2</w:t>
      </w:r>
      <w:r>
        <w:t xml:space="preserve">  about</w:t>
      </w:r>
      <w:proofErr w:type="gramEnd"/>
      <w:r>
        <w:t xml:space="preserve">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8164C2" w:rsidP="002A0218">
      <w:pPr>
        <w:spacing w:line="360" w:lineRule="auto"/>
        <w:jc w:val="both"/>
      </w:pPr>
      <w:r>
        <w:t xml:space="preserve">Figure </w:t>
      </w:r>
      <w:r>
        <w:rPr>
          <w:noProof/>
        </w:rPr>
        <w:t>1</w:t>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t xml:space="preserve">Figure </w:t>
      </w:r>
      <w:r>
        <w:rPr>
          <w:noProof/>
        </w:rPr>
        <w:t>2</w:t>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r w:rsidR="00FD60BB">
        <w:t>In both examples the process is repeated 10,000 times.</w:t>
      </w:r>
    </w:p>
    <w:p w:rsidR="003650BD" w:rsidRDefault="003650BD" w:rsidP="003650BD">
      <w:pPr>
        <w:spacing w:line="360" w:lineRule="auto"/>
        <w:jc w:val="center"/>
      </w:pPr>
      <w:r>
        <w:t>[</w:t>
      </w:r>
      <w:r w:rsidR="008164C2">
        <w:t xml:space="preserve">Figure </w:t>
      </w:r>
      <w:r w:rsidR="008164C2">
        <w:rPr>
          <w:noProof/>
        </w:rPr>
        <w:t>1</w:t>
      </w:r>
      <w:r>
        <w:t xml:space="preserve"> about here]</w:t>
      </w:r>
    </w:p>
    <w:p w:rsidR="003650BD" w:rsidRDefault="003650BD" w:rsidP="003650BD">
      <w:pPr>
        <w:spacing w:line="360" w:lineRule="auto"/>
        <w:jc w:val="center"/>
      </w:pPr>
      <w:r>
        <w:t>[</w:t>
      </w:r>
      <w:r w:rsidR="008164C2">
        <w:t xml:space="preserve">Figure </w:t>
      </w:r>
      <w:r w:rsidR="008164C2">
        <w:rPr>
          <w:noProof/>
        </w:rPr>
        <w:t>2</w:t>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3650BD" w:rsidRDefault="0022085B" w:rsidP="00892D63">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w:t>
      </w:r>
      <w:r w:rsidR="005B5912">
        <w:t>utcome, were simulated in a two-</w:t>
      </w:r>
      <w:r w:rsidRPr="0022085B">
        <w:t xml:space="preserve">stage process using data from the source paper. In the first stage (Node 1 in both </w:t>
      </w:r>
      <w:r w:rsidR="008164C2">
        <w:t>Figure 1</w:t>
      </w:r>
      <w:r w:rsidRPr="0022085B">
        <w:t xml:space="preserve"> and </w:t>
      </w:r>
      <w:r w:rsidR="008164C2">
        <w:t>Figure 2</w:t>
      </w:r>
      <w:r w:rsidRPr="0022085B">
        <w:t xml:space="preserve">) the </w:t>
      </w:r>
      <w:r w:rsidR="003C61F9" w:rsidRPr="0022085B">
        <w:t xml:space="preserve">proportion </w:t>
      </w:r>
      <w:r w:rsidR="003C61F9">
        <w:t>that dies</w:t>
      </w:r>
      <w:r>
        <w:t xml:space="preserve"> </w:t>
      </w:r>
      <w:r w:rsidRPr="0022085B">
        <w:t>as a result of suffering a stroke is first simulated using a binomial distribution. In the second stage</w:t>
      </w:r>
      <w:r>
        <w:t xml:space="preserve"> (Node 2a </w:t>
      </w:r>
      <w:r w:rsidRPr="0022085B">
        <w:t xml:space="preserve">in both </w:t>
      </w:r>
      <w:r w:rsidR="008164C2">
        <w:t>Figure 1</w:t>
      </w:r>
      <w:r w:rsidRPr="0022085B">
        <w:t xml:space="preserve"> and </w:t>
      </w:r>
      <w:r w:rsidR="008164C2">
        <w:t>Figure 2</w:t>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8164C2">
        <w:t>Figure 1</w:t>
      </w:r>
      <w:r w:rsidR="006849D8" w:rsidRPr="0022085B">
        <w:t xml:space="preserve"> and </w:t>
      </w:r>
      <w:r w:rsidR="008164C2">
        <w:t>Figure 2</w:t>
      </w:r>
      <w:r w:rsidR="006849D8">
        <w:t xml:space="preserve">). </w:t>
      </w:r>
    </w:p>
    <w:p w:rsidR="006849D8" w:rsidRDefault="006849D8" w:rsidP="006849D8">
      <w:pPr>
        <w:pStyle w:val="Heading3"/>
      </w:pPr>
      <w:r>
        <w:lastRenderedPageBreak/>
        <w:t xml:space="preserve">Simulating utilities associated with each </w:t>
      </w:r>
      <w:proofErr w:type="spellStart"/>
      <w:proofErr w:type="gramStart"/>
      <w:r>
        <w:t>mRS</w:t>
      </w:r>
      <w:proofErr w:type="spellEnd"/>
      <w:proofErr w:type="gramEnd"/>
      <w:r>
        <w:t xml:space="preserve"> state</w:t>
      </w:r>
    </w:p>
    <w:p w:rsidR="00892D63" w:rsidRDefault="008B75EC" w:rsidP="00892D63">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w:t>
      </w:r>
      <w:r w:rsidR="00F560A5">
        <w:t xml:space="preserve">to </w:t>
      </w:r>
      <w:proofErr w:type="spellStart"/>
      <w:r w:rsidR="00F560A5">
        <w:t>parmeterise</w:t>
      </w:r>
      <w:proofErr w:type="spellEnd"/>
      <w:r w:rsidR="00F560A5">
        <w:t xml:space="preserve"> </w:t>
      </w:r>
      <w:r w:rsidR="003D267E">
        <w:t xml:space="preserve">normal </w:t>
      </w:r>
      <w:r w:rsidR="00F560A5">
        <w:t xml:space="preserve">distribution functions which were repeatedly sampled from </w:t>
      </w:r>
      <w:r w:rsidR="00835A98">
        <w:t xml:space="preserve">to produce a large number of simulated </w:t>
      </w:r>
      <w:r>
        <w:t xml:space="preserve">utility distributions for </w:t>
      </w:r>
      <w:r w:rsidR="003D267E">
        <w:t>each state.</w:t>
      </w:r>
      <w:r w:rsidR="006922C5">
        <w:t xml:space="preserve"> </w:t>
      </w:r>
      <w:r w:rsidR="00835A98">
        <w:t xml:space="preserve">This process allows parameter uncertainty at this stage to be propagated through to later stages rather than disregarded. </w:t>
      </w:r>
    </w:p>
    <w:p w:rsidR="003650BD" w:rsidRDefault="003650BD" w:rsidP="005B51A6">
      <w:pPr>
        <w:spacing w:line="360" w:lineRule="auto"/>
        <w:jc w:val="center"/>
      </w:pPr>
    </w:p>
    <w:p w:rsidR="00C6302C" w:rsidRDefault="00C6302C" w:rsidP="00C6302C">
      <w:pPr>
        <w:pStyle w:val="Heading3"/>
      </w:pPr>
      <w:r>
        <w:t>Converting simulated utility values into utility multipliers</w:t>
      </w:r>
    </w:p>
    <w:p w:rsidR="0053220C" w:rsidRDefault="003D267E" w:rsidP="00C6302C">
      <w:pPr>
        <w:spacing w:line="360" w:lineRule="auto"/>
        <w:jc w:val="both"/>
      </w:pPr>
      <w:r>
        <w:t xml:space="preserve">The </w:t>
      </w:r>
      <w:proofErr w:type="spellStart"/>
      <w:r>
        <w:t>mRS</w:t>
      </w:r>
      <w:proofErr w:type="spellEnd"/>
      <w:r>
        <w:t xml:space="preserve">-based </w:t>
      </w:r>
      <w:proofErr w:type="spellStart"/>
      <w:r>
        <w:t>HRQoL</w:t>
      </w:r>
      <w:proofErr w:type="spellEnd"/>
      <w:r>
        <w:t xml:space="preserve"> values were estimated from a subset of the OXVASC population. These values reflect both the effect of stroke on </w:t>
      </w:r>
      <w:proofErr w:type="spellStart"/>
      <w:r>
        <w:t>HRQoL</w:t>
      </w:r>
      <w:proofErr w:type="spellEnd"/>
      <w:r>
        <w:t xml:space="preserve"> and also the underlying </w:t>
      </w:r>
      <w:proofErr w:type="spellStart"/>
      <w:r>
        <w:t>HRQoL</w:t>
      </w:r>
      <w:proofErr w:type="spellEnd"/>
      <w:r>
        <w:t xml:space="preserve"> of the patient population</w:t>
      </w:r>
      <w:r w:rsidR="0053220C">
        <w:t xml:space="preserve">, which they would have experienced even if they </w:t>
      </w:r>
      <w:r w:rsidR="009C60FF">
        <w:t xml:space="preserve">had not suffered </w:t>
      </w:r>
      <w:r w:rsidR="0053220C">
        <w:t xml:space="preserve">a stroke. The effect of stroke alone on the </w:t>
      </w:r>
      <w:proofErr w:type="spellStart"/>
      <w:r w:rsidR="0053220C">
        <w:t>HRQoL</w:t>
      </w:r>
      <w:proofErr w:type="spellEnd"/>
      <w:r w:rsidR="0053220C">
        <w:t xml:space="preserve"> need</w:t>
      </w:r>
      <w:r w:rsidR="009C60FF">
        <w:t>s</w:t>
      </w:r>
      <w:r w:rsidR="0053220C">
        <w:t xml:space="preserve"> to be estimated based on these values</w:t>
      </w:r>
      <w:r w:rsidR="009C60FF">
        <w:t xml:space="preserve">, but the OXVASC study did not report </w:t>
      </w:r>
      <w:proofErr w:type="spellStart"/>
      <w:r w:rsidR="009C60FF">
        <w:t>HRQoL</w:t>
      </w:r>
      <w:proofErr w:type="spellEnd"/>
      <w:r w:rsidR="009C60FF">
        <w:t xml:space="preserve"> for a matched control group. Instead, we assumed that the mildest </w:t>
      </w:r>
      <w:proofErr w:type="spellStart"/>
      <w:proofErr w:type="gramStart"/>
      <w:r w:rsidR="009C60FF">
        <w:t>mRS</w:t>
      </w:r>
      <w:proofErr w:type="spellEnd"/>
      <w:proofErr w:type="gramEnd"/>
      <w:r w:rsidR="009C60FF">
        <w:t xml:space="preserve"> state, </w:t>
      </w:r>
      <w:proofErr w:type="spellStart"/>
      <w:r w:rsidR="009C60FF">
        <w:t>mRS</w:t>
      </w:r>
      <w:proofErr w:type="spellEnd"/>
      <w:r w:rsidR="009C60FF">
        <w:t xml:space="preserve"> 0, indicated that the stroke had no long term impact on </w:t>
      </w:r>
      <w:proofErr w:type="spellStart"/>
      <w:r w:rsidR="009C60FF">
        <w:t>HRQoL</w:t>
      </w:r>
      <w:proofErr w:type="spellEnd"/>
      <w:r w:rsidR="009C60FF">
        <w:t xml:space="preserve">, and so the </w:t>
      </w:r>
      <w:proofErr w:type="spellStart"/>
      <w:r w:rsidR="009C60FF">
        <w:t>HRQoL</w:t>
      </w:r>
      <w:proofErr w:type="spellEnd"/>
      <w:r w:rsidR="009C60FF">
        <w:t xml:space="preserve"> associated with </w:t>
      </w:r>
      <w:proofErr w:type="spellStart"/>
      <w:r w:rsidR="009C60FF">
        <w:t>mRS</w:t>
      </w:r>
      <w:proofErr w:type="spellEnd"/>
      <w:r w:rsidR="009C60FF">
        <w:t xml:space="preserve"> 0 represented the baseline </w:t>
      </w:r>
      <w:proofErr w:type="spellStart"/>
      <w:r w:rsidR="009C60FF">
        <w:t>HRQoL</w:t>
      </w:r>
      <w:proofErr w:type="spellEnd"/>
      <w:r w:rsidR="009C60FF">
        <w:t xml:space="preserve"> of the clinical population</w:t>
      </w:r>
      <w:r w:rsidR="0053220C">
        <w:t xml:space="preserve">. </w:t>
      </w:r>
    </w:p>
    <w:p w:rsidR="009C60FF" w:rsidRDefault="0053220C" w:rsidP="00C6302C">
      <w:pPr>
        <w:spacing w:line="360" w:lineRule="auto"/>
        <w:jc w:val="both"/>
      </w:pPr>
      <w:r>
        <w:t xml:space="preserve">Having made this assumption, </w:t>
      </w:r>
      <w:r w:rsidR="007E20A1">
        <w:t xml:space="preserve">the effect of different degrees of severity of stroke on </w:t>
      </w:r>
      <w:proofErr w:type="spellStart"/>
      <w:r w:rsidR="007E20A1">
        <w:t>HRQoL</w:t>
      </w:r>
      <w:proofErr w:type="spellEnd"/>
      <w:r w:rsidR="007E20A1">
        <w:t xml:space="preserve"> can be estimated by comparing </w:t>
      </w:r>
      <w:proofErr w:type="spellStart"/>
      <w:r w:rsidR="007E20A1">
        <w:t>HRQoL</w:t>
      </w:r>
      <w:proofErr w:type="spellEnd"/>
      <w:r w:rsidR="007E20A1">
        <w:t xml:space="preserve"> in higher </w:t>
      </w:r>
      <w:proofErr w:type="spellStart"/>
      <w:proofErr w:type="gramStart"/>
      <w:r w:rsidR="007E20A1">
        <w:t>mRS</w:t>
      </w:r>
      <w:proofErr w:type="spellEnd"/>
      <w:proofErr w:type="gramEnd"/>
      <w:r w:rsidR="007E20A1">
        <w:t xml:space="preserve"> states with the </w:t>
      </w:r>
      <w:proofErr w:type="spellStart"/>
      <w:r w:rsidR="007E20A1">
        <w:t>HRQoL</w:t>
      </w:r>
      <w:proofErr w:type="spellEnd"/>
      <w:r w:rsidR="007E20A1">
        <w:t xml:space="preserve"> in the baseline state (</w:t>
      </w:r>
      <w:proofErr w:type="spellStart"/>
      <w:r w:rsidR="007E20A1">
        <w:t>mRS</w:t>
      </w:r>
      <w:proofErr w:type="spellEnd"/>
      <w:r w:rsidR="007E20A1">
        <w:t xml:space="preserve"> 0). Either an additive or a multiplicative approach could be used for this comparison. In the additive approach, the </w:t>
      </w:r>
      <w:proofErr w:type="spellStart"/>
      <w:r w:rsidR="007E20A1">
        <w:t>HRQoL</w:t>
      </w:r>
      <w:proofErr w:type="spellEnd"/>
      <w:r w:rsidR="007E20A1">
        <w:t xml:space="preserve"> estimates from more severe states are subtracted from the baseline </w:t>
      </w:r>
      <w:proofErr w:type="gramStart"/>
      <w:r w:rsidR="007E20A1">
        <w:t>state,</w:t>
      </w:r>
      <w:proofErr w:type="gramEnd"/>
      <w:r w:rsidR="007E20A1">
        <w:t xml:space="preserve"> to produce </w:t>
      </w:r>
      <w:r w:rsidR="007E20A1" w:rsidRPr="007E20A1">
        <w:rPr>
          <w:i/>
        </w:rPr>
        <w:t>utility decrements</w:t>
      </w:r>
      <w:r w:rsidR="007E20A1">
        <w:rPr>
          <w:i/>
        </w:rPr>
        <w:t xml:space="preserve"> </w:t>
      </w:r>
      <w:r w:rsidR="007E20A1">
        <w:t xml:space="preserve">associated the clinical event. In the multiplicative approach, the </w:t>
      </w:r>
      <w:proofErr w:type="spellStart"/>
      <w:r w:rsidR="007E20A1">
        <w:t>HRQoL</w:t>
      </w:r>
      <w:proofErr w:type="spellEnd"/>
      <w:r w:rsidR="007E20A1">
        <w:t xml:space="preserve"> in more severe states was divided by that in the baseline state to produce </w:t>
      </w:r>
      <w:r w:rsidR="007E20A1" w:rsidRPr="007E20A1">
        <w:rPr>
          <w:i/>
        </w:rPr>
        <w:t>utility multipliers</w:t>
      </w:r>
      <w:r w:rsidR="007E20A1">
        <w:t xml:space="preserve">. </w:t>
      </w:r>
    </w:p>
    <w:p w:rsidR="007E20A1" w:rsidRDefault="007E20A1" w:rsidP="00C6302C">
      <w:pPr>
        <w:spacing w:line="360" w:lineRule="auto"/>
        <w:jc w:val="both"/>
      </w:pPr>
      <w:r>
        <w:t xml:space="preserve">The multiplicative approach was used </w:t>
      </w:r>
      <w:r w:rsidR="003E62D4">
        <w:t xml:space="preserve">in this paper, and so utility multipliers were produced by dividing estimates of the </w:t>
      </w:r>
      <w:proofErr w:type="spellStart"/>
      <w:r w:rsidR="003E62D4">
        <w:t>HRQoL</w:t>
      </w:r>
      <w:proofErr w:type="spellEnd"/>
      <w:r w:rsidR="003E62D4">
        <w:t xml:space="preserve"> in more severe states by </w:t>
      </w:r>
      <w:proofErr w:type="spellStart"/>
      <w:r w:rsidR="003E62D4">
        <w:t>HRQoL</w:t>
      </w:r>
      <w:proofErr w:type="spellEnd"/>
      <w:r w:rsidR="003E62D4">
        <w:t xml:space="preserve"> estimates in the </w:t>
      </w:r>
      <w:proofErr w:type="spellStart"/>
      <w:r w:rsidR="003E62D4">
        <w:t>mRS</w:t>
      </w:r>
      <w:proofErr w:type="spellEnd"/>
      <w:r w:rsidR="003E62D4">
        <w:t xml:space="preserve"> 0 state. </w:t>
      </w:r>
      <w:r w:rsidR="00074210">
        <w:t>The effect of making the additive assumption instead could be explored in further research.</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8164C2">
        <w:t>Figure 1</w:t>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xml:space="preserve">. It would also be wrong to disregard parameter uncertainty due to the finite sample size on which </w:t>
      </w:r>
      <w:r w:rsidRPr="003650BD">
        <w:lastRenderedPageBreak/>
        <w:t>these estimates are based</w:t>
      </w:r>
      <w:r w:rsidR="00844DCE">
        <w:t xml:space="preserve">. </w:t>
      </w:r>
      <w:r w:rsidR="00892D63">
        <w:t xml:space="preserve">For this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8164C2">
        <w:t xml:space="preserve">Figure </w:t>
      </w:r>
      <w:r w:rsidR="008164C2">
        <w:rPr>
          <w:noProof/>
        </w:rPr>
        <w:t>3</w:t>
      </w:r>
      <w:r w:rsidR="00CC6261">
        <w:t>.</w:t>
      </w:r>
      <w:r w:rsidR="00844DCE">
        <w:t xml:space="preserve"> </w:t>
      </w:r>
    </w:p>
    <w:p w:rsidR="0090212F" w:rsidRDefault="0090212F" w:rsidP="0090212F">
      <w:pPr>
        <w:keepNext/>
        <w:jc w:val="center"/>
      </w:pPr>
      <w:r>
        <w:t>[</w:t>
      </w:r>
      <w:r w:rsidR="008164C2">
        <w:t xml:space="preserve">Figure </w:t>
      </w:r>
      <w:r w:rsidR="008164C2">
        <w:rPr>
          <w:noProof/>
        </w:rPr>
        <w:t>3</w:t>
      </w:r>
      <w:r>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8164C2">
        <w:t xml:space="preserve">Table </w:t>
      </w:r>
      <w:r w:rsidR="008164C2">
        <w:rPr>
          <w:noProof/>
        </w:rPr>
        <w:t>3</w:t>
      </w:r>
      <w:r w:rsidR="00BB4688">
        <w:t xml:space="preserve"> below</w:t>
      </w:r>
      <w:r>
        <w:t xml:space="preserve">, and were previously reported in Holmes et al </w:t>
      </w:r>
      <w:r w:rsidR="00F560A5" w:rsidRPr="00F560A5">
        <w:rPr>
          <w:noProof/>
        </w:rPr>
        <w:t>(10)</w:t>
      </w:r>
      <w:r w:rsidR="00BB4688">
        <w:t>.</w:t>
      </w:r>
      <w:r w:rsidRPr="00A96231">
        <w:t xml:space="preserve"> </w:t>
      </w:r>
      <w:r>
        <w:t xml:space="preserve"> </w:t>
      </w:r>
    </w:p>
    <w:p w:rsidR="005B51A6" w:rsidRPr="005B51A6" w:rsidRDefault="005B51A6" w:rsidP="005B51A6">
      <w:pPr>
        <w:jc w:val="center"/>
      </w:pPr>
      <w:r>
        <w:t xml:space="preserve"> [</w:t>
      </w:r>
      <w:r w:rsidR="008164C2">
        <w:t xml:space="preserve">Table </w:t>
      </w:r>
      <w:r w:rsidR="008164C2">
        <w:rPr>
          <w:noProof/>
        </w:rPr>
        <w:t>3</w:t>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was used, in which the distribution of predicted values was resampled with replacement</w:t>
      </w:r>
      <w:r w:rsidR="00074210">
        <w:t xml:space="preserve"> 10,000 times</w:t>
      </w:r>
      <w:r w:rsidR="007237BA">
        <w:t xml:space="preserve"> to produce 1</w:t>
      </w:r>
      <w:r w:rsidR="00FD60BB">
        <w:t>0</w:t>
      </w:r>
      <w:r w:rsidR="007237BA">
        <w:t>,000 simulated datasets, and the mean values of each of these datasets recorded</w:t>
      </w:r>
      <w:r w:rsidR="00074210">
        <w:t xml:space="preserve"> to produce a distribution of expected values</w:t>
      </w:r>
      <w:r w:rsidR="007237BA">
        <w:t xml:space="preserve">.  </w:t>
      </w:r>
    </w:p>
    <w:p w:rsidR="000D28AB" w:rsidRDefault="00F316CA" w:rsidP="004F46C2">
      <w:pPr>
        <w:pStyle w:val="Heading2"/>
      </w:pPr>
      <w:r>
        <w:t>Results</w:t>
      </w:r>
    </w:p>
    <w:p w:rsidR="00937A05" w:rsidRPr="007C55BB" w:rsidRDefault="00937A05" w:rsidP="007C55BB">
      <w:pPr>
        <w:spacing w:line="360" w:lineRule="auto"/>
        <w:jc w:val="both"/>
      </w:pPr>
      <w:r w:rsidRPr="007C55BB">
        <w:lastRenderedPageBreak/>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8164C2" w:rsidP="004F46C2">
      <w:pPr>
        <w:spacing w:line="360" w:lineRule="auto"/>
        <w:jc w:val="both"/>
      </w:pPr>
      <w:r>
        <w:t xml:space="preserve">Table </w:t>
      </w:r>
      <w:r>
        <w:rPr>
          <w:noProof/>
        </w:rPr>
        <w:t>4</w:t>
      </w:r>
      <w:r w:rsidR="00937A05">
        <w:t xml:space="preserve"> </w:t>
      </w:r>
      <w:r w:rsidR="00F316CA">
        <w:t xml:space="preserve">below shows </w:t>
      </w:r>
      <w:r w:rsidR="00937A05">
        <w:t xml:space="preserve">the mean simulated proportions in the dead, independent and dependent stroke state, together with 95% </w:t>
      </w:r>
      <w:r w:rsidR="001C22E2">
        <w:t>credible intervals (</w:t>
      </w:r>
      <w:proofErr w:type="spellStart"/>
      <w:r w:rsidR="001C22E2">
        <w:t>CrIs</w:t>
      </w:r>
      <w:proofErr w:type="spellEnd"/>
      <w:r w:rsidR="00937A05">
        <w:t>) as well as mean simulated utility multipliers associated with eac</w:t>
      </w:r>
      <w:r w:rsidR="00C36C44">
        <w:t xml:space="preserve">h of the states, also with 95% </w:t>
      </w:r>
      <w:proofErr w:type="spellStart"/>
      <w:r w:rsidR="001C22E2">
        <w:t>C</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w:t>
      </w:r>
      <w:r w:rsidR="00FD60BB">
        <w:t>nt state leads to quality of lif</w:t>
      </w:r>
      <w:r w:rsidR="00BF29D3">
        <w:t>e reducing by around one fifth</w:t>
      </w:r>
      <w:r w:rsidR="00FD60BB">
        <w:t xml:space="preserve"> compared with patients whose strokes had no lasting effect (</w:t>
      </w:r>
      <w:proofErr w:type="spellStart"/>
      <w:r w:rsidR="00FD60BB">
        <w:t>mRS</w:t>
      </w:r>
      <w:proofErr w:type="spellEnd"/>
      <w:r w:rsidR="00FD60BB">
        <w:t xml:space="preserve"> 0)</w:t>
      </w:r>
      <w:r w:rsidR="00BF29D3">
        <w:t>.</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rsidR="008164C2">
        <w:t xml:space="preserve">Table </w:t>
      </w:r>
      <w:r w:rsidR="008164C2">
        <w:rPr>
          <w:noProof/>
        </w:rPr>
        <w:t>4</w:t>
      </w:r>
      <w:r>
        <w:t xml:space="preserve"> about here]</w:t>
      </w:r>
    </w:p>
    <w:p w:rsidR="00BF29D3" w:rsidRDefault="00BF29D3" w:rsidP="00BF29D3">
      <w:pPr>
        <w:pStyle w:val="Heading3"/>
      </w:pPr>
      <w:r>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8164C2">
        <w:t xml:space="preserve">Table </w:t>
      </w:r>
      <w:r w:rsidR="008164C2">
        <w:rPr>
          <w:noProof/>
        </w:rPr>
        <w:t>5</w:t>
      </w:r>
      <w:r>
        <w:t xml:space="preserve">. </w:t>
      </w:r>
      <w:r w:rsidR="00363825">
        <w:t xml:space="preserve"> </w:t>
      </w:r>
    </w:p>
    <w:p w:rsidR="005B51A6" w:rsidRDefault="005B51A6" w:rsidP="005B51A6">
      <w:pPr>
        <w:spacing w:line="360" w:lineRule="auto"/>
        <w:jc w:val="center"/>
      </w:pPr>
      <w:r>
        <w:t>[</w:t>
      </w:r>
      <w:r w:rsidR="008164C2">
        <w:t xml:space="preserve">Table </w:t>
      </w:r>
      <w:r w:rsidR="008164C2">
        <w:rPr>
          <w:noProof/>
        </w:rPr>
        <w:t>5</w:t>
      </w:r>
      <w:r>
        <w:t xml:space="preserve"> about here]</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 xml:space="preserve">uncertainty at the intermediate stages. This means that the estimates produced are replicable and </w:t>
      </w:r>
      <w:r w:rsidR="001256FA">
        <w:t>minimise the number and influence</w:t>
      </w:r>
      <w:r w:rsidR="005C12CA">
        <w:t xml:space="preserve"> of modeller assumptions being made.</w:t>
      </w:r>
    </w:p>
    <w:p w:rsidR="008F3B8C" w:rsidRDefault="00BC63CC" w:rsidP="00E83E36">
      <w:pPr>
        <w:spacing w:line="360" w:lineRule="auto"/>
        <w:jc w:val="both"/>
      </w:pPr>
      <w:r>
        <w:t>All that is</w:t>
      </w:r>
      <w:r w:rsidR="00264389">
        <w:t xml:space="preserve"> </w:t>
      </w:r>
      <w:r>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it is possible</w:t>
      </w:r>
      <w:r w:rsidR="001256FA">
        <w:t xml:space="preserve"> to make use of more recent and</w:t>
      </w:r>
      <w:r w:rsidR="006F79C5">
        <w:t xml:space="preserve">/or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1256FA" w:rsidP="00E83E36">
      <w:pPr>
        <w:spacing w:line="360" w:lineRule="auto"/>
        <w:jc w:val="both"/>
      </w:pPr>
      <w:r>
        <w:lastRenderedPageBreak/>
        <w:t xml:space="preserve">The assumptions made in the approach </w:t>
      </w:r>
      <w:r w:rsidR="006F79C5">
        <w:t>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w:t>
      </w:r>
      <w:r w:rsidR="00FD60BB">
        <w:t>OACs to prev</w:t>
      </w:r>
      <w:r w:rsidR="00EF7545">
        <w:t>ent strokes, allowing a model based on such data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F560A5" w:rsidRPr="00F560A5">
        <w:rPr>
          <w:noProof/>
        </w:rPr>
        <w:t>(11)</w:t>
      </w:r>
      <w:r>
        <w:t xml:space="preserve"> relate to the individual patient data. This includes making the assumption</w:t>
      </w:r>
      <w:r w:rsidR="001C22E2">
        <w:t>s</w:t>
      </w:r>
      <w:r>
        <w:t xml:space="preserve">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w:t>
      </w:r>
      <w:proofErr w:type="gramStart"/>
      <w:r w:rsidR="008164C2">
        <w:t xml:space="preserve">hypothetical </w:t>
      </w:r>
      <w:r w:rsidR="00F242FA">
        <w:t xml:space="preserve">individual level simulations, which </w:t>
      </w:r>
      <w:r w:rsidR="001C22E2">
        <w:t>is</w:t>
      </w:r>
      <w:proofErr w:type="gramEnd"/>
      <w:r w:rsidR="00F242FA">
        <w:t xml:space="preserve"> a necessary intermediate stage for estimating the mean scores and proportions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8164C2" w:rsidRDefault="00264389" w:rsidP="00DB70BB">
      <w:pPr>
        <w:spacing w:line="360" w:lineRule="auto"/>
        <w:jc w:val="both"/>
      </w:pPr>
      <w:r>
        <w:t xml:space="preserve">For our </w:t>
      </w:r>
      <w:r w:rsidR="001C22E2">
        <w:t xml:space="preserve">first </w:t>
      </w:r>
      <w:r>
        <w:t>example, our estimated utility multipliers are very similar to those presented in Dorman et al.,</w:t>
      </w:r>
      <w:r w:rsidR="00F560A5" w:rsidRPr="00F560A5">
        <w:rPr>
          <w:noProof/>
        </w:rPr>
        <w:t>(12)</w:t>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r w:rsidR="00FD60BB">
        <w:t>(</w:t>
      </w:r>
      <w:proofErr w:type="spellStart"/>
      <w:r>
        <w:t>mRS</w:t>
      </w:r>
      <w:proofErr w:type="spellEnd"/>
      <w:r>
        <w:t xml:space="preserve"> 5</w:t>
      </w:r>
      <w:r w:rsidR="00FD60BB">
        <w:t>)</w:t>
      </w:r>
      <w:r>
        <w:t xml:space="preserve">, which has an estimated EQ-5D </w:t>
      </w:r>
      <w:r w:rsidR="001C22E2">
        <w:t xml:space="preserve">multiplier </w:t>
      </w:r>
      <w:r w:rsidR="00FD60BB">
        <w:t>near</w:t>
      </w:r>
      <w:r>
        <w:t xml:space="preserve"> zero, </w:t>
      </w:r>
      <w:r w:rsidR="00FD60BB">
        <w:t xml:space="preserve">while three-quarters </w:t>
      </w:r>
      <w:r>
        <w:t xml:space="preserve">were in the least worst category </w:t>
      </w:r>
      <w:r w:rsidR="00FD60BB">
        <w:t>(</w:t>
      </w:r>
      <w:proofErr w:type="spellStart"/>
      <w:r>
        <w:t>mRS</w:t>
      </w:r>
      <w:proofErr w:type="spellEnd"/>
      <w:r>
        <w:t xml:space="preserve"> 3</w:t>
      </w:r>
      <w:r w:rsidR="00FD60BB">
        <w:t>)</w:t>
      </w:r>
      <w:r>
        <w:t xml:space="preserve">, which has an estimated EQ-5D </w:t>
      </w:r>
      <w:r w:rsidR="001C22E2">
        <w:t xml:space="preserve">multiplier </w:t>
      </w:r>
      <w:r>
        <w:t xml:space="preserve">over 0.5. </w:t>
      </w:r>
    </w:p>
    <w:p w:rsidR="00BE7232" w:rsidRPr="00E83E36" w:rsidRDefault="005262D0" w:rsidP="00DB70BB">
      <w:pPr>
        <w:spacing w:line="360" w:lineRule="auto"/>
        <w:jc w:val="both"/>
      </w:pPr>
      <w:r>
        <w:t xml:space="preserve">The way our estimates differ from those in Dornan et al </w:t>
      </w:r>
      <w:r w:rsidRPr="00F560A5">
        <w:rPr>
          <w:noProof/>
        </w:rPr>
        <w:t>(12)</w:t>
      </w:r>
      <w:r>
        <w:t xml:space="preserve"> </w:t>
      </w:r>
      <w:r w:rsidR="00264389">
        <w:t xml:space="preserve">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lastRenderedPageBreak/>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w:t>
      </w:r>
      <w:r w:rsidR="00FD60BB">
        <w:t>hypothetical</w:t>
      </w:r>
      <w:r>
        <w:t xml:space="preserv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bounded between negative and positive infinity. EQ-5D </w:t>
      </w:r>
      <w:r w:rsidR="001701B7">
        <w:t xml:space="preserve">utility </w:t>
      </w:r>
      <w:r w:rsidR="0089737A">
        <w:t xml:space="preserve">scores </w:t>
      </w:r>
      <w:r w:rsidR="001701B7">
        <w:t xml:space="preserve">show a negative lower bound whose value depends on the valuation </w:t>
      </w:r>
      <w:r w:rsidR="001C22E2">
        <w:t xml:space="preserve">tariff used </w:t>
      </w:r>
      <w:r w:rsidR="001701B7">
        <w:t>and an upper ceiling</w:t>
      </w:r>
      <w:r w:rsidR="0089737A">
        <w:t xml:space="preserve"> </w:t>
      </w:r>
      <w:r w:rsidR="005262D0">
        <w:t>(</w:t>
      </w:r>
      <w:r w:rsidR="0089737A">
        <w:t>1.00</w:t>
      </w:r>
      <w:r w:rsidR="005262D0">
        <w:t>)</w:t>
      </w:r>
      <w:r w:rsidR="001701B7">
        <w:t xml:space="preserve"> by construction</w:t>
      </w:r>
      <w:r w:rsidR="0089737A">
        <w:t xml:space="preserve">, and so a statistical distribution where these bounds are applied may be more appropriate. We also know that EQ-5D data are only poorly approximated by the </w:t>
      </w:r>
      <w:r w:rsidR="005262D0">
        <w:t>n</w:t>
      </w:r>
      <w:r w:rsidR="0089737A">
        <w:t xml:space="preserve">ormal distribution, as the distribution of EQ-5D is typically known to be ‘multimodal’. This represents a more general limitation common to a range of modelling approaches, </w:t>
      </w:r>
      <w:r w:rsidR="00F560A5" w:rsidRPr="00F560A5">
        <w:rPr>
          <w:noProof/>
        </w:rPr>
        <w:t>(13)</w:t>
      </w:r>
      <w:r w:rsidR="001C22E2">
        <w:t xml:space="preserve"> </w:t>
      </w:r>
      <w:r w:rsidR="0089737A">
        <w:t xml:space="preserve">rather than something specific to this approach. </w:t>
      </w:r>
    </w:p>
    <w:p w:rsidR="002013B9" w:rsidRDefault="00FC090E" w:rsidP="00E83E36">
      <w:pPr>
        <w:spacing w:line="360" w:lineRule="auto"/>
        <w:jc w:val="both"/>
      </w:pPr>
      <w:r>
        <w:t>Without access to the individual level data the appropriateness of the statistical assumpti</w:t>
      </w:r>
      <w:r w:rsidR="002013B9">
        <w:t>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w:t>
      </w:r>
      <w:r w:rsidR="00733F41">
        <w:t xml:space="preserve"> online</w:t>
      </w:r>
      <w:r w:rsidR="002013B9">
        <w:t xml:space="preserve"> appendix, it is convenient for readers to assess the dependence of the estimates on modelling assumptions themselves, and </w:t>
      </w:r>
      <w:r w:rsidR="00DE00C5">
        <w:t xml:space="preserve">assess the impact of </w:t>
      </w:r>
      <w:r w:rsidR="002013B9">
        <w:t xml:space="preserve">alternative choices of statistical distributions which use the same summary data. </w:t>
      </w:r>
    </w:p>
    <w:p w:rsidR="00D301EE" w:rsidRDefault="002013B9" w:rsidP="00E83E36">
      <w:pPr>
        <w:spacing w:line="360" w:lineRule="auto"/>
        <w:jc w:val="both"/>
      </w:pPr>
      <w:r>
        <w:t>In addition to assumptions about the choice of statistical distribution, this method involves making two further types of qualitative assumption. Firstly, we made the as</w:t>
      </w:r>
      <w:r w:rsidR="00DE00C5">
        <w:t>sumption of perfect mapping (‘</w:t>
      </w:r>
      <w:r>
        <w:t xml:space="preserve">deterministic </w:t>
      </w:r>
      <w:proofErr w:type="spellStart"/>
      <w:r>
        <w:t>bijection</w:t>
      </w:r>
      <w:proofErr w:type="spellEnd"/>
      <w:r w:rsidR="00DE00C5">
        <w:t xml:space="preserve">’) </w:t>
      </w:r>
      <w:r>
        <w:t xml:space="preserve">between </w:t>
      </w:r>
      <w:r w:rsidR="00D301EE">
        <w:t>health states based on descriptions of states</w:t>
      </w:r>
      <w:r>
        <w:t xml:space="preserve">. </w:t>
      </w:r>
      <w:r w:rsidR="0089737A">
        <w:t>Secondly, we made the assumption in the second example that a persistent vegetative state has mean utility equal to death, whereas it may be that the utility associated with this state is different to this, and possibly negative (‘worse than death’)</w:t>
      </w:r>
      <w:r w:rsidR="00DE00C5">
        <w:t>.</w:t>
      </w:r>
      <w:r w:rsidR="0089737A">
        <w:t xml:space="preserve">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fect mapping,</w:t>
      </w:r>
      <w:r w:rsidR="00373238">
        <w:t xml:space="preserve"> should represent the b</w:t>
      </w:r>
      <w:r>
        <w:t xml:space="preserve">est assumption of the economic modeller based on </w:t>
      </w:r>
      <w:r w:rsidR="00733F41">
        <w:t>clinical knowledge.</w:t>
      </w:r>
      <w:r>
        <w:t xml:space="preserve"> </w:t>
      </w:r>
      <w:r w:rsidR="00733F41">
        <w:t>W</w:t>
      </w:r>
      <w:r>
        <w:t xml:space="preserve">here other clinical evidence and opinion exists which suggests alternative mapping arrangements should be considered, the effect of making these assumptions on the modelling results and utility/cost estimates should </w:t>
      </w:r>
      <w:r w:rsidR="00373238">
        <w:t xml:space="preserve">be </w:t>
      </w:r>
      <w:r>
        <w:t xml:space="preserve">explored and presented where </w:t>
      </w:r>
      <w:r w:rsidR="00373238">
        <w:t>possible</w:t>
      </w:r>
      <w:r w:rsidR="001C22E2">
        <w:t xml:space="preserve"> as sensitivity analyses</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 xml:space="preserve">assumed that </w:t>
      </w:r>
      <w:r w:rsidR="00373238">
        <w:lastRenderedPageBreak/>
        <w:t>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OXVAS</w:t>
      </w:r>
      <w:r w:rsidR="001256FA">
        <w:t>C</w:t>
      </w:r>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w:t>
      </w:r>
      <w:r w:rsidR="00DE00C5">
        <w:t>‘</w:t>
      </w:r>
      <w:r>
        <w:t>true</w:t>
      </w:r>
      <w:r w:rsidR="00DE00C5">
        <w:t>’</w:t>
      </w:r>
      <w:r>
        <w:t xml:space="preserv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r w:rsidR="00DE00C5">
        <w:t>mapping assumptions</w:t>
      </w:r>
      <w:r w:rsidR="000C76D7">
        <w:t xml:space="preserve"> to make. </w:t>
      </w:r>
      <w:r w:rsidR="00074210">
        <w:t xml:space="preserve">Research could also be conducted to estimate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F560A5" w:rsidRPr="00F560A5">
        <w:rPr>
          <w:noProof/>
        </w:rPr>
        <w:t>(12,14,15)</w:t>
      </w:r>
    </w:p>
    <w:p w:rsidR="000D28AB" w:rsidRDefault="00431A06" w:rsidP="00D41B33">
      <w:pPr>
        <w:pStyle w:val="Heading3"/>
      </w:pPr>
      <w:r>
        <w:t>Conclusions</w:t>
      </w:r>
    </w:p>
    <w:p w:rsidR="001256FA" w:rsidRDefault="00945042" w:rsidP="00EB210C">
      <w:pPr>
        <w:spacing w:line="360" w:lineRule="auto"/>
        <w:jc w:val="both"/>
      </w:pPr>
      <w:r>
        <w:t>The com</w:t>
      </w:r>
      <w:r w:rsidR="001256FA">
        <w:t xml:space="preserve">parison with the estimates reported in Dornan et al </w:t>
      </w:r>
      <w:r w:rsidR="001256FA" w:rsidRPr="001256FA">
        <w:rPr>
          <w:noProof/>
        </w:rPr>
        <w:t>(12)</w:t>
      </w:r>
      <w:r w:rsidR="001256FA">
        <w:t xml:space="preserve"> revealed differences in estimates which appear clinically plausible and to reflect improvements in stroke care which have occurred over the two decades that separate the results used by Dornan et al from those from OXVASC. As such it appears that t</w:t>
      </w:r>
      <w:r w:rsidR="00DE00C5">
        <w:t xml:space="preserve">he method described here was able to provide updated estimates of the </w:t>
      </w:r>
      <w:proofErr w:type="spellStart"/>
      <w:r w:rsidR="00DE00C5">
        <w:t>HRQoL</w:t>
      </w:r>
      <w:proofErr w:type="spellEnd"/>
      <w:r w:rsidR="00DE00C5">
        <w:t xml:space="preserve"> effects of suffering either a dependent or independent stroke. The higher </w:t>
      </w:r>
      <w:proofErr w:type="spellStart"/>
      <w:r w:rsidR="00DE00C5">
        <w:t>HRQoL</w:t>
      </w:r>
      <w:proofErr w:type="spellEnd"/>
      <w:r w:rsidR="00DE00C5">
        <w:t xml:space="preserve"> estimates for dependent </w:t>
      </w:r>
      <w:r w:rsidR="00167E59">
        <w:t>strokes produced by this method, which is based on much more recent data, may therefore be more appropriate than previous estimates for use in contemporary health economic modelling.</w:t>
      </w:r>
      <w:r w:rsidR="001E520F">
        <w:t xml:space="preserve"> </w:t>
      </w:r>
    </w:p>
    <w:p w:rsidR="00264389" w:rsidRDefault="00167E59" w:rsidP="00EB210C">
      <w:pPr>
        <w:spacing w:line="360" w:lineRule="auto"/>
        <w:jc w:val="both"/>
      </w:pPr>
      <w:r>
        <w:lastRenderedPageBreak/>
        <w:t xml:space="preserve">As the </w:t>
      </w:r>
      <w:proofErr w:type="spellStart"/>
      <w:r>
        <w:t>mRS</w:t>
      </w:r>
      <w:proofErr w:type="spellEnd"/>
      <w:r>
        <w:t xml:space="preserve"> and GOS are both measures of disablement rather than classifications of the causes of such disablement, the decision to group certain </w:t>
      </w:r>
      <w:proofErr w:type="spellStart"/>
      <w:r>
        <w:t>mRS</w:t>
      </w:r>
      <w:proofErr w:type="spellEnd"/>
      <w:r>
        <w:t xml:space="preserve"> categories into GOS categories also </w:t>
      </w:r>
      <w:r w:rsidR="00757421">
        <w:t xml:space="preserve">seems appropriate as it means data from the same patient population is used to inform both the potential </w:t>
      </w:r>
      <w:proofErr w:type="spellStart"/>
      <w:r w:rsidR="00757421">
        <w:t>HRQoL</w:t>
      </w:r>
      <w:proofErr w:type="spellEnd"/>
      <w:r w:rsidR="00757421">
        <w:t xml:space="preserve"> consequences of strokes, </w:t>
      </w:r>
      <w:r>
        <w:t xml:space="preserve">and of </w:t>
      </w:r>
      <w:r w:rsidR="00757421">
        <w:t xml:space="preserve">intracranial haemorrhages which can be caused on rare occasions by the OACs </w:t>
      </w:r>
      <w:r>
        <w:t xml:space="preserve">intended to prevent strokes. </w:t>
      </w:r>
      <w:r w:rsidR="00757421">
        <w:t xml:space="preserve">Using the same patient population means that </w:t>
      </w:r>
      <w:r>
        <w:t xml:space="preserve">estimated differences in </w:t>
      </w:r>
      <w:r w:rsidR="00326802">
        <w:t xml:space="preserve">consequences could not be the result of different baseline characteristics in the populations. </w:t>
      </w:r>
      <w:r w:rsidR="00EB210C">
        <w:t>The approach described also could be adapted to other datasets in other clinical areas. The validity and attractiveness of this approach in comparison to the alternatives needs further investigation and consideration.</w:t>
      </w:r>
    </w:p>
    <w:p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rsidR="00431A06" w:rsidRPr="00431A06" w:rsidRDefault="00431A06" w:rsidP="00431A06">
      <w:pPr>
        <w:pStyle w:val="Heading1"/>
      </w:pPr>
      <w:r>
        <w:lastRenderedPageBreak/>
        <w:t>References</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 </w:t>
      </w:r>
      <w:r w:rsidRPr="007F3A38">
        <w:rPr>
          <w:rFonts w:ascii="Calibri" w:hAnsi="Calibri"/>
          <w:noProof/>
          <w:sz w:val="22"/>
        </w:rPr>
        <w:tab/>
        <w:t>Chuang L-H, Whitehead SJ. Mapping for economic evaluation. Br. Med. Bull. [Internet]. 2012 Jan [cited 2012 Dec 4];101:1–15. Available from: http://www.ncbi.nlm.nih.gov/pubmed/22209743</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2. </w:t>
      </w:r>
      <w:r w:rsidRPr="007F3A38">
        <w:rPr>
          <w:rFonts w:ascii="Calibri" w:hAnsi="Calibri"/>
          <w:noProof/>
          <w:sz w:val="22"/>
        </w:rPr>
        <w:tab/>
        <w:t>Rivero-Arias O, Ouellet M, Gray A, Wolstenholme J, Rothwell PM, Luengo-Fernandez R. Mapping the Modified Rankin Scale (mRS) Measurement into the Generic EuroQol (EQ-5D) Health Outcome. Med. Decis. Mak. [Internet]. 2010;30(3):341–54. Available from: &lt;Go to ISI&gt;://000277892800009</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3. </w:t>
      </w:r>
      <w:r w:rsidRPr="007F3A38">
        <w:rPr>
          <w:rFonts w:ascii="Calibri" w:hAnsi="Calibri"/>
          <w:noProof/>
          <w:sz w:val="22"/>
        </w:rPr>
        <w:tab/>
        <w:t xml:space="preserve">Simpson EL, Stevenson MD, Scope A, Poku E, Minton J, Evans P. Echocardiography in newly diagnosed atrial fibrillation patients: a systematic review and economic evaluation. Health Technol. Assess. (Rockv). 17. </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4. </w:t>
      </w:r>
      <w:r w:rsidRPr="007F3A38">
        <w:rPr>
          <w:rFonts w:ascii="Calibri" w:hAnsi="Calibri"/>
          <w:noProof/>
          <w:sz w:val="22"/>
        </w:rPr>
        <w:tab/>
        <w:t xml:space="preserve">Minton JW, Stevenson MD, Simpson E, Lip GYH. When is it cost effective to use transthoracic echocardiography to aid the decision to prescribe oral anticoagulants in patients with newly diagnosed atrial fibrillation? An economic evaluation. PLoS One. </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5. </w:t>
      </w:r>
      <w:r w:rsidRPr="007F3A3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6. </w:t>
      </w:r>
      <w:r w:rsidRPr="007F3A38">
        <w:rPr>
          <w:rFonts w:ascii="Calibri" w:hAnsi="Calibri"/>
          <w:noProof/>
          <w:sz w:val="22"/>
        </w:rPr>
        <w:tab/>
        <w:t>RANKIN J. Cerebral vascular accidents in patients over the age of 60. II. Prognosis. Scott. Med. J. [Internet]. 1957 May [cited 2012 Apr 4];2(5):200–15. Available from: http://www.ncbi.nlm.nih.gov/pubmed/13432835</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7. </w:t>
      </w:r>
      <w:r w:rsidRPr="007F3A38">
        <w:rPr>
          <w:rFonts w:ascii="Calibri" w:hAnsi="Calibri"/>
          <w:noProof/>
          <w:sz w:val="22"/>
        </w:rPr>
        <w:tab/>
        <w:t>Wilson JTL, Hareendran A, Hendry A, Potter J, Bone I, Muir KW. Reliability of the modified Rankin Scale across multiple raters: benefits of a structured interview. Stroke. [Internet]. 2005 Apr [cited 2012 Apr 4];36(4):777–81. Available from: http://www.ncbi.nlm.nih.gov/pubmed/15718510</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8. </w:t>
      </w:r>
      <w:r w:rsidRPr="007F3A3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9. </w:t>
      </w:r>
      <w:r w:rsidRPr="007F3A38">
        <w:rPr>
          <w:rFonts w:ascii="Calibri" w:hAnsi="Calibri"/>
          <w:noProof/>
          <w:sz w:val="22"/>
        </w:rPr>
        <w:tab/>
        <w:t>Heitjan DF, Basu S. Distinguishing “Missing at Random” and “Missing Completely at Random.”Am. Stat. [Internet]. 1996 Aug [cited 2013 Jun 30];50(3):207. Available from: http://www.jstor.org/stable/2684656?origin=crossref</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10. </w:t>
      </w:r>
      <w:r w:rsidRPr="007F3A3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11. </w:t>
      </w:r>
      <w:r w:rsidRPr="007F3A38">
        <w:rPr>
          <w:rFonts w:ascii="Calibri" w:hAnsi="Calibri"/>
          <w:noProof/>
          <w:sz w:val="22"/>
        </w:rPr>
        <w:tab/>
        <w:t xml:space="preserve">Rivero-Arias O, Ouellet M, Gray A, Wolstenholme J, Rothwell PM, Luengo-Fernandez R. Mapping the Modified Rankin Scale (mRS) Measurement into the Generic EuroQol (EQ-5D) </w:t>
      </w:r>
      <w:r w:rsidRPr="007F3A38">
        <w:rPr>
          <w:rFonts w:ascii="Calibri" w:hAnsi="Calibri"/>
          <w:noProof/>
          <w:sz w:val="22"/>
        </w:rPr>
        <w:lastRenderedPageBreak/>
        <w:t>Health Outcome. Med. Decis. Mak. [Internet]. 2010;30(3):341–54. Available from: &lt;Go to ISI&gt;://000277892800009</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12. </w:t>
      </w:r>
      <w:r w:rsidRPr="007F3A38">
        <w:rPr>
          <w:rFonts w:ascii="Calibri" w:hAnsi="Calibri"/>
          <w:noProof/>
          <w:sz w:val="22"/>
        </w:rPr>
        <w:tab/>
        <w:t>Dorman P, Dennis M, Sandercock P. Are the modified “simple questions” a valid and reliable measure of health related quality of life after stroke? J. Neurol. Neurosurg. Psychiatry [Internet]. 2000;69(4):487–93. Available from: http://jnnp.bmj.com/content/69/4/487.abstract</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13. </w:t>
      </w:r>
      <w:r w:rsidRPr="007F3A38">
        <w:rPr>
          <w:rFonts w:ascii="Calibri" w:hAnsi="Calibri"/>
          <w:noProof/>
          <w:sz w:val="22"/>
        </w:rPr>
        <w:tab/>
        <w:t>Mann R, Gilbody S, Richards D. Putting the “Q” in depression QALYs: a comparison of utility measurement using EQ-5D and SF-6D health related quality of life measures. Soc. Psychiatry Psychiatr. Epidemiol. [Internet]. 2009 Jul [cited 2012 Dec 4];44(7):569–78. Available from: http://www.ncbi.nlm.nih.gov/pubmed/19011721</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14. </w:t>
      </w:r>
      <w:r w:rsidRPr="007F3A3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15. </w:t>
      </w:r>
      <w:r w:rsidRPr="007F3A3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 Assess. (Rockv). 2002;6(26). </w:t>
      </w:r>
    </w:p>
    <w:p w:rsidR="00047E69" w:rsidRDefault="00047E69" w:rsidP="007F3A38">
      <w:pPr>
        <w:pStyle w:val="NormalWeb"/>
        <w:ind w:left="640" w:hanging="640"/>
        <w:divId w:val="1039279670"/>
        <w:sectPr w:rsidR="00047E69" w:rsidSect="0090212F">
          <w:pgSz w:w="11906" w:h="16838"/>
          <w:pgMar w:top="1440" w:right="1440" w:bottom="1440" w:left="1440" w:header="708" w:footer="708" w:gutter="0"/>
          <w:cols w:space="708"/>
          <w:docGrid w:linePitch="360"/>
        </w:sectPr>
      </w:pPr>
    </w:p>
    <w:p w:rsidR="00C61C1F" w:rsidRDefault="00431A06" w:rsidP="005B51A6">
      <w:pPr>
        <w:pStyle w:val="Heading1"/>
        <w:divId w:val="1311982601"/>
      </w:pPr>
      <w:r>
        <w:lastRenderedPageBreak/>
        <w:t>Tables</w:t>
      </w:r>
    </w:p>
    <w:tbl>
      <w:tblPr>
        <w:tblStyle w:val="TableGrid"/>
        <w:tblW w:w="0" w:type="auto"/>
        <w:tblLook w:val="04A0" w:firstRow="1" w:lastRow="0" w:firstColumn="1" w:lastColumn="0" w:noHBand="0" w:noVBand="1"/>
      </w:tblPr>
      <w:tblGrid>
        <w:gridCol w:w="1384"/>
        <w:gridCol w:w="1067"/>
        <w:gridCol w:w="1099"/>
        <w:gridCol w:w="1263"/>
        <w:gridCol w:w="1816"/>
      </w:tblGrid>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Category</w:t>
            </w:r>
          </w:p>
        </w:tc>
        <w:tc>
          <w:tcPr>
            <w:tcW w:w="1067" w:type="dxa"/>
          </w:tcPr>
          <w:p w:rsidR="008164C2" w:rsidRDefault="008164C2" w:rsidP="006E2BC0">
            <w:pPr>
              <w:spacing w:line="360" w:lineRule="auto"/>
              <w:jc w:val="both"/>
            </w:pPr>
            <w:r>
              <w:t>Frequency</w:t>
            </w:r>
          </w:p>
        </w:tc>
        <w:tc>
          <w:tcPr>
            <w:tcW w:w="1099" w:type="dxa"/>
          </w:tcPr>
          <w:p w:rsidR="008164C2" w:rsidRDefault="008164C2" w:rsidP="006E2BC0">
            <w:pPr>
              <w:spacing w:line="360" w:lineRule="auto"/>
              <w:jc w:val="both"/>
            </w:pPr>
            <w:r>
              <w:t>Proportion of total</w:t>
            </w:r>
          </w:p>
        </w:tc>
        <w:tc>
          <w:tcPr>
            <w:tcW w:w="1263" w:type="dxa"/>
          </w:tcPr>
          <w:p w:rsidR="008164C2" w:rsidRDefault="008164C2" w:rsidP="006E2BC0">
            <w:pPr>
              <w:spacing w:line="360" w:lineRule="auto"/>
              <w:jc w:val="both"/>
            </w:pPr>
            <w:r>
              <w:t>Collapsed category</w:t>
            </w:r>
          </w:p>
        </w:tc>
        <w:tc>
          <w:tcPr>
            <w:tcW w:w="1816" w:type="dxa"/>
          </w:tcPr>
          <w:p w:rsidR="008164C2" w:rsidRDefault="008164C2" w:rsidP="006E2BC0">
            <w:pPr>
              <w:spacing w:line="360" w:lineRule="auto"/>
              <w:jc w:val="both"/>
            </w:pPr>
            <w:r>
              <w:t>Proportion of collapsed category</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0</w:t>
            </w:r>
          </w:p>
        </w:tc>
        <w:tc>
          <w:tcPr>
            <w:tcW w:w="1067" w:type="dxa"/>
          </w:tcPr>
          <w:p w:rsidR="008164C2" w:rsidRDefault="008164C2" w:rsidP="006E2BC0">
            <w:pPr>
              <w:spacing w:line="360" w:lineRule="auto"/>
              <w:jc w:val="both"/>
            </w:pPr>
            <w:r>
              <w:t>61</w:t>
            </w:r>
          </w:p>
        </w:tc>
        <w:tc>
          <w:tcPr>
            <w:tcW w:w="1099" w:type="dxa"/>
          </w:tcPr>
          <w:p w:rsidR="008164C2" w:rsidRDefault="008164C2" w:rsidP="006E2BC0">
            <w:pPr>
              <w:spacing w:line="360" w:lineRule="auto"/>
              <w:jc w:val="both"/>
            </w:pPr>
            <w:r>
              <w:t>0.144</w:t>
            </w:r>
          </w:p>
        </w:tc>
        <w:tc>
          <w:tcPr>
            <w:tcW w:w="1263" w:type="dxa"/>
            <w:vMerge w:val="restart"/>
          </w:tcPr>
          <w:p w:rsidR="008164C2" w:rsidRDefault="008164C2" w:rsidP="006E2BC0">
            <w:pPr>
              <w:spacing w:line="360" w:lineRule="auto"/>
              <w:jc w:val="both"/>
            </w:pPr>
            <w:r>
              <w:t>Independent State</w:t>
            </w:r>
          </w:p>
        </w:tc>
        <w:tc>
          <w:tcPr>
            <w:tcW w:w="1816" w:type="dxa"/>
          </w:tcPr>
          <w:p w:rsidR="008164C2" w:rsidRDefault="008164C2" w:rsidP="006E2BC0">
            <w:pPr>
              <w:spacing w:line="360" w:lineRule="auto"/>
              <w:jc w:val="both"/>
            </w:pPr>
            <w:r>
              <w:t>0.194</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1</w:t>
            </w:r>
          </w:p>
        </w:tc>
        <w:tc>
          <w:tcPr>
            <w:tcW w:w="1067" w:type="dxa"/>
          </w:tcPr>
          <w:p w:rsidR="008164C2" w:rsidRDefault="008164C2" w:rsidP="006E2BC0">
            <w:pPr>
              <w:spacing w:line="360" w:lineRule="auto"/>
              <w:jc w:val="both"/>
            </w:pPr>
            <w:r>
              <w:t>143</w:t>
            </w:r>
          </w:p>
        </w:tc>
        <w:tc>
          <w:tcPr>
            <w:tcW w:w="1099" w:type="dxa"/>
          </w:tcPr>
          <w:p w:rsidR="008164C2" w:rsidRDefault="008164C2" w:rsidP="006E2BC0">
            <w:pPr>
              <w:spacing w:line="360" w:lineRule="auto"/>
              <w:jc w:val="both"/>
            </w:pPr>
            <w:r>
              <w:t>0.336</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0.454</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2</w:t>
            </w:r>
          </w:p>
        </w:tc>
        <w:tc>
          <w:tcPr>
            <w:tcW w:w="1067" w:type="dxa"/>
          </w:tcPr>
          <w:p w:rsidR="008164C2" w:rsidRDefault="008164C2" w:rsidP="006E2BC0">
            <w:pPr>
              <w:spacing w:line="360" w:lineRule="auto"/>
              <w:jc w:val="both"/>
            </w:pPr>
            <w:r>
              <w:t>111</w:t>
            </w:r>
          </w:p>
        </w:tc>
        <w:tc>
          <w:tcPr>
            <w:tcW w:w="1099" w:type="dxa"/>
          </w:tcPr>
          <w:p w:rsidR="008164C2" w:rsidRDefault="008164C2" w:rsidP="006E2BC0">
            <w:pPr>
              <w:spacing w:line="360" w:lineRule="auto"/>
              <w:jc w:val="both"/>
            </w:pPr>
            <w:r>
              <w:t>0.261</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0.352</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3</w:t>
            </w:r>
          </w:p>
        </w:tc>
        <w:tc>
          <w:tcPr>
            <w:tcW w:w="1067" w:type="dxa"/>
          </w:tcPr>
          <w:p w:rsidR="008164C2" w:rsidRDefault="008164C2" w:rsidP="006E2BC0">
            <w:pPr>
              <w:spacing w:line="360" w:lineRule="auto"/>
              <w:jc w:val="both"/>
            </w:pPr>
            <w:r>
              <w:t>82</w:t>
            </w:r>
          </w:p>
        </w:tc>
        <w:tc>
          <w:tcPr>
            <w:tcW w:w="1099" w:type="dxa"/>
          </w:tcPr>
          <w:p w:rsidR="008164C2" w:rsidRDefault="008164C2" w:rsidP="006E2BC0">
            <w:pPr>
              <w:spacing w:line="360" w:lineRule="auto"/>
              <w:jc w:val="both"/>
            </w:pPr>
            <w:r>
              <w:t>0.193</w:t>
            </w:r>
          </w:p>
        </w:tc>
        <w:tc>
          <w:tcPr>
            <w:tcW w:w="1263" w:type="dxa"/>
            <w:vMerge w:val="restart"/>
          </w:tcPr>
          <w:p w:rsidR="008164C2" w:rsidRDefault="008164C2" w:rsidP="006E2BC0">
            <w:pPr>
              <w:spacing w:line="360" w:lineRule="auto"/>
              <w:jc w:val="both"/>
            </w:pPr>
            <w:r>
              <w:t>Dependent State</w:t>
            </w:r>
          </w:p>
        </w:tc>
        <w:tc>
          <w:tcPr>
            <w:tcW w:w="1816" w:type="dxa"/>
          </w:tcPr>
          <w:p w:rsidR="008164C2" w:rsidRDefault="008164C2" w:rsidP="006E2BC0">
            <w:pPr>
              <w:spacing w:line="360" w:lineRule="auto"/>
              <w:jc w:val="both"/>
            </w:pPr>
            <w:r>
              <w:t>0.745</w:t>
            </w:r>
          </w:p>
        </w:tc>
      </w:tr>
      <w:tr w:rsidR="008164C2" w:rsidTr="008164C2">
        <w:trPr>
          <w:divId w:val="1311982601"/>
          <w:trHeight w:val="230"/>
        </w:trPr>
        <w:tc>
          <w:tcPr>
            <w:tcW w:w="1384" w:type="dxa"/>
          </w:tcPr>
          <w:p w:rsidR="008164C2" w:rsidRDefault="008164C2" w:rsidP="006E2BC0">
            <w:pPr>
              <w:spacing w:line="360" w:lineRule="auto"/>
              <w:jc w:val="both"/>
            </w:pPr>
            <w:proofErr w:type="spellStart"/>
            <w:r>
              <w:t>mRS</w:t>
            </w:r>
            <w:proofErr w:type="spellEnd"/>
            <w:r>
              <w:t xml:space="preserve"> 4</w:t>
            </w:r>
          </w:p>
        </w:tc>
        <w:tc>
          <w:tcPr>
            <w:tcW w:w="1067" w:type="dxa"/>
          </w:tcPr>
          <w:p w:rsidR="008164C2" w:rsidRDefault="008164C2" w:rsidP="006E2BC0">
            <w:pPr>
              <w:spacing w:line="360" w:lineRule="auto"/>
              <w:jc w:val="both"/>
            </w:pPr>
            <w:r>
              <w:t>24</w:t>
            </w:r>
          </w:p>
        </w:tc>
        <w:tc>
          <w:tcPr>
            <w:tcW w:w="1099" w:type="dxa"/>
          </w:tcPr>
          <w:p w:rsidR="008164C2" w:rsidRDefault="008164C2" w:rsidP="006E2BC0">
            <w:pPr>
              <w:spacing w:line="360" w:lineRule="auto"/>
              <w:jc w:val="both"/>
            </w:pPr>
            <w:r>
              <w:t>0.056</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0.218</w:t>
            </w:r>
          </w:p>
        </w:tc>
      </w:tr>
      <w:tr w:rsidR="008164C2" w:rsidTr="008164C2">
        <w:trPr>
          <w:divId w:val="1311982601"/>
          <w:trHeight w:val="150"/>
        </w:trPr>
        <w:tc>
          <w:tcPr>
            <w:tcW w:w="1384" w:type="dxa"/>
          </w:tcPr>
          <w:p w:rsidR="008164C2" w:rsidRDefault="008164C2" w:rsidP="006E2BC0">
            <w:pPr>
              <w:spacing w:line="360" w:lineRule="auto"/>
              <w:jc w:val="both"/>
            </w:pPr>
            <w:proofErr w:type="spellStart"/>
            <w:r>
              <w:t>mRS</w:t>
            </w:r>
            <w:proofErr w:type="spellEnd"/>
            <w:r>
              <w:t xml:space="preserve"> 5</w:t>
            </w:r>
          </w:p>
        </w:tc>
        <w:tc>
          <w:tcPr>
            <w:tcW w:w="1067" w:type="dxa"/>
          </w:tcPr>
          <w:p w:rsidR="008164C2" w:rsidRDefault="008164C2" w:rsidP="006E2BC0">
            <w:pPr>
              <w:spacing w:line="360" w:lineRule="auto"/>
              <w:jc w:val="both"/>
            </w:pPr>
            <w:r>
              <w:t>4</w:t>
            </w:r>
          </w:p>
        </w:tc>
        <w:tc>
          <w:tcPr>
            <w:tcW w:w="1099" w:type="dxa"/>
          </w:tcPr>
          <w:p w:rsidR="008164C2" w:rsidRDefault="008164C2" w:rsidP="006E2BC0">
            <w:pPr>
              <w:spacing w:line="360" w:lineRule="auto"/>
              <w:jc w:val="both"/>
            </w:pPr>
            <w:r>
              <w:t>0.009</w:t>
            </w:r>
          </w:p>
        </w:tc>
        <w:tc>
          <w:tcPr>
            <w:tcW w:w="1263" w:type="dxa"/>
            <w:vMerge/>
          </w:tcPr>
          <w:p w:rsidR="008164C2" w:rsidRDefault="008164C2" w:rsidP="006E2BC0">
            <w:pPr>
              <w:spacing w:line="360" w:lineRule="auto"/>
              <w:jc w:val="both"/>
            </w:pPr>
          </w:p>
        </w:tc>
        <w:tc>
          <w:tcPr>
            <w:tcW w:w="1816" w:type="dxa"/>
          </w:tcPr>
          <w:p w:rsidR="008164C2" w:rsidRDefault="008164C2" w:rsidP="006E2BC0">
            <w:pPr>
              <w:keepNext/>
              <w:spacing w:line="360" w:lineRule="auto"/>
              <w:jc w:val="both"/>
            </w:pPr>
            <w:r>
              <w:t>0.036</w:t>
            </w:r>
          </w:p>
        </w:tc>
      </w:tr>
    </w:tbl>
    <w:p w:rsidR="008164C2" w:rsidRDefault="008164C2" w:rsidP="008164C2">
      <w:pPr>
        <w:pStyle w:val="Caption"/>
        <w:divId w:val="1311982601"/>
      </w:pPr>
      <w:bookmarkStart w:id="0" w:name="_Ref336071835"/>
      <w:r>
        <w:t xml:space="preserve">Table </w:t>
      </w:r>
      <w:r>
        <w:rPr>
          <w:noProof/>
        </w:rPr>
        <w:t>1</w:t>
      </w:r>
      <w:bookmarkEnd w:id="0"/>
      <w:r>
        <w:t xml:space="preserve"> Cell counts used from source paper to populate the </w:t>
      </w:r>
      <w:proofErr w:type="spellStart"/>
      <w:r>
        <w:t>Dirichlet</w:t>
      </w:r>
      <w:proofErr w:type="spellEnd"/>
      <w:r>
        <w:t xml:space="preserve"> distribution in this simulation</w:t>
      </w:r>
      <w:r w:rsidR="00AE36F4">
        <w:t xml:space="preserve">. The </w:t>
      </w:r>
      <w:proofErr w:type="spellStart"/>
      <w:r w:rsidR="00AE36F4">
        <w:t>Dirichlet</w:t>
      </w:r>
      <w:proofErr w:type="spellEnd"/>
      <w:r w:rsidR="00AE36F4">
        <w:t xml:space="preserve">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where </w:t>
      </w:r>
      <m:oMath>
        <m:r>
          <m:rPr>
            <m:sty m:val="bi"/>
          </m:rPr>
          <w:rPr>
            <w:rFonts w:ascii="Cambria Math" w:eastAsiaTheme="minorEastAsia" w:hAnsi="Cambria Math"/>
          </w:rPr>
          <m:t xml:space="preserve">θ= </m:t>
        </m:r>
        <m:d>
          <m:dPr>
            <m:begChr m:val="{"/>
            <m:endChr m:val="}"/>
            <m:ctrlPr>
              <w:rPr>
                <w:rFonts w:ascii="Cambria Math" w:eastAsiaTheme="minorEastAsia" w:hAnsi="Cambria Math"/>
                <w:i/>
              </w:rPr>
            </m:ctrlPr>
          </m:dPr>
          <m:e>
            <m:r>
              <m:rPr>
                <m:sty m:val="bi"/>
              </m:rPr>
              <w:rPr>
                <w:rFonts w:ascii="Cambria Math" w:eastAsiaTheme="minorEastAsia" w:hAnsi="Cambria Math"/>
              </w:rPr>
              <m:t>61, 143, 111, 82, 24, 4</m:t>
            </m:r>
          </m:e>
        </m:d>
      </m:oMath>
      <w:r w:rsidR="00AE36F4">
        <w:rPr>
          <w:rFonts w:eastAsiaTheme="minorEastAsia"/>
        </w:rPr>
        <w:t xml:space="preserve"> </w:t>
      </w:r>
    </w:p>
    <w:p w:rsidR="008164C2" w:rsidRDefault="008164C2">
      <w:pPr>
        <w:rPr>
          <w:lang w:val="en-US" w:bidi="en-US"/>
        </w:rPr>
      </w:pPr>
      <w:r>
        <w:rPr>
          <w:lang w:val="en-US" w:bidi="en-US"/>
        </w:rPr>
        <w:br w:type="page"/>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lastRenderedPageBreak/>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1" w:name="_Ref321300871"/>
      <w:bookmarkStart w:id="2" w:name="_Ref331416679"/>
      <w:r>
        <w:t xml:space="preserve">Table </w:t>
      </w:r>
      <w:r w:rsidR="008164C2">
        <w:rPr>
          <w:noProof/>
        </w:rPr>
        <w:t>2</w:t>
      </w:r>
      <w:bookmarkEnd w:id="1"/>
      <w:bookmarkEnd w:id="2"/>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AE36F4" w:rsidRDefault="005B51A6" w:rsidP="00AE36F4">
      <w:pPr>
        <w:pStyle w:val="Caption"/>
        <w:divId w:val="665133477"/>
      </w:pPr>
      <w:bookmarkStart w:id="3" w:name="_Ref339266939"/>
      <w:r>
        <w:t xml:space="preserve">Table </w:t>
      </w:r>
      <w:r w:rsidR="008164C2">
        <w:rPr>
          <w:noProof/>
        </w:rPr>
        <w:t>3</w:t>
      </w:r>
      <w:bookmarkEnd w:id="3"/>
      <w:r>
        <w:t xml:space="preserve"> Probability of GOS categories following non-fatal intracranial haemorrhage</w:t>
      </w:r>
      <w:r w:rsidR="00AE36F4">
        <w:t xml:space="preserve">. </w:t>
      </w:r>
      <w:r w:rsidR="00AE36F4">
        <w:t xml:space="preserve">The </w:t>
      </w:r>
      <w:proofErr w:type="spellStart"/>
      <w:r w:rsidR="00AE36F4">
        <w:t>Dirichlet</w:t>
      </w:r>
      <w:proofErr w:type="spellEnd"/>
      <w:r w:rsidR="00AE36F4">
        <w:t xml:space="preserve">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t>
      </w:r>
      <w:proofErr w:type="gramStart"/>
      <w:r w:rsidR="00AE36F4">
        <w:rPr>
          <w:rFonts w:eastAsiaTheme="minorEastAsia"/>
        </w:rPr>
        <w:t xml:space="preserve">where </w:t>
      </w:r>
      <m:oMath>
        <m:r>
          <m:rPr>
            <m:sty m:val="bi"/>
          </m:rPr>
          <w:rPr>
            <w:rFonts w:ascii="Cambria Math" w:eastAsiaTheme="minorEastAsia" w:hAnsi="Cambria Math"/>
          </w:rPr>
          <m:t/>
        </m:r>
        <w:proofErr w:type="gramEnd"/>
        <m:r>
          <m:rPr>
            <m:sty m:val="bi"/>
          </m:rPr>
          <w:rPr>
            <w:rFonts w:ascii="Cambria Math" w:eastAsiaTheme="minorEastAsia" w:hAnsi="Cambria Math"/>
          </w:rPr>
          <m:t xml:space="preserve">= </m:t>
        </m:r>
        <m:d>
          <m:dPr>
            <m:begChr m:val="{"/>
            <m:endChr m:val="}"/>
            <m:ctrlPr>
              <w:rPr>
                <w:rFonts w:ascii="Cambria Math" w:eastAsiaTheme="minorEastAsia" w:hAnsi="Cambria Math"/>
                <w:i/>
              </w:rPr>
            </m:ctrlPr>
          </m:dPr>
          <m:e>
            <m:r>
              <m:rPr>
                <m:sty m:val="bi"/>
              </m:rPr>
              <w:rPr>
                <w:rFonts w:ascii="Cambria Math" w:eastAsiaTheme="minorEastAsia" w:hAnsi="Cambria Math"/>
              </w:rPr>
              <m:t>115.5</m:t>
            </m:r>
            <m:r>
              <m:rPr>
                <m:sty m:val="bi"/>
              </m:rPr>
              <w:rPr>
                <w:rFonts w:ascii="Cambria Math" w:eastAsiaTheme="minorEastAsia" w:hAnsi="Cambria Math"/>
              </w:rPr>
              <m:t xml:space="preserve">, </m:t>
            </m:r>
            <m:r>
              <m:rPr>
                <m:sty m:val="bi"/>
              </m:rPr>
              <w:rPr>
                <w:rFonts w:ascii="Cambria Math" w:eastAsiaTheme="minorEastAsia" w:hAnsi="Cambria Math"/>
              </w:rPr>
              <m:t>140</m:t>
            </m:r>
            <m:r>
              <m:rPr>
                <m:sty m:val="bi"/>
              </m:rPr>
              <w:rPr>
                <w:rFonts w:ascii="Cambria Math" w:eastAsiaTheme="minorEastAsia" w:hAnsi="Cambria Math"/>
              </w:rPr>
              <m:t xml:space="preserve">, </m:t>
            </m:r>
            <m:r>
              <m:rPr>
                <m:sty m:val="bi"/>
              </m:rPr>
              <w:rPr>
                <w:rFonts w:ascii="Cambria Math" w:eastAsiaTheme="minorEastAsia" w:hAnsi="Cambria Math"/>
              </w:rPr>
              <m:t>79.3</m:t>
            </m:r>
            <m:r>
              <m:rPr>
                <m:sty m:val="bi"/>
              </m:rPr>
              <w:rPr>
                <w:rFonts w:ascii="Cambria Math" w:eastAsiaTheme="minorEastAsia" w:hAnsi="Cambria Math"/>
              </w:rPr>
              <m:t xml:space="preserve">, </m:t>
            </m:r>
            <m:r>
              <m:rPr>
                <m:sty m:val="bi"/>
              </m:rPr>
              <w:rPr>
                <w:rFonts w:ascii="Cambria Math" w:eastAsiaTheme="minorEastAsia" w:hAnsi="Cambria Math"/>
              </w:rPr>
              <m:t>665.1</m:t>
            </m:r>
          </m:e>
        </m:d>
      </m:oMath>
      <w:r w:rsidR="00AE36F4">
        <w:rPr>
          <w:rFonts w:eastAsiaTheme="minorEastAsia"/>
        </w:rPr>
        <w:t xml:space="preserve"> </w:t>
      </w:r>
      <w:r w:rsidR="00AE36F4">
        <w:rPr>
          <w:rFonts w:eastAsiaTheme="minorEastAsia"/>
        </w:rPr>
        <w:t xml:space="preserve">. </w:t>
      </w:r>
      <w:r w:rsidR="00646CC3">
        <w:rPr>
          <w:rFonts w:eastAsiaTheme="minorEastAsia"/>
        </w:rPr>
        <w:t xml:space="preserve">The central estimates are the medians of the simulated values, presented to three decimal places. Note: because of the number of decimal places the central estimates are displayed to, and because the sum of the elements in </w:t>
      </w:r>
      <m:oMath>
        <m:r>
          <m:rPr>
            <m:sty m:val="bi"/>
          </m:rPr>
          <w:rPr>
            <w:rFonts w:ascii="Cambria Math" w:eastAsiaTheme="minorEastAsia" w:hAnsi="Cambria Math"/>
          </w:rPr>
          <m:t>θ</m:t>
        </m:r>
      </m:oMath>
      <w:r w:rsidR="00646CC3">
        <w:rPr>
          <w:rFonts w:eastAsiaTheme="minorEastAsia"/>
        </w:rPr>
        <w:t xml:space="preserve"> is 999.9 rather than 1000, the central estimates shown are not </w:t>
      </w:r>
      <w:proofErr w:type="gramStart"/>
      <w:r w:rsidR="00646CC3">
        <w:rPr>
          <w:rFonts w:eastAsiaTheme="minorEastAsia"/>
        </w:rPr>
        <w:t xml:space="preserve">exactly </w:t>
      </w:r>
      <w:proofErr w:type="gramEnd"/>
      <m:oMath>
        <m:r>
          <m:rPr>
            <m:sty m:val="bi"/>
          </m:rPr>
          <w:rPr>
            <w:rFonts w:ascii="Cambria Math" w:eastAsiaTheme="minorEastAsia" w:hAnsi="Cambria Math"/>
          </w:rPr>
          <m:t>θ</m:t>
        </m:r>
        <m:r>
          <m:rPr>
            <m:sty m:val="bi"/>
          </m:rPr>
          <w:rPr>
            <w:rFonts w:ascii="Cambria Math" w:eastAsiaTheme="minorEastAsia" w:hAnsi="Cambria Math"/>
          </w:rPr>
          <m:t>/1000</m:t>
        </m:r>
      </m:oMath>
      <w:r w:rsidR="00646CC3">
        <w:rPr>
          <w:rFonts w:eastAsiaTheme="minorEastAsia"/>
        </w:rPr>
        <w:t>.</w:t>
      </w:r>
    </w:p>
    <w:p w:rsidR="005B51A6" w:rsidRDefault="005B51A6" w:rsidP="005B51A6">
      <w:pPr>
        <w:pStyle w:val="Caption"/>
        <w:divId w:val="665133477"/>
      </w:pP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AE36F4">
            <w:pPr>
              <w:keepNext/>
              <w:spacing w:line="360" w:lineRule="auto"/>
              <w:jc w:val="both"/>
            </w:pPr>
            <w:r>
              <w:t xml:space="preserve">Mean (95% </w:t>
            </w:r>
            <w:proofErr w:type="spellStart"/>
            <w:r w:rsidR="00AE36F4">
              <w:t>C</w:t>
            </w:r>
            <w:r>
              <w:t>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AE36F4" w:rsidP="00047E69">
            <w:pPr>
              <w:keepNext/>
              <w:spacing w:line="360" w:lineRule="auto"/>
              <w:jc w:val="both"/>
            </w:pPr>
            <w:r>
              <w:t xml:space="preserve">Mean (95% </w:t>
            </w:r>
            <w:proofErr w:type="spellStart"/>
            <w:r>
              <w:t>C</w:t>
            </w:r>
            <w:r w:rsidR="005B51A6">
              <w:t>rIs</w:t>
            </w:r>
            <w:proofErr w:type="spellEnd"/>
            <w:r w:rsidR="005B51A6">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4" w:name="_Ref336341764"/>
      <w:r>
        <w:t xml:space="preserve">Table </w:t>
      </w:r>
      <w:r w:rsidR="008164C2">
        <w:rPr>
          <w:noProof/>
        </w:rPr>
        <w:t>4</w:t>
      </w:r>
      <w:bookmarkEnd w:id="4"/>
      <w:r>
        <w:t xml:space="preserve"> Mean simulated proportions dead, or in dependent state or independent state following a stroke, together with 95% </w:t>
      </w:r>
      <w:r w:rsidR="00AE36F4">
        <w:t xml:space="preserve">credible </w:t>
      </w:r>
      <w:r>
        <w:t>intervals</w:t>
      </w:r>
      <w:r w:rsidR="00AE36F4">
        <w:t xml:space="preserve"> (</w:t>
      </w:r>
      <w:proofErr w:type="spellStart"/>
      <w:r w:rsidR="00AE36F4">
        <w:t>CrIs</w:t>
      </w:r>
      <w:proofErr w:type="spellEnd"/>
      <w:r w:rsidR="00AE36F4">
        <w:t>)</w:t>
      </w:r>
    </w:p>
    <w:p w:rsidR="0090212F" w:rsidRDefault="0090212F">
      <w:pPr>
        <w:divId w:val="665133477"/>
      </w:pPr>
      <w:r>
        <w:br w:type="page"/>
      </w:r>
    </w:p>
    <w:tbl>
      <w:tblPr>
        <w:tblStyle w:val="TableGrid"/>
        <w:tblW w:w="4928" w:type="dxa"/>
        <w:tblLook w:val="04A0" w:firstRow="1" w:lastRow="0" w:firstColumn="1" w:lastColumn="0" w:noHBand="0" w:noVBand="1"/>
      </w:tblPr>
      <w:tblGrid>
        <w:gridCol w:w="2518"/>
        <w:gridCol w:w="2410"/>
      </w:tblGrid>
      <w:tr w:rsidR="00DB37B6" w:rsidTr="00DB37B6">
        <w:trPr>
          <w:divId w:val="665133477"/>
        </w:trPr>
        <w:tc>
          <w:tcPr>
            <w:tcW w:w="2518" w:type="dxa"/>
          </w:tcPr>
          <w:p w:rsidR="00DB37B6" w:rsidRPr="005B51A6" w:rsidRDefault="00DB37B6" w:rsidP="00047E69">
            <w:pPr>
              <w:keepNext/>
              <w:spacing w:line="360" w:lineRule="auto"/>
              <w:jc w:val="both"/>
              <w:rPr>
                <w:b/>
              </w:rPr>
            </w:pPr>
            <w:r w:rsidRPr="005B51A6">
              <w:rPr>
                <w:b/>
              </w:rPr>
              <w:lastRenderedPageBreak/>
              <w:t xml:space="preserve">State </w:t>
            </w:r>
          </w:p>
        </w:tc>
        <w:tc>
          <w:tcPr>
            <w:tcW w:w="2410" w:type="dxa"/>
          </w:tcPr>
          <w:p w:rsidR="00DB37B6" w:rsidRPr="005B51A6" w:rsidRDefault="00DB37B6" w:rsidP="00047E69">
            <w:pPr>
              <w:keepNext/>
              <w:spacing w:line="360" w:lineRule="auto"/>
              <w:jc w:val="both"/>
              <w:rPr>
                <w:b/>
              </w:rPr>
            </w:pPr>
            <w:r w:rsidRPr="005B51A6">
              <w:rPr>
                <w:b/>
              </w:rPr>
              <w:t xml:space="preserve">Utility Multiplier </w:t>
            </w:r>
          </w:p>
          <w:p w:rsidR="00DB37B6" w:rsidRPr="005B51A6" w:rsidRDefault="00DB37B6" w:rsidP="00AE36F4">
            <w:pPr>
              <w:keepNext/>
              <w:spacing w:line="360" w:lineRule="auto"/>
              <w:jc w:val="both"/>
              <w:rPr>
                <w:b/>
              </w:rPr>
            </w:pPr>
            <w:r>
              <w:rPr>
                <w:b/>
              </w:rPr>
              <w:t xml:space="preserve">Mean (95% </w:t>
            </w:r>
            <w:proofErr w:type="spellStart"/>
            <w:r>
              <w:rPr>
                <w:b/>
              </w:rPr>
              <w:t>C</w:t>
            </w:r>
            <w:r w:rsidRPr="005B51A6">
              <w:rPr>
                <w:b/>
              </w:rPr>
              <w:t>rIs</w:t>
            </w:r>
            <w:proofErr w:type="spellEnd"/>
            <w:r w:rsidRPr="005B51A6">
              <w:rPr>
                <w:b/>
              </w:rPr>
              <w:t>)</w:t>
            </w:r>
          </w:p>
        </w:tc>
      </w:tr>
      <w:tr w:rsidR="00DB37B6" w:rsidTr="00DB37B6">
        <w:trPr>
          <w:divId w:val="665133477"/>
        </w:trPr>
        <w:tc>
          <w:tcPr>
            <w:tcW w:w="2518" w:type="dxa"/>
          </w:tcPr>
          <w:p w:rsidR="00DB37B6" w:rsidRDefault="00DB37B6" w:rsidP="00047E69">
            <w:pPr>
              <w:keepNext/>
              <w:spacing w:line="360" w:lineRule="auto"/>
              <w:jc w:val="both"/>
            </w:pPr>
            <w:r>
              <w:t>GOS 1: Dead</w:t>
            </w:r>
          </w:p>
          <w:p w:rsidR="00DB37B6" w:rsidRDefault="00DB37B6" w:rsidP="00047E69">
            <w:pPr>
              <w:keepNext/>
              <w:spacing w:line="360" w:lineRule="auto"/>
              <w:jc w:val="both"/>
            </w:pPr>
            <w:r>
              <w:t xml:space="preserve">Or </w:t>
            </w:r>
          </w:p>
          <w:p w:rsidR="00DB37B6" w:rsidRDefault="00DB37B6" w:rsidP="00047E69">
            <w:pPr>
              <w:keepNext/>
              <w:spacing w:line="360" w:lineRule="auto"/>
              <w:jc w:val="both"/>
            </w:pPr>
            <w:r>
              <w:t>GOS 2: Vegetative State</w:t>
            </w:r>
          </w:p>
        </w:tc>
        <w:tc>
          <w:tcPr>
            <w:tcW w:w="2410" w:type="dxa"/>
          </w:tcPr>
          <w:p w:rsidR="00DB37B6" w:rsidRDefault="00DB37B6" w:rsidP="00047E69">
            <w:pPr>
              <w:keepNext/>
              <w:spacing w:line="360" w:lineRule="auto"/>
              <w:jc w:val="both"/>
            </w:pPr>
            <w:r>
              <w:t>0</w:t>
            </w:r>
          </w:p>
        </w:tc>
      </w:tr>
      <w:tr w:rsidR="00DB37B6" w:rsidTr="00DB37B6">
        <w:trPr>
          <w:divId w:val="665133477"/>
        </w:trPr>
        <w:tc>
          <w:tcPr>
            <w:tcW w:w="2518" w:type="dxa"/>
          </w:tcPr>
          <w:p w:rsidR="00DB37B6" w:rsidRDefault="00DB37B6" w:rsidP="00047E69">
            <w:pPr>
              <w:keepNext/>
              <w:spacing w:line="360" w:lineRule="auto"/>
              <w:jc w:val="both"/>
            </w:pPr>
            <w:r>
              <w:t>GOS 3: Severely Disabled</w:t>
            </w:r>
          </w:p>
        </w:tc>
        <w:tc>
          <w:tcPr>
            <w:tcW w:w="2410" w:type="dxa"/>
          </w:tcPr>
          <w:p w:rsidR="00DB37B6" w:rsidRDefault="00DB37B6" w:rsidP="00047E69">
            <w:pPr>
              <w:keepNext/>
              <w:spacing w:line="360" w:lineRule="auto"/>
              <w:jc w:val="both"/>
            </w:pPr>
            <w:r>
              <w:t>0.226 ( 0.221 to 0.231)</w:t>
            </w:r>
          </w:p>
        </w:tc>
      </w:tr>
      <w:tr w:rsidR="00DB37B6" w:rsidTr="00DB37B6">
        <w:trPr>
          <w:divId w:val="665133477"/>
        </w:trPr>
        <w:tc>
          <w:tcPr>
            <w:tcW w:w="2518" w:type="dxa"/>
          </w:tcPr>
          <w:p w:rsidR="00DB37B6" w:rsidRDefault="00DB37B6" w:rsidP="00047E69">
            <w:pPr>
              <w:keepNext/>
              <w:spacing w:line="360" w:lineRule="auto"/>
              <w:jc w:val="both"/>
            </w:pPr>
            <w:r>
              <w:t>GOS 4: Moderately Disabled</w:t>
            </w:r>
          </w:p>
        </w:tc>
        <w:tc>
          <w:tcPr>
            <w:tcW w:w="2410" w:type="dxa"/>
          </w:tcPr>
          <w:p w:rsidR="00DB37B6" w:rsidRDefault="00DB37B6" w:rsidP="00047E69">
            <w:pPr>
              <w:keepNext/>
              <w:spacing w:line="360" w:lineRule="auto"/>
              <w:jc w:val="both"/>
            </w:pPr>
            <w:r>
              <w:t>0.642 (0.638 to 0.645)</w:t>
            </w:r>
          </w:p>
        </w:tc>
      </w:tr>
      <w:tr w:rsidR="00DB37B6" w:rsidTr="00DB37B6">
        <w:trPr>
          <w:divId w:val="665133477"/>
        </w:trPr>
        <w:tc>
          <w:tcPr>
            <w:tcW w:w="2518" w:type="dxa"/>
          </w:tcPr>
          <w:p w:rsidR="00DB37B6" w:rsidRDefault="00DB37B6" w:rsidP="00047E69">
            <w:pPr>
              <w:keepNext/>
              <w:spacing w:line="360" w:lineRule="auto"/>
              <w:jc w:val="both"/>
            </w:pPr>
            <w:r>
              <w:t>GOS 5: Good Recovery</w:t>
            </w:r>
          </w:p>
        </w:tc>
        <w:tc>
          <w:tcPr>
            <w:tcW w:w="2410" w:type="dxa"/>
          </w:tcPr>
          <w:p w:rsidR="00DB37B6" w:rsidRDefault="00DB37B6" w:rsidP="00047E69">
            <w:pPr>
              <w:keepNext/>
              <w:spacing w:line="360" w:lineRule="auto"/>
              <w:jc w:val="both"/>
            </w:pPr>
            <w:r>
              <w:t xml:space="preserve">0.895 (0.892 to 0.898) </w:t>
            </w:r>
          </w:p>
        </w:tc>
      </w:tr>
    </w:tbl>
    <w:p w:rsidR="00047E69" w:rsidRPr="005B51A6" w:rsidRDefault="005B51A6" w:rsidP="00544188">
      <w:pPr>
        <w:pStyle w:val="Caption"/>
        <w:divId w:val="665133477"/>
        <w:rPr>
          <w:lang w:val="en-US" w:bidi="en-US"/>
        </w:rPr>
      </w:pPr>
      <w:bookmarkStart w:id="5" w:name="_Ref336343433"/>
      <w:r>
        <w:t xml:space="preserve">Table </w:t>
      </w:r>
      <w:r w:rsidR="008164C2">
        <w:rPr>
          <w:noProof/>
        </w:rPr>
        <w:t>5</w:t>
      </w:r>
      <w:bookmarkEnd w:id="5"/>
      <w:r>
        <w:t xml:space="preserve"> Mean utility multipliers associated with different GOS states</w:t>
      </w:r>
      <w:r w:rsidR="00AE36F4">
        <w:t xml:space="preserve">. </w:t>
      </w:r>
      <w:proofErr w:type="spellStart"/>
      <w:r w:rsidR="00AE36F4">
        <w:t>CrIs</w:t>
      </w:r>
      <w:proofErr w:type="spellEnd"/>
      <w:r w:rsidR="00AE36F4">
        <w:t>: Credible intervals</w:t>
      </w:r>
      <w:r w:rsidR="00DB37B6">
        <w:t xml:space="preserve">. GOS: Glasgow Outcome Scale. See Table 2 for estimated proportions in GOS 2 to GOS 5 following an intracranial haemorrhage. </w:t>
      </w:r>
      <w:bookmarkStart w:id="6" w:name="_GoBack"/>
      <w:bookmarkEnd w:id="6"/>
    </w:p>
    <w:sectPr w:rsidR="00047E69" w:rsidRPr="005B51A6" w:rsidSect="005441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923" w:rsidRDefault="00385923" w:rsidP="00843868">
      <w:pPr>
        <w:spacing w:after="0" w:line="240" w:lineRule="auto"/>
      </w:pPr>
      <w:r>
        <w:separator/>
      </w:r>
    </w:p>
  </w:endnote>
  <w:endnote w:type="continuationSeparator" w:id="0">
    <w:p w:rsidR="00385923" w:rsidRDefault="00385923"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64188A" w:rsidRDefault="0064188A">
        <w:pPr>
          <w:pStyle w:val="Footer"/>
          <w:jc w:val="center"/>
        </w:pPr>
        <w:r>
          <w:fldChar w:fldCharType="begin"/>
        </w:r>
        <w:r>
          <w:instrText xml:space="preserve"> PAGE   \* MERGEFORMAT </w:instrText>
        </w:r>
        <w:r>
          <w:fldChar w:fldCharType="separate"/>
        </w:r>
        <w:r w:rsidR="00544188">
          <w:rPr>
            <w:noProof/>
          </w:rPr>
          <w:t>1</w:t>
        </w:r>
        <w:r>
          <w:rPr>
            <w:noProof/>
          </w:rPr>
          <w:fldChar w:fldCharType="end"/>
        </w:r>
      </w:p>
    </w:sdtContent>
  </w:sdt>
  <w:p w:rsidR="0064188A" w:rsidRDefault="00641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923" w:rsidRDefault="00385923" w:rsidP="00843868">
      <w:pPr>
        <w:spacing w:after="0" w:line="240" w:lineRule="auto"/>
      </w:pPr>
      <w:r>
        <w:separator/>
      </w:r>
    </w:p>
  </w:footnote>
  <w:footnote w:type="continuationSeparator" w:id="0">
    <w:p w:rsidR="00385923" w:rsidRDefault="00385923"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26C6"/>
    <w:rsid w:val="00062B51"/>
    <w:rsid w:val="00063AB9"/>
    <w:rsid w:val="00074210"/>
    <w:rsid w:val="00076A89"/>
    <w:rsid w:val="00084F4A"/>
    <w:rsid w:val="00090547"/>
    <w:rsid w:val="000C76D7"/>
    <w:rsid w:val="000D0043"/>
    <w:rsid w:val="000D28AB"/>
    <w:rsid w:val="000F49A4"/>
    <w:rsid w:val="00103881"/>
    <w:rsid w:val="001256FA"/>
    <w:rsid w:val="00127524"/>
    <w:rsid w:val="00144560"/>
    <w:rsid w:val="0015159E"/>
    <w:rsid w:val="0015167B"/>
    <w:rsid w:val="00152913"/>
    <w:rsid w:val="00155473"/>
    <w:rsid w:val="00167E59"/>
    <w:rsid w:val="001701B7"/>
    <w:rsid w:val="00180C1C"/>
    <w:rsid w:val="00180FFA"/>
    <w:rsid w:val="001924BA"/>
    <w:rsid w:val="001A006F"/>
    <w:rsid w:val="001A1307"/>
    <w:rsid w:val="001B569A"/>
    <w:rsid w:val="001C22E2"/>
    <w:rsid w:val="001C741E"/>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26802"/>
    <w:rsid w:val="00330ADA"/>
    <w:rsid w:val="00333488"/>
    <w:rsid w:val="00336D04"/>
    <w:rsid w:val="0035675E"/>
    <w:rsid w:val="00357E95"/>
    <w:rsid w:val="00363825"/>
    <w:rsid w:val="003650BD"/>
    <w:rsid w:val="00373238"/>
    <w:rsid w:val="0037407B"/>
    <w:rsid w:val="0038332A"/>
    <w:rsid w:val="00383EBD"/>
    <w:rsid w:val="00385923"/>
    <w:rsid w:val="00390D5B"/>
    <w:rsid w:val="0039295E"/>
    <w:rsid w:val="003A76F9"/>
    <w:rsid w:val="003C61F9"/>
    <w:rsid w:val="003D267E"/>
    <w:rsid w:val="003D5EAE"/>
    <w:rsid w:val="003E62D4"/>
    <w:rsid w:val="003F234A"/>
    <w:rsid w:val="003F4DB8"/>
    <w:rsid w:val="0041607C"/>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793"/>
    <w:rsid w:val="00525B09"/>
    <w:rsid w:val="005262D0"/>
    <w:rsid w:val="0053220C"/>
    <w:rsid w:val="005403B9"/>
    <w:rsid w:val="00544188"/>
    <w:rsid w:val="00544E74"/>
    <w:rsid w:val="0054719D"/>
    <w:rsid w:val="00547FCC"/>
    <w:rsid w:val="00562CD7"/>
    <w:rsid w:val="00585CB9"/>
    <w:rsid w:val="00592400"/>
    <w:rsid w:val="00597577"/>
    <w:rsid w:val="005B51A6"/>
    <w:rsid w:val="005B5912"/>
    <w:rsid w:val="005C04B4"/>
    <w:rsid w:val="005C12CA"/>
    <w:rsid w:val="005D6A01"/>
    <w:rsid w:val="005E3183"/>
    <w:rsid w:val="00604D50"/>
    <w:rsid w:val="00604F99"/>
    <w:rsid w:val="00611998"/>
    <w:rsid w:val="00634199"/>
    <w:rsid w:val="0064188A"/>
    <w:rsid w:val="00646CC3"/>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28AC"/>
    <w:rsid w:val="006E393E"/>
    <w:rsid w:val="006E50C8"/>
    <w:rsid w:val="006F694D"/>
    <w:rsid w:val="006F79C5"/>
    <w:rsid w:val="00704B5F"/>
    <w:rsid w:val="007237BA"/>
    <w:rsid w:val="00733F41"/>
    <w:rsid w:val="0074233F"/>
    <w:rsid w:val="007518F5"/>
    <w:rsid w:val="00753D7B"/>
    <w:rsid w:val="00757421"/>
    <w:rsid w:val="00760FD0"/>
    <w:rsid w:val="00762BDF"/>
    <w:rsid w:val="00763745"/>
    <w:rsid w:val="007767A2"/>
    <w:rsid w:val="00780233"/>
    <w:rsid w:val="007866BC"/>
    <w:rsid w:val="00793892"/>
    <w:rsid w:val="007A1D5D"/>
    <w:rsid w:val="007A4682"/>
    <w:rsid w:val="007B5157"/>
    <w:rsid w:val="007B52B3"/>
    <w:rsid w:val="007C1686"/>
    <w:rsid w:val="007C55BB"/>
    <w:rsid w:val="007C7108"/>
    <w:rsid w:val="007D3290"/>
    <w:rsid w:val="007D487D"/>
    <w:rsid w:val="007E20A1"/>
    <w:rsid w:val="007E2AF9"/>
    <w:rsid w:val="007F3A38"/>
    <w:rsid w:val="008164C2"/>
    <w:rsid w:val="00835A98"/>
    <w:rsid w:val="00842580"/>
    <w:rsid w:val="00843868"/>
    <w:rsid w:val="00844DCE"/>
    <w:rsid w:val="00850EFC"/>
    <w:rsid w:val="0086180D"/>
    <w:rsid w:val="0087458D"/>
    <w:rsid w:val="00877D18"/>
    <w:rsid w:val="00892D63"/>
    <w:rsid w:val="0089737A"/>
    <w:rsid w:val="008A3FF1"/>
    <w:rsid w:val="008B75EC"/>
    <w:rsid w:val="008F3B8C"/>
    <w:rsid w:val="0090212F"/>
    <w:rsid w:val="00910A5C"/>
    <w:rsid w:val="00937A05"/>
    <w:rsid w:val="00945042"/>
    <w:rsid w:val="009C60FF"/>
    <w:rsid w:val="009D3297"/>
    <w:rsid w:val="009E25B0"/>
    <w:rsid w:val="00A10BE5"/>
    <w:rsid w:val="00A15484"/>
    <w:rsid w:val="00A255E2"/>
    <w:rsid w:val="00A37A2B"/>
    <w:rsid w:val="00A461DD"/>
    <w:rsid w:val="00A5669B"/>
    <w:rsid w:val="00A630CF"/>
    <w:rsid w:val="00A632B1"/>
    <w:rsid w:val="00A67653"/>
    <w:rsid w:val="00A75828"/>
    <w:rsid w:val="00A8345F"/>
    <w:rsid w:val="00A9339A"/>
    <w:rsid w:val="00A96231"/>
    <w:rsid w:val="00A97C3E"/>
    <w:rsid w:val="00AB58D4"/>
    <w:rsid w:val="00AC177B"/>
    <w:rsid w:val="00AE36F4"/>
    <w:rsid w:val="00AF2A83"/>
    <w:rsid w:val="00B06F97"/>
    <w:rsid w:val="00B078DD"/>
    <w:rsid w:val="00B24B0D"/>
    <w:rsid w:val="00B32B51"/>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6602B"/>
    <w:rsid w:val="00DA2E94"/>
    <w:rsid w:val="00DA46A6"/>
    <w:rsid w:val="00DB37B6"/>
    <w:rsid w:val="00DB5DC1"/>
    <w:rsid w:val="00DB70BB"/>
    <w:rsid w:val="00DC2FC4"/>
    <w:rsid w:val="00DC6D9E"/>
    <w:rsid w:val="00DC7290"/>
    <w:rsid w:val="00DC7AAC"/>
    <w:rsid w:val="00DD0E7B"/>
    <w:rsid w:val="00DD1189"/>
    <w:rsid w:val="00DE00C5"/>
    <w:rsid w:val="00DE3B2E"/>
    <w:rsid w:val="00E01A3D"/>
    <w:rsid w:val="00E20F51"/>
    <w:rsid w:val="00E328E1"/>
    <w:rsid w:val="00E32C9B"/>
    <w:rsid w:val="00E36C46"/>
    <w:rsid w:val="00E51535"/>
    <w:rsid w:val="00E71817"/>
    <w:rsid w:val="00E838DB"/>
    <w:rsid w:val="00E83E36"/>
    <w:rsid w:val="00E95414"/>
    <w:rsid w:val="00E961A7"/>
    <w:rsid w:val="00EA04CD"/>
    <w:rsid w:val="00EB210C"/>
    <w:rsid w:val="00EE087D"/>
    <w:rsid w:val="00EF1865"/>
    <w:rsid w:val="00EF7545"/>
    <w:rsid w:val="00F048DA"/>
    <w:rsid w:val="00F10B98"/>
    <w:rsid w:val="00F242FA"/>
    <w:rsid w:val="00F316CA"/>
    <w:rsid w:val="00F3298F"/>
    <w:rsid w:val="00F46C01"/>
    <w:rsid w:val="00F46D3D"/>
    <w:rsid w:val="00F560A5"/>
    <w:rsid w:val="00F6657B"/>
    <w:rsid w:val="00F82373"/>
    <w:rsid w:val="00F838FF"/>
    <w:rsid w:val="00F9663C"/>
    <w:rsid w:val="00FA2BD1"/>
    <w:rsid w:val="00FA6983"/>
    <w:rsid w:val="00FB0752"/>
    <w:rsid w:val="00FB793F"/>
    <w:rsid w:val="00FC090E"/>
    <w:rsid w:val="00FC6134"/>
    <w:rsid w:val="00FD60BB"/>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3B"/>
    <w:rsid w:val="0070483B"/>
    <w:rsid w:val="00C12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DFBD1-B913-4DF3-8054-0B3177EB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33964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2013-11-06T18:37:00Z</dcterms:created>
  <dcterms:modified xsi:type="dcterms:W3CDTF">2013-11-06T18:39:00Z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Recent Style Name 0_1">
    <vt:lpwstr>American Psychological Association 6th Edition</vt:lpwstr>
  </property>
  <property fmtid="{D5CDD505-2E9C-101B-9397-08002B2CF9AE}" pid="5" name="Mendeley Recent Style Id 0_1">
    <vt:lpwstr>http://www.zotero.org/styles/apa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BMJ</vt:lpwstr>
  </property>
  <property fmtid="{D5CDD505-2E9C-101B-9397-08002B2CF9AE}" pid="9" name="Mendeley Recent Style Id 2_1">
    <vt:lpwstr>http://www.zotero.org/styles/bmj</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Environment and Planning A</vt:lpwstr>
  </property>
  <property fmtid="{D5CDD505-2E9C-101B-9397-08002B2CF9AE}" pid="13" name="Mendeley Recent Style Id 4_1">
    <vt:lpwstr>http://www.zotero.org/styles/environment-and-planning-a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International Journal of Epidemiology</vt:lpwstr>
  </property>
  <property fmtid="{D5CDD505-2E9C-101B-9397-08002B2CF9AE}" pid="19" name="Mendeley Recent Style Id 7_1">
    <vt:lpwstr>http://www.zotero.org/styles/international-journal-of-epidemiology</vt:lpwstr>
  </property>
  <property fmtid="{D5CDD505-2E9C-101B-9397-08002B2CF9AE}" pid="20" name="Mendeley Recent Style Name 8_1">
    <vt:lpwstr>Modern Humanities Research Association (note with bibliography)</vt:lpwstr>
  </property>
  <property fmtid="{D5CDD505-2E9C-101B-9397-08002B2CF9AE}" pid="21" name="Mendeley Recent Style Id 8_1">
    <vt:lpwstr>http://www.zotero.org/styles/mhra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