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w:t>
      </w:r>
      <w:commentRangeStart w:id="0"/>
      <w:r>
        <w:t xml:space="preserve">simulation-based approach </w:t>
      </w:r>
      <w:r w:rsidR="00090547">
        <w:t xml:space="preserve">for mapping utility scores </w:t>
      </w:r>
      <w:commentRangeEnd w:id="0"/>
      <w:r w:rsidR="00CA0AD2">
        <w:rPr>
          <w:rStyle w:val="CommentReference"/>
        </w:rPr>
        <w:commentReference w:id="0"/>
      </w:r>
      <w:r w:rsidR="00090547">
        <w:t>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p>
    <w:p w:rsidR="002A4372"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F6657B">
        <w:fldChar w:fldCharType="begin" w:fldLock="1"/>
      </w:r>
      <w:r w:rsidR="00F6657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6657B">
        <w:fldChar w:fldCharType="separate"/>
      </w:r>
      <w:r w:rsidR="00F6657B" w:rsidRPr="00F6657B">
        <w:rPr>
          <w:noProof/>
        </w:rPr>
        <w:t>(1)</w:t>
      </w:r>
      <w:r w:rsidR="00F6657B">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CA0AD2">
        <w:t>The method described was developed when trying to build a model of the consequences of prescribing oral anticoagulants (OACs) in the management of atrial fibrillation</w:t>
      </w:r>
      <w:r w:rsidR="005D6A01">
        <w:t xml:space="preserve"> (AF)</w:t>
      </w:r>
      <w:r w:rsidR="00CA0AD2">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is the </w:t>
      </w:r>
      <w:r w:rsidRPr="007A1D5D">
        <w:t>mean utilities associated with each of the larger number of 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on </w:t>
      </w:r>
      <w:r w:rsidRPr="007A1D5D">
        <w:t xml:space="preserve">the distribution of patients in each of these categories.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w:t>
      </w:r>
      <w:r w:rsidRPr="007A1D5D">
        <w:lastRenderedPageBreak/>
        <w:t xml:space="preserve">examples, the first two pieces of information were provided in a previous </w:t>
      </w:r>
      <w:r w:rsidR="00585CB9">
        <w:t xml:space="preserve">paper published in MDM in 2010.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fldChar w:fldCharType="begin" w:fldLock="1"/>
      </w:r>
      <w:r>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fldChar w:fldCharType="separate"/>
      </w:r>
      <w:r w:rsidRPr="00F6657B">
        <w:rPr>
          <w:noProof/>
        </w:rPr>
        <w:t>(2)</w:t>
      </w:r>
      <w:r>
        <w:fldChar w:fldCharType="end"/>
      </w:r>
      <w:r>
        <w:t>, and originally based on a 1957 paper by J Rankin.</w:t>
      </w:r>
      <w:r>
        <w:fldChar w:fldCharType="begin" w:fldLock="1"/>
      </w:r>
      <w:r>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fldChar w:fldCharType="separate"/>
      </w:r>
      <w:r w:rsidRPr="00F6657B">
        <w:rPr>
          <w:noProof/>
        </w:rPr>
        <w:t>(3)</w:t>
      </w:r>
      <w:r>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fldChar w:fldCharType="begin" w:fldLock="1"/>
      </w:r>
      <w:r>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fldChar w:fldCharType="separate"/>
      </w:r>
      <w:r w:rsidRPr="00F6657B">
        <w:rPr>
          <w:noProof/>
        </w:rPr>
        <w:t>(4)</w:t>
      </w:r>
      <w:r>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proofErr w:type="gramStart"/>
      <w:r w:rsidR="00BE67CC">
        <w:t>mRS</w:t>
      </w:r>
      <w:proofErr w:type="spellEnd"/>
      <w:proofErr w:type="gramEnd"/>
      <w:r w:rsidR="00BE67CC">
        <w:t xml:space="preserve"> scores following the stroke was graded according to the modified Rankin Scale (</w:t>
      </w:r>
      <w:proofErr w:type="spellStart"/>
      <w:r w:rsidR="00BE67CC">
        <w:t>mRS</w:t>
      </w:r>
      <w:proofErr w:type="spellEnd"/>
      <w:r w:rsidR="00BE67CC">
        <w:t xml:space="preserve">) 24 months after the event in 425 patients. For simplicity this 24 month state is assumed to be the patient’s long-term condition, and the patients for whom </w:t>
      </w:r>
      <w:proofErr w:type="spellStart"/>
      <w:proofErr w:type="gramStart"/>
      <w:r w:rsidR="00BE67CC">
        <w:t>mRS</w:t>
      </w:r>
      <w:proofErr w:type="spellEnd"/>
      <w:proofErr w:type="gramEnd"/>
      <w:r w:rsidR="00BE67CC">
        <w:t xml:space="preserve"> outcomes were reported were assumed to be representative of those for whom the data were not collected. The ordinary least squares (OLS) based mean estimates for the utility associated with each state, combined with the standard deviations around these mean estimates, were also reported.</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585CB9">
        <w:fldChar w:fldCharType="begin"/>
      </w:r>
      <w:r w:rsidR="00585CB9">
        <w:instrText xml:space="preserve"> REF _Ref331416679 \h </w:instrText>
      </w:r>
      <w:r w:rsidR="00585CB9">
        <w:fldChar w:fldCharType="separate"/>
      </w:r>
      <w:r w:rsidR="00585CB9">
        <w:t xml:space="preserve">Table </w:t>
      </w:r>
      <w:r w:rsidR="00585CB9">
        <w:rPr>
          <w:noProof/>
        </w:rPr>
        <w:t>1</w:t>
      </w:r>
      <w:r w:rsidR="00585CB9">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BE67CC" w:rsidRPr="00CB5AB2" w:rsidRDefault="00585CB9" w:rsidP="00CB5AB2">
      <w:pPr>
        <w:spacing w:line="360" w:lineRule="auto"/>
        <w:jc w:val="both"/>
        <w:rPr>
          <w:highlight w:val="yellow"/>
        </w:rPr>
      </w:pPr>
      <w:r>
        <w:lastRenderedPageBreak/>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1D724A"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rsidR="00333488">
        <w:fldChar w:fldCharType="begin"/>
      </w:r>
      <w:r w:rsidR="00333488">
        <w:instrText xml:space="preserve"> REF _Ref336007551 \h </w:instrText>
      </w:r>
      <w:r w:rsidR="00333488">
        <w:fldChar w:fldCharType="separate"/>
      </w:r>
      <w:r w:rsidR="00333488">
        <w:t xml:space="preserve">Figure </w:t>
      </w:r>
      <w:r w:rsidR="00333488">
        <w:rPr>
          <w:noProof/>
        </w:rPr>
        <w:t>2</w:t>
      </w:r>
      <w:r w:rsidR="00333488">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table 1 of the source paper. In the first stage (Node 1 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6849D8" w:rsidRPr="0022085B">
        <w:fldChar w:fldCharType="begin"/>
      </w:r>
      <w:r w:rsidR="006849D8" w:rsidRPr="0022085B">
        <w:instrText xml:space="preserve"> REF _Ref331400926 \h </w:instrText>
      </w:r>
      <w:r w:rsidR="006849D8">
        <w:instrText xml:space="preserve"> \* MERGEFORMAT </w:instrText>
      </w:r>
      <w:r w:rsidR="006849D8" w:rsidRPr="0022085B">
        <w:fldChar w:fldCharType="separate"/>
      </w:r>
      <w:r w:rsidR="006849D8">
        <w:t>Figure 1</w:t>
      </w:r>
      <w:r w:rsidR="006849D8" w:rsidRPr="0022085B">
        <w:fldChar w:fldCharType="end"/>
      </w:r>
      <w:r w:rsidR="006849D8" w:rsidRPr="0022085B">
        <w:t xml:space="preserve"> and </w:t>
      </w:r>
      <w:r w:rsidR="006849D8" w:rsidRPr="0022085B">
        <w:fldChar w:fldCharType="begin"/>
      </w:r>
      <w:r w:rsidR="006849D8" w:rsidRPr="0022085B">
        <w:instrText xml:space="preserve"> REF _Ref336007551 \h </w:instrText>
      </w:r>
      <w:r w:rsidR="006849D8">
        <w:instrText xml:space="preserve"> \* MERGEFORMAT </w:instrText>
      </w:r>
      <w:r w:rsidR="006849D8" w:rsidRPr="0022085B">
        <w:fldChar w:fldCharType="separate"/>
      </w:r>
      <w:r w:rsidR="006849D8">
        <w:t>Figure 2</w:t>
      </w:r>
      <w:r w:rsidR="006849D8" w:rsidRPr="0022085B">
        <w:fldChar w:fldCharType="end"/>
      </w:r>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samples to produce,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table 1 of the source paper.</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r>
        <w:t xml:space="preserve">Table 3 of the source paper presents mean EQ-5D utility values and standard errors associated with each </w:t>
      </w:r>
      <w:proofErr w:type="spellStart"/>
      <w:proofErr w:type="gramStart"/>
      <w:r>
        <w:t>mRS</w:t>
      </w:r>
      <w:proofErr w:type="spellEnd"/>
      <w:proofErr w:type="gramEnd"/>
      <w:r>
        <w:t xml:space="preserve"> state. These values were use</w:t>
      </w:r>
      <w:r w:rsidR="00835A98">
        <w:t xml:space="preserve">d to produce a large number of simulated values of the mean values of the utility of each state, by assuming that the utility estimates each followed a normal distribution. This process allows parameter uncertainty at this stage to be propagated through to later stages rather than disregarded. 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lastRenderedPageBreak/>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pPr>
      <w:r>
        <w:t xml:space="preserve">Where </w:t>
      </w:r>
      <w:r w:rsidR="00C6302C">
        <w:t xml:space="preserve">0.545 is the mean utility reported in table 3 of the source paper for this </w:t>
      </w:r>
      <w:proofErr w:type="spellStart"/>
      <w:proofErr w:type="gramStart"/>
      <w:r w:rsidR="00C6302C">
        <w:t>mRS</w:t>
      </w:r>
      <w:proofErr w:type="spellEnd"/>
      <w:proofErr w:type="gramEnd"/>
      <w:r w:rsidR="00C6302C">
        <w:t xml:space="preserve"> state, and 0.277 is the standard error reported. The simulated values for the other </w:t>
      </w:r>
      <w:proofErr w:type="spellStart"/>
      <w:proofErr w:type="gramStart"/>
      <w:r w:rsidR="00C6302C">
        <w:t>mRS</w:t>
      </w:r>
      <w:proofErr w:type="spellEnd"/>
      <w:proofErr w:type="gramEnd"/>
      <w:r w:rsidR="00C6302C">
        <w:t xml:space="preserve"> states are produced similarly.</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utility values themselves were used [reason why we did this]. To turn the utility simulations into utility multipliers</w:t>
      </w:r>
      <w:r w:rsidR="004660DC">
        <w:t xml:space="preserve"> (indicated in node 5 of </w:t>
      </w:r>
      <w:r w:rsidR="004660DC" w:rsidRPr="0022085B">
        <w:t xml:space="preserve">both </w:t>
      </w:r>
      <w:r w:rsidR="004660DC" w:rsidRPr="0022085B">
        <w:fldChar w:fldCharType="begin"/>
      </w:r>
      <w:r w:rsidR="004660DC" w:rsidRPr="0022085B">
        <w:instrText xml:space="preserve"> REF _Ref331400926 \h </w:instrText>
      </w:r>
      <w:r w:rsidR="004660DC">
        <w:instrText xml:space="preserve"> \* MERGEFORMAT </w:instrText>
      </w:r>
      <w:r w:rsidR="004660DC" w:rsidRPr="0022085B">
        <w:fldChar w:fldCharType="separate"/>
      </w:r>
      <w:r w:rsidR="004660DC">
        <w:t>Figure 1</w:t>
      </w:r>
      <w:r w:rsidR="004660DC" w:rsidRPr="0022085B">
        <w:fldChar w:fldCharType="end"/>
      </w:r>
      <w:r w:rsidR="004660DC" w:rsidRPr="0022085B">
        <w:t xml:space="preserve"> and </w:t>
      </w:r>
      <w:r w:rsidR="004660DC" w:rsidRPr="0022085B">
        <w:fldChar w:fldCharType="begin"/>
      </w:r>
      <w:r w:rsidR="004660DC" w:rsidRPr="0022085B">
        <w:instrText xml:space="preserve"> REF _Ref336007551 \h </w:instrText>
      </w:r>
      <w:r w:rsidR="004660DC">
        <w:instrText xml:space="preserve"> \* MERGEFORMAT </w:instrText>
      </w:r>
      <w:r w:rsidR="004660DC" w:rsidRPr="0022085B">
        <w:fldChar w:fldCharType="separate"/>
      </w:r>
      <w:r w:rsidR="004660DC">
        <w:t>Figure 2</w:t>
      </w:r>
      <w:r w:rsidR="004660DC" w:rsidRPr="0022085B">
        <w:fldChar w:fldCharType="end"/>
      </w:r>
      <w:r w:rsidR="004660DC">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distribution. Because </w:t>
      </w:r>
      <w:r>
        <w:t xml:space="preserve">R is a vector based language, the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the independent state category </w:t>
      </w:r>
      <w:r w:rsidR="00CC6261">
        <w:t xml:space="preserve">(Node 4a) </w:t>
      </w:r>
      <w:r>
        <w:t xml:space="preserve">is comprised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xml:space="preserve">, and the dependent state category is comprised of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 It would also be wrong to disregard parameter uncertainty due to the finite sample size on which these estimates are based</w:t>
      </w:r>
      <w:r w:rsidR="00CC6261">
        <w:t xml:space="preserve">. To address both of these concerns, the component states were dynamically reweighted in the collapsed states for each of the </w:t>
      </w:r>
      <w:proofErr w:type="spellStart"/>
      <w:r w:rsidR="00CC6261">
        <w:t>Dirichlet</w:t>
      </w:r>
      <w:proofErr w:type="spellEnd"/>
      <w:r w:rsidR="00CC6261">
        <w:t xml:space="preserve"> draws produced and stored previously (Nodes 2a and 3a of </w:t>
      </w:r>
      <w:r w:rsidR="00CC6261" w:rsidRPr="0022085B">
        <w:fldChar w:fldCharType="begin"/>
      </w:r>
      <w:r w:rsidR="00CC6261" w:rsidRPr="0022085B">
        <w:instrText xml:space="preserve"> REF _Ref331400926 \h </w:instrText>
      </w:r>
      <w:r w:rsidR="00CC6261">
        <w:instrText xml:space="preserve"> \* MERGEFORMAT </w:instrText>
      </w:r>
      <w:r w:rsidR="00CC6261" w:rsidRPr="0022085B">
        <w:fldChar w:fldCharType="separate"/>
      </w:r>
      <w:r w:rsidR="00CC6261">
        <w:t>Figure 1</w:t>
      </w:r>
      <w:r w:rsidR="00CC6261" w:rsidRPr="0022085B">
        <w:fldChar w:fldCharType="end"/>
      </w:r>
      <w:r w:rsidR="00CC6261">
        <w:t xml:space="preserve">). This process is illustrated graphically for a single draw from the </w:t>
      </w:r>
      <w:proofErr w:type="spellStart"/>
      <w:r w:rsidR="00CC6261">
        <w:t>Dirichlet</w:t>
      </w:r>
      <w:proofErr w:type="spellEnd"/>
      <w:r w:rsidR="00CC6261">
        <w:t xml:space="preserve"> distribution in </w:t>
      </w:r>
      <w:r w:rsidR="00CC6261">
        <w:fldChar w:fldCharType="begin"/>
      </w:r>
      <w:r w:rsidR="00CC6261">
        <w:instrText xml:space="preserve"> REF _Ref336020267 \h </w:instrText>
      </w:r>
      <w:r w:rsidR="00CC6261">
        <w:fldChar w:fldCharType="separate"/>
      </w:r>
      <w:r w:rsidR="00CC6261">
        <w:t xml:space="preserve">Figure </w:t>
      </w:r>
      <w:r w:rsidR="00CC6261">
        <w:rPr>
          <w:noProof/>
        </w:rPr>
        <w:t>3</w:t>
      </w:r>
      <w:r w:rsidR="00CC6261">
        <w:fldChar w:fldCharType="end"/>
      </w:r>
      <w:r w:rsidR="00CC6261">
        <w:t xml:space="preserve">. </w:t>
      </w:r>
    </w:p>
    <w:p w:rsidR="00127524" w:rsidRDefault="00127524" w:rsidP="00127524">
      <w:pPr>
        <w:keepNext/>
      </w:pPr>
      <w:r>
        <w:rPr>
          <w:noProof/>
          <w:lang w:eastAsia="en-GB"/>
        </w:rPr>
        <w:lastRenderedPageBreak/>
        <w:drawing>
          <wp:inline distT="0" distB="0" distL="0" distR="0" wp14:anchorId="32958E27" wp14:editId="2E7B2BC3">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1" w:name="_Ref336020267"/>
      <w:r>
        <w:t xml:space="preserve">Figure </w:t>
      </w:r>
      <w:fldSimple w:instr=" SEQ Figure \* ARABIC ">
        <w:r>
          <w:rPr>
            <w:noProof/>
          </w:rPr>
          <w:t>3</w:t>
        </w:r>
      </w:fldSimple>
      <w:bookmarkEnd w:id="1"/>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r>
        <w:t xml:space="preserve">Within R the 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127524" w:rsidRDefault="00127524" w:rsidP="00127524">
      <w:pPr>
        <w:spacing w:line="360" w:lineRule="auto"/>
        <w:jc w:val="both"/>
      </w:pPr>
      <w:r>
        <w:t xml:space="preserve">Estimates of the relative proportion of each of the component </w:t>
      </w:r>
      <w:proofErr w:type="spellStart"/>
      <w:r>
        <w:t>mRS</w:t>
      </w:r>
      <w:proofErr w:type="spellEnd"/>
      <w:r>
        <w:t xml:space="preserve"> states in the collapsed states (Nodes 4a and 4b of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and of the utility multipliers associated with each of the </w:t>
      </w:r>
      <w:r w:rsidR="001F49C2">
        <w:t xml:space="preserve">component states, were combined to produce simulated distributions of the utility multipliers associated with Independent and Dependent stroke states. For the Independent state the </w:t>
      </w:r>
      <w:r>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Pr="00A9339A" w:rsidRDefault="00A9339A" w:rsidP="00A9339A">
      <w:pPr>
        <w:spacing w:line="360" w:lineRule="auto"/>
        <w:jc w:val="both"/>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A8345F" w:rsidRDefault="00CE0229" w:rsidP="00A8345F">
      <w:pPr>
        <w:pStyle w:val="Heading3"/>
      </w:pPr>
      <w:r>
        <w:t>Bootstrapping means from the collapsed distributions</w:t>
      </w:r>
    </w:p>
    <w:p w:rsidR="00CE0229" w:rsidRPr="00CE0229" w:rsidRDefault="00CE0229" w:rsidP="00CE0229">
      <w:pPr>
        <w:rPr>
          <w:lang w:val="en-US" w:bidi="en-US"/>
        </w:rPr>
      </w:pPr>
    </w:p>
    <w:p w:rsidR="00835A98" w:rsidRDefault="00CE0229" w:rsidP="00BE7232">
      <w:pPr>
        <w:spacing w:line="360" w:lineRule="auto"/>
        <w:jc w:val="both"/>
      </w:pPr>
      <w:r>
        <w:lastRenderedPageBreak/>
        <w:t xml:space="preserve">The weighted utilities produced at the previous iteration involve weighted mixtures of three component distributions, which as multipliers are each derived from the ratio of two distributions. The variance of these component distributions are affected by the variances of the standard errors reported </w:t>
      </w:r>
      <w:r w:rsidR="00BE7232">
        <w:t xml:space="preserve">in the source paper, which in turn depend on the number of observations at each </w:t>
      </w:r>
      <w:proofErr w:type="spellStart"/>
      <w:r w:rsidR="00BE7232">
        <w:t>mRS</w:t>
      </w:r>
      <w:proofErr w:type="spellEnd"/>
      <w:r w:rsidR="00BE7232">
        <w:t xml:space="preserve"> state. An implication of this is that, as the number of people in the most severe live </w:t>
      </w:r>
      <w:proofErr w:type="spellStart"/>
      <w:proofErr w:type="gramStart"/>
      <w:r w:rsidR="00BE7232">
        <w:t>mRS</w:t>
      </w:r>
      <w:proofErr w:type="spellEnd"/>
      <w:proofErr w:type="gramEnd"/>
      <w:r w:rsidR="00BE7232">
        <w:t xml:space="preserve"> state, </w:t>
      </w:r>
      <w:proofErr w:type="spellStart"/>
      <w:r w:rsidR="00BE7232">
        <w:t>mRS</w:t>
      </w:r>
      <w:proofErr w:type="spellEnd"/>
      <w:r w:rsidR="00BE7232">
        <w:t xml:space="preserve"> 5, is very small, the variance of the associated </w:t>
      </w:r>
      <w:proofErr w:type="spellStart"/>
      <w:r w:rsidR="00BE7232">
        <w:t>mRS</w:t>
      </w:r>
      <w:proofErr w:type="spellEnd"/>
      <w:r w:rsidR="00BE7232">
        <w:t xml:space="preserve"> 5 multiplier is very wide. 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In order to ensure that the process described produces plausible estimates, bootstrapped estimates of the means of the collapsed distributions, rather than the distributions themselves, were used within the PSA. </w:t>
      </w:r>
    </w:p>
    <w:p w:rsidR="006849D8" w:rsidRPr="006849D8" w:rsidRDefault="006849D8" w:rsidP="006849D8">
      <w:pPr>
        <w:rPr>
          <w:lang w:val="en-US" w:bidi="en-US"/>
        </w:rPr>
      </w:pP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14:anchorId="275C8963" wp14:editId="240F60CD">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1">
                      <a:extLst>
                        <a:ext uri="{28A0092B-C50C-407E-A947-70E740481C1C}">
                          <a14:useLocalDpi xmlns:a14="http://schemas.microsoft.com/office/drawing/2010/main"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2" w:name="_Ref331400926"/>
      <w:r>
        <w:t xml:space="preserve">Figure </w:t>
      </w:r>
      <w:fldSimple w:instr=" SEQ Figure \* ARABIC ">
        <w:r w:rsidR="00CC6261">
          <w:rPr>
            <w:noProof/>
          </w:rPr>
          <w:t>1</w:t>
        </w:r>
      </w:fldSimple>
      <w:bookmarkEnd w:id="2"/>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14:anchorId="7D015709" wp14:editId="3774E7CF">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2">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3" w:name="_Ref336007551"/>
      <w:commentRangeStart w:id="4"/>
      <w:r>
        <w:t xml:space="preserve">Figure </w:t>
      </w:r>
      <w:fldSimple w:instr=" SEQ Figure \* ARABIC ">
        <w:r w:rsidR="00CC6261">
          <w:rPr>
            <w:noProof/>
          </w:rPr>
          <w:t>2</w:t>
        </w:r>
      </w:fldSimple>
      <w:bookmarkEnd w:id="3"/>
      <w:r>
        <w:t xml:space="preserve"> Graphical representation of approach for mapping from </w:t>
      </w:r>
      <w:proofErr w:type="spellStart"/>
      <w:proofErr w:type="gramStart"/>
      <w:r>
        <w:t>mRS</w:t>
      </w:r>
      <w:proofErr w:type="spellEnd"/>
      <w:proofErr w:type="gramEnd"/>
      <w:r>
        <w:t xml:space="preserve"> states to GOS states</w:t>
      </w:r>
      <w:commentRangeEnd w:id="4"/>
      <w:r w:rsidR="00524B10">
        <w:rPr>
          <w:rStyle w:val="CommentReference"/>
          <w:b w:val="0"/>
          <w:bCs w:val="0"/>
          <w:color w:val="auto"/>
        </w:rPr>
        <w:commentReference w:id="4"/>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937A05" w:rsidRPr="00937A05" w:rsidRDefault="00937A05" w:rsidP="00937A05">
      <w:pPr>
        <w:rPr>
          <w:lang w:val="en-US" w:bidi="en-US"/>
        </w:rPr>
      </w:pPr>
      <w:r>
        <w:rPr>
          <w:lang w:val="en-US" w:bidi="en-US"/>
        </w:rPr>
        <w:t xml:space="preserve">The following section shows first the simulated proportion and mean simulated utility in the three state </w:t>
      </w:r>
      <w:proofErr w:type="gramStart"/>
      <w:r>
        <w:rPr>
          <w:lang w:val="en-US" w:bidi="en-US"/>
        </w:rPr>
        <w:t>example</w:t>
      </w:r>
      <w:proofErr w:type="gramEnd"/>
      <w:r>
        <w:rPr>
          <w:lang w:val="en-US" w:bidi="en-US"/>
        </w:rPr>
        <w:t xml:space="preserve"> (dead, independent state, and dependent state) and the GOS example. </w:t>
      </w:r>
    </w:p>
    <w:p w:rsidR="000D28AB" w:rsidRDefault="00937A05" w:rsidP="000D28AB">
      <w:pPr>
        <w:pStyle w:val="Heading3"/>
      </w:pPr>
      <w:r>
        <w:t>Results for three state simulation</w:t>
      </w:r>
    </w:p>
    <w:p w:rsidR="004F46C2" w:rsidRPr="00462BB1" w:rsidRDefault="00937A05" w:rsidP="004F46C2">
      <w:pPr>
        <w:spacing w:line="360" w:lineRule="auto"/>
        <w:jc w:val="both"/>
      </w:pPr>
      <w:r>
        <w:fldChar w:fldCharType="begin"/>
      </w:r>
      <w:r>
        <w:instrText xml:space="preserve"> REF _Ref336341764 \h </w:instrText>
      </w:r>
      <w:r>
        <w:fldChar w:fldCharType="separate"/>
      </w:r>
      <w:r>
        <w:t xml:space="preserve">Table </w:t>
      </w:r>
      <w:r>
        <w:rPr>
          <w:noProof/>
        </w:rPr>
        <w:t>1</w:t>
      </w:r>
      <w:r>
        <w:fldChar w:fldCharType="end"/>
      </w:r>
      <w:r>
        <w:t xml:space="preserve"> </w:t>
      </w:r>
      <w:r w:rsidR="00F316CA">
        <w:t xml:space="preserve">below shows </w:t>
      </w:r>
      <w:r>
        <w:t xml:space="preserve">the mean simulated proportions in the dead, independent and dependent stroke state, together with 95% credible intervals (95%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tbl>
      <w:tblPr>
        <w:tblStyle w:val="TableGrid"/>
        <w:tblW w:w="0" w:type="auto"/>
        <w:tblLook w:val="04A0" w:firstRow="1" w:lastRow="0" w:firstColumn="1" w:lastColumn="0" w:noHBand="0" w:noVBand="1"/>
      </w:tblPr>
      <w:tblGrid>
        <w:gridCol w:w="1263"/>
        <w:gridCol w:w="2247"/>
        <w:gridCol w:w="2127"/>
      </w:tblGrid>
      <w:tr w:rsidR="002007C5" w:rsidTr="00937A05">
        <w:tc>
          <w:tcPr>
            <w:tcW w:w="1263" w:type="dxa"/>
          </w:tcPr>
          <w:p w:rsidR="002007C5" w:rsidRDefault="002007C5" w:rsidP="00E83E36">
            <w:pPr>
              <w:keepNext/>
              <w:spacing w:line="360" w:lineRule="auto"/>
              <w:jc w:val="both"/>
            </w:pPr>
          </w:p>
        </w:tc>
        <w:tc>
          <w:tcPr>
            <w:tcW w:w="2247" w:type="dxa"/>
          </w:tcPr>
          <w:p w:rsidR="00937A05" w:rsidRDefault="00937A05" w:rsidP="00E83E36">
            <w:pPr>
              <w:keepNext/>
              <w:spacing w:line="360" w:lineRule="auto"/>
              <w:jc w:val="both"/>
            </w:pPr>
            <w:r>
              <w:t>Proportion</w:t>
            </w:r>
          </w:p>
          <w:p w:rsidR="002007C5" w:rsidRDefault="002007C5" w:rsidP="00E83E36">
            <w:pPr>
              <w:keepNext/>
              <w:spacing w:line="360" w:lineRule="auto"/>
              <w:jc w:val="both"/>
            </w:pPr>
            <w:r>
              <w:t xml:space="preserve">Mean (95% </w:t>
            </w:r>
            <w:proofErr w:type="spellStart"/>
            <w:r>
              <w:t>CrI</w:t>
            </w:r>
            <w:r w:rsidR="00937A05">
              <w:t>s</w:t>
            </w:r>
            <w:proofErr w:type="spellEnd"/>
            <w:r>
              <w:t>)</w:t>
            </w:r>
          </w:p>
        </w:tc>
        <w:tc>
          <w:tcPr>
            <w:tcW w:w="2127" w:type="dxa"/>
          </w:tcPr>
          <w:p w:rsidR="00937A05" w:rsidRDefault="002007C5" w:rsidP="00E83E36">
            <w:pPr>
              <w:keepNext/>
              <w:spacing w:line="360" w:lineRule="auto"/>
              <w:jc w:val="both"/>
            </w:pPr>
            <w:r>
              <w:t>Utility Multiplier</w:t>
            </w:r>
            <w:r w:rsidR="00937A05">
              <w:t xml:space="preserve"> </w:t>
            </w:r>
          </w:p>
          <w:p w:rsidR="002007C5" w:rsidRDefault="00937A05" w:rsidP="00E83E36">
            <w:pPr>
              <w:keepNext/>
              <w:spacing w:line="360" w:lineRule="auto"/>
              <w:jc w:val="both"/>
            </w:pPr>
            <w:r>
              <w:t xml:space="preserve">Mean (95% </w:t>
            </w:r>
            <w:proofErr w:type="spellStart"/>
            <w:r>
              <w:t>CrIs</w:t>
            </w:r>
            <w:proofErr w:type="spellEnd"/>
            <w:r>
              <w:t>)</w:t>
            </w:r>
          </w:p>
        </w:tc>
      </w:tr>
      <w:tr w:rsidR="002007C5" w:rsidTr="00937A05">
        <w:tc>
          <w:tcPr>
            <w:tcW w:w="1263" w:type="dxa"/>
          </w:tcPr>
          <w:p w:rsidR="002007C5" w:rsidRDefault="002007C5" w:rsidP="00E83E36">
            <w:pPr>
              <w:keepNext/>
              <w:spacing w:line="360" w:lineRule="auto"/>
              <w:jc w:val="both"/>
            </w:pPr>
            <w:r>
              <w:t>Dead</w:t>
            </w:r>
          </w:p>
        </w:tc>
        <w:tc>
          <w:tcPr>
            <w:tcW w:w="2247" w:type="dxa"/>
          </w:tcPr>
          <w:p w:rsidR="002007C5" w:rsidRDefault="002007C5" w:rsidP="00E83E36">
            <w:pPr>
              <w:keepNext/>
              <w:spacing w:line="360" w:lineRule="auto"/>
              <w:jc w:val="both"/>
            </w:pPr>
            <w:r>
              <w:t>0.249 (0.225 to 0.273)</w:t>
            </w:r>
          </w:p>
        </w:tc>
        <w:tc>
          <w:tcPr>
            <w:tcW w:w="2127" w:type="dxa"/>
          </w:tcPr>
          <w:p w:rsidR="002007C5" w:rsidRDefault="002007C5" w:rsidP="00E83E36">
            <w:pPr>
              <w:keepNext/>
              <w:spacing w:line="360" w:lineRule="auto"/>
              <w:jc w:val="both"/>
            </w:pPr>
            <w:r>
              <w:t>0</w:t>
            </w:r>
          </w:p>
        </w:tc>
      </w:tr>
      <w:tr w:rsidR="002007C5" w:rsidTr="00937A05">
        <w:tc>
          <w:tcPr>
            <w:tcW w:w="1263" w:type="dxa"/>
          </w:tcPr>
          <w:p w:rsidR="002007C5" w:rsidRDefault="002007C5" w:rsidP="00E83E36">
            <w:pPr>
              <w:keepNext/>
              <w:spacing w:line="360" w:lineRule="auto"/>
              <w:jc w:val="both"/>
            </w:pPr>
            <w:r>
              <w:t>Independent</w:t>
            </w:r>
          </w:p>
        </w:tc>
        <w:tc>
          <w:tcPr>
            <w:tcW w:w="2247" w:type="dxa"/>
          </w:tcPr>
          <w:p w:rsidR="002007C5" w:rsidRDefault="002007C5" w:rsidP="00E83E36">
            <w:pPr>
              <w:keepNext/>
              <w:spacing w:line="360" w:lineRule="auto"/>
              <w:jc w:val="both"/>
            </w:pPr>
            <w:r>
              <w:t>0.557 (0.520 to 0.592)</w:t>
            </w:r>
          </w:p>
        </w:tc>
        <w:tc>
          <w:tcPr>
            <w:tcW w:w="2127" w:type="dxa"/>
          </w:tcPr>
          <w:p w:rsidR="002007C5" w:rsidRDefault="00937A05" w:rsidP="00E83E36">
            <w:pPr>
              <w:keepNext/>
              <w:spacing w:line="360" w:lineRule="auto"/>
              <w:jc w:val="both"/>
            </w:pPr>
            <w:r>
              <w:t>0.823 (</w:t>
            </w:r>
            <w:r w:rsidR="002007C5">
              <w:t>0.821 to 0.826</w:t>
            </w:r>
            <w:r>
              <w:t>)</w:t>
            </w:r>
          </w:p>
        </w:tc>
      </w:tr>
      <w:tr w:rsidR="002007C5" w:rsidTr="00937A05">
        <w:tc>
          <w:tcPr>
            <w:tcW w:w="1263" w:type="dxa"/>
          </w:tcPr>
          <w:p w:rsidR="002007C5" w:rsidRDefault="002007C5" w:rsidP="00E83E36">
            <w:pPr>
              <w:keepNext/>
              <w:spacing w:line="360" w:lineRule="auto"/>
              <w:jc w:val="both"/>
            </w:pPr>
            <w:r>
              <w:t>Dependent</w:t>
            </w:r>
          </w:p>
        </w:tc>
        <w:tc>
          <w:tcPr>
            <w:tcW w:w="2247" w:type="dxa"/>
          </w:tcPr>
          <w:p w:rsidR="002007C5" w:rsidRDefault="002007C5" w:rsidP="002007C5">
            <w:pPr>
              <w:keepNext/>
              <w:spacing w:line="360" w:lineRule="auto"/>
              <w:jc w:val="both"/>
            </w:pPr>
            <w:r>
              <w:t>0.194 (0.164 to 0.228)</w:t>
            </w:r>
          </w:p>
        </w:tc>
        <w:tc>
          <w:tcPr>
            <w:tcW w:w="2127" w:type="dxa"/>
          </w:tcPr>
          <w:p w:rsidR="002007C5" w:rsidRDefault="00937A05" w:rsidP="00937A05">
            <w:pPr>
              <w:keepNext/>
              <w:spacing w:line="360" w:lineRule="auto"/>
              <w:jc w:val="both"/>
            </w:pPr>
            <w:r>
              <w:t>0.483 (</w:t>
            </w:r>
            <w:r w:rsidR="002007C5">
              <w:t>0.478 to 0.487</w:t>
            </w:r>
            <w:r>
              <w:t>)</w:t>
            </w:r>
          </w:p>
        </w:tc>
      </w:tr>
    </w:tbl>
    <w:p w:rsidR="00E83E36" w:rsidRDefault="00937A05" w:rsidP="00937A05">
      <w:pPr>
        <w:pStyle w:val="Caption"/>
      </w:pPr>
      <w:bookmarkStart w:id="5" w:name="_Ref336341764"/>
      <w:r>
        <w:t xml:space="preserve">Table </w:t>
      </w:r>
      <w:fldSimple w:instr=" SEQ Table \* ARABIC ">
        <w:r w:rsidR="00762BDF">
          <w:rPr>
            <w:noProof/>
          </w:rPr>
          <w:t>1</w:t>
        </w:r>
      </w:fldSimple>
      <w:bookmarkEnd w:id="5"/>
      <w:r>
        <w:t xml:space="preserve"> Mean simulated proportions dead, or in dependent state or independent state following a stroke, together with 95% credible intervals</w:t>
      </w:r>
    </w:p>
    <w:p w:rsidR="004F46C2" w:rsidRDefault="004F46C2" w:rsidP="00E83E36">
      <w:pPr>
        <w:pStyle w:val="Caption"/>
        <w:jc w:val="both"/>
      </w:pPr>
    </w:p>
    <w:p w:rsidR="006E393E" w:rsidRDefault="006E393E">
      <w:pPr>
        <w:rPr>
          <w:rFonts w:asciiTheme="majorHAnsi" w:eastAsiaTheme="majorEastAsia" w:hAnsiTheme="majorHAnsi" w:cstheme="majorBidi"/>
          <w:b/>
          <w:bCs/>
          <w:sz w:val="28"/>
          <w:szCs w:val="26"/>
          <w:lang w:val="en-US" w:bidi="en-US"/>
        </w:rPr>
      </w:pPr>
      <w:r>
        <w:br w:type="page"/>
      </w:r>
    </w:p>
    <w:p w:rsidR="00BF29D3" w:rsidRDefault="00BF29D3" w:rsidP="00BF29D3">
      <w:pPr>
        <w:pStyle w:val="Heading3"/>
      </w:pPr>
      <w:commentRangeStart w:id="6"/>
      <w:r>
        <w:lastRenderedPageBreak/>
        <w:t>Results for GOS simulation</w:t>
      </w:r>
      <w:commentRangeEnd w:id="6"/>
      <w:r w:rsidR="00762BDF">
        <w:rPr>
          <w:rStyle w:val="CommentReference"/>
          <w:rFonts w:asciiTheme="minorHAnsi" w:eastAsiaTheme="minorHAnsi" w:hAnsiTheme="minorHAnsi" w:cstheme="minorBidi"/>
          <w:b w:val="0"/>
          <w:bCs w:val="0"/>
          <w:lang w:val="en-GB" w:bidi="ar-SA"/>
        </w:rPr>
        <w:commentReference w:id="6"/>
      </w:r>
    </w:p>
    <w:p w:rsidR="00762BDF" w:rsidRDefault="00762BDF" w:rsidP="00E83E36">
      <w:pPr>
        <w:spacing w:line="360" w:lineRule="auto"/>
        <w:jc w:val="both"/>
      </w:pPr>
      <w:r>
        <w:t xml:space="preserve">The utility multipliers associated with different GOS states, based on the simulation approach described above, are shown in </w:t>
      </w:r>
      <w:r>
        <w:fldChar w:fldCharType="begin"/>
      </w:r>
      <w:r>
        <w:instrText xml:space="preserve"> REF _Ref336343433 \h </w:instrText>
      </w:r>
      <w:r>
        <w:fldChar w:fldCharType="separate"/>
      </w:r>
      <w:r>
        <w:t xml:space="preserve">Table </w:t>
      </w:r>
      <w:r>
        <w:rPr>
          <w:noProof/>
        </w:rPr>
        <w:t>2</w:t>
      </w:r>
      <w:r>
        <w:fldChar w:fldCharType="end"/>
      </w:r>
      <w:r>
        <w:t xml:space="preserve"> below. </w:t>
      </w:r>
      <w:r w:rsidR="00524B10">
        <w:t>The proportions in each GOS state are calculated separately using a different dataset. [</w:t>
      </w:r>
      <w:proofErr w:type="gramStart"/>
      <w:r w:rsidR="00524B10">
        <w:t>further</w:t>
      </w:r>
      <w:proofErr w:type="gramEnd"/>
      <w:r w:rsidR="00524B10">
        <w:t xml:space="preserve"> refs and details?]</w:t>
      </w:r>
    </w:p>
    <w:tbl>
      <w:tblPr>
        <w:tblStyle w:val="TableGrid"/>
        <w:tblW w:w="0" w:type="auto"/>
        <w:tblLook w:val="04A0" w:firstRow="1" w:lastRow="0" w:firstColumn="1" w:lastColumn="0" w:noHBand="0" w:noVBand="1"/>
      </w:tblPr>
      <w:tblGrid>
        <w:gridCol w:w="2518"/>
        <w:gridCol w:w="2552"/>
      </w:tblGrid>
      <w:tr w:rsidR="00762BDF" w:rsidTr="00762BDF">
        <w:tc>
          <w:tcPr>
            <w:tcW w:w="2518" w:type="dxa"/>
          </w:tcPr>
          <w:p w:rsidR="00762BDF" w:rsidRDefault="00762BDF" w:rsidP="00524B10">
            <w:pPr>
              <w:keepNext/>
              <w:spacing w:line="360" w:lineRule="auto"/>
              <w:jc w:val="both"/>
            </w:pPr>
            <w:r>
              <w:t xml:space="preserve">State </w:t>
            </w:r>
          </w:p>
        </w:tc>
        <w:tc>
          <w:tcPr>
            <w:tcW w:w="2552" w:type="dxa"/>
          </w:tcPr>
          <w:p w:rsidR="00762BDF" w:rsidRDefault="00762BDF" w:rsidP="00524B10">
            <w:pPr>
              <w:keepNext/>
              <w:spacing w:line="360" w:lineRule="auto"/>
              <w:jc w:val="both"/>
            </w:pPr>
            <w:r>
              <w:t xml:space="preserve">Utility Multiplier </w:t>
            </w:r>
          </w:p>
          <w:p w:rsidR="00762BDF" w:rsidRDefault="00762BDF" w:rsidP="00524B10">
            <w:pPr>
              <w:keepNext/>
              <w:spacing w:line="360" w:lineRule="auto"/>
              <w:jc w:val="both"/>
            </w:pPr>
            <w:r>
              <w:t xml:space="preserve">Mean (95% </w:t>
            </w:r>
            <w:proofErr w:type="spellStart"/>
            <w:r>
              <w:t>CrIs</w:t>
            </w:r>
            <w:proofErr w:type="spellEnd"/>
            <w:r>
              <w:t>)</w:t>
            </w:r>
          </w:p>
        </w:tc>
      </w:tr>
      <w:tr w:rsidR="00762BDF" w:rsidTr="00762BDF">
        <w:tc>
          <w:tcPr>
            <w:tcW w:w="2518" w:type="dxa"/>
          </w:tcPr>
          <w:p w:rsidR="00762BDF" w:rsidRDefault="00762BDF" w:rsidP="00524B10">
            <w:pPr>
              <w:keepNext/>
              <w:spacing w:line="360" w:lineRule="auto"/>
              <w:jc w:val="both"/>
            </w:pPr>
            <w:r>
              <w:t>GOS 1: Dead</w:t>
            </w:r>
          </w:p>
          <w:p w:rsidR="00762BDF" w:rsidRDefault="00762BDF" w:rsidP="00524B10">
            <w:pPr>
              <w:keepNext/>
              <w:spacing w:line="360" w:lineRule="auto"/>
              <w:jc w:val="both"/>
            </w:pPr>
            <w:r>
              <w:t xml:space="preserve">Or </w:t>
            </w:r>
          </w:p>
          <w:p w:rsidR="00762BDF" w:rsidRDefault="00762BDF" w:rsidP="00524B10">
            <w:pPr>
              <w:keepNext/>
              <w:spacing w:line="360" w:lineRule="auto"/>
              <w:jc w:val="both"/>
            </w:pPr>
            <w:r>
              <w:t>GOS 2: Vegetative State</w:t>
            </w:r>
          </w:p>
        </w:tc>
        <w:tc>
          <w:tcPr>
            <w:tcW w:w="2552" w:type="dxa"/>
          </w:tcPr>
          <w:p w:rsidR="00762BDF" w:rsidRDefault="00762BDF" w:rsidP="00524B10">
            <w:pPr>
              <w:keepNext/>
              <w:spacing w:line="360" w:lineRule="auto"/>
              <w:jc w:val="both"/>
            </w:pPr>
            <w:r>
              <w:t>0</w:t>
            </w:r>
          </w:p>
        </w:tc>
      </w:tr>
      <w:tr w:rsidR="00762BDF" w:rsidTr="00762BDF">
        <w:tc>
          <w:tcPr>
            <w:tcW w:w="2518" w:type="dxa"/>
          </w:tcPr>
          <w:p w:rsidR="00762BDF" w:rsidRDefault="00762BDF" w:rsidP="00524B10">
            <w:pPr>
              <w:keepNext/>
              <w:spacing w:line="360" w:lineRule="auto"/>
              <w:jc w:val="both"/>
            </w:pPr>
            <w:r>
              <w:t>GOS 3: Severely Disabled</w:t>
            </w:r>
          </w:p>
        </w:tc>
        <w:tc>
          <w:tcPr>
            <w:tcW w:w="2552" w:type="dxa"/>
          </w:tcPr>
          <w:p w:rsidR="00762BDF" w:rsidRDefault="00762BDF" w:rsidP="00762BDF">
            <w:pPr>
              <w:keepNext/>
              <w:spacing w:line="360" w:lineRule="auto"/>
              <w:jc w:val="both"/>
            </w:pPr>
            <w:r>
              <w:t>0.226 ( 0.221 to 0.231)</w:t>
            </w:r>
          </w:p>
        </w:tc>
      </w:tr>
      <w:tr w:rsidR="00762BDF" w:rsidTr="00762BDF">
        <w:tc>
          <w:tcPr>
            <w:tcW w:w="2518" w:type="dxa"/>
          </w:tcPr>
          <w:p w:rsidR="00762BDF" w:rsidRDefault="00762BDF" w:rsidP="00524B10">
            <w:pPr>
              <w:keepNext/>
              <w:spacing w:line="360" w:lineRule="auto"/>
              <w:jc w:val="both"/>
            </w:pPr>
            <w:r>
              <w:t>GOS 4: Moderately Disabled</w:t>
            </w:r>
          </w:p>
        </w:tc>
        <w:tc>
          <w:tcPr>
            <w:tcW w:w="2552" w:type="dxa"/>
          </w:tcPr>
          <w:p w:rsidR="00762BDF" w:rsidRDefault="00762BDF" w:rsidP="00762BDF">
            <w:pPr>
              <w:keepNext/>
              <w:spacing w:line="360" w:lineRule="auto"/>
              <w:jc w:val="both"/>
            </w:pPr>
            <w:r>
              <w:t>0.642 (0.638 to 0.645)</w:t>
            </w:r>
          </w:p>
        </w:tc>
      </w:tr>
      <w:tr w:rsidR="00762BDF" w:rsidTr="00762BDF">
        <w:tc>
          <w:tcPr>
            <w:tcW w:w="2518" w:type="dxa"/>
          </w:tcPr>
          <w:p w:rsidR="00762BDF" w:rsidRDefault="00762BDF" w:rsidP="00524B10">
            <w:pPr>
              <w:keepNext/>
              <w:spacing w:line="360" w:lineRule="auto"/>
              <w:jc w:val="both"/>
            </w:pPr>
            <w:r>
              <w:t>GOS 5: Good Recovery</w:t>
            </w:r>
          </w:p>
        </w:tc>
        <w:tc>
          <w:tcPr>
            <w:tcW w:w="2552" w:type="dxa"/>
          </w:tcPr>
          <w:p w:rsidR="00762BDF" w:rsidRDefault="00762BDF" w:rsidP="00762BDF">
            <w:pPr>
              <w:keepNext/>
              <w:spacing w:line="360" w:lineRule="auto"/>
              <w:jc w:val="both"/>
            </w:pPr>
            <w:r>
              <w:t xml:space="preserve">0.895 (0.892 to 0.898) </w:t>
            </w:r>
          </w:p>
        </w:tc>
      </w:tr>
    </w:tbl>
    <w:p w:rsidR="00762BDF" w:rsidRDefault="00762BDF" w:rsidP="00762BDF">
      <w:pPr>
        <w:pStyle w:val="Caption"/>
      </w:pPr>
      <w:bookmarkStart w:id="7" w:name="_Ref336343433"/>
      <w:r>
        <w:t xml:space="preserve">Table </w:t>
      </w:r>
      <w:fldSimple w:instr=" SEQ Table \* ARABIC ">
        <w:r>
          <w:rPr>
            <w:noProof/>
          </w:rPr>
          <w:t>2</w:t>
        </w:r>
      </w:fldSimple>
      <w:bookmarkEnd w:id="7"/>
      <w:r>
        <w:t xml:space="preserve"> Mean utility multipliers associated with different GOS states</w:t>
      </w:r>
    </w:p>
    <w:p w:rsidR="000D28AB" w:rsidRDefault="009E25B0" w:rsidP="000D28AB">
      <w:pPr>
        <w:pStyle w:val="Heading3"/>
      </w:pPr>
      <w:r>
        <w:t>Summary</w:t>
      </w:r>
    </w:p>
    <w:p w:rsidR="00524B10" w:rsidRPr="00524B10" w:rsidRDefault="00524B10" w:rsidP="00524B10">
      <w:pPr>
        <w:rPr>
          <w:lang w:val="en-US" w:bidi="en-US"/>
        </w:rPr>
      </w:pPr>
      <w:r>
        <w:rPr>
          <w:lang w:val="en-US" w:bidi="en-US"/>
        </w:rPr>
        <w:t>[</w:t>
      </w:r>
      <w:proofErr w:type="gramStart"/>
      <w:r>
        <w:rPr>
          <w:lang w:val="en-US" w:bidi="en-US"/>
        </w:rPr>
        <w:t>to</w:t>
      </w:r>
      <w:proofErr w:type="gramEnd"/>
      <w:r>
        <w:rPr>
          <w:lang w:val="en-US" w:bidi="en-US"/>
        </w:rPr>
        <w:t xml:space="preserve"> complete, depending on what to do with 2</w:t>
      </w:r>
      <w:r w:rsidRPr="00524B10">
        <w:rPr>
          <w:vertAlign w:val="superscript"/>
          <w:lang w:val="en-US" w:bidi="en-US"/>
        </w:rPr>
        <w:t>nd</w:t>
      </w:r>
      <w:r>
        <w:rPr>
          <w:lang w:val="en-US" w:bidi="en-US"/>
        </w:rPr>
        <w:t xml:space="preserve"> example]</w:t>
      </w:r>
    </w:p>
    <w:p w:rsidR="000D28AB" w:rsidRDefault="00524B10" w:rsidP="00524B10">
      <w:pPr>
        <w:pStyle w:val="Heading2"/>
      </w:pPr>
      <w:r>
        <w:t>Discussion</w:t>
      </w:r>
    </w:p>
    <w:p w:rsidR="00937A05" w:rsidRDefault="00937A05" w:rsidP="00937A05">
      <w:pPr>
        <w:pStyle w:val="Heading3"/>
        <w:spacing w:line="360" w:lineRule="auto"/>
      </w:pPr>
      <w:r>
        <w:t>Comparison between simulated utilities and results previously published at this level of disaggregation</w:t>
      </w:r>
    </w:p>
    <w:p w:rsidR="00937A05" w:rsidRDefault="00937A05" w:rsidP="00937A05">
      <w:pPr>
        <w:spacing w:line="360" w:lineRule="auto"/>
        <w:jc w:val="both"/>
      </w:pPr>
      <w:r>
        <w:t>Our estimated utility multipliers are very similar to those presented in Dorman et al.,</w:t>
      </w:r>
      <w:r>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fldChar w:fldCharType="separate"/>
      </w:r>
      <w:r>
        <w:rPr>
          <w:noProof/>
          <w:vertAlign w:val="superscript"/>
        </w:rPr>
        <w:t>149</w:t>
      </w:r>
      <w:r>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155473" w:rsidRDefault="006F79C5" w:rsidP="00E83E36">
      <w:pPr>
        <w:spacing w:line="360" w:lineRule="auto"/>
        <w:jc w:val="both"/>
      </w:pPr>
      <w:r>
        <w:t xml:space="preserve">This paper shows </w:t>
      </w:r>
      <w:r w:rsidR="00524B10">
        <w:t xml:space="preserve">how a simulation-based approach can be used to collapse costs or utility values from a larger to a smaller number of discrete states in a way which incorporates </w:t>
      </w:r>
      <w:r w:rsidR="005C12CA">
        <w:t xml:space="preserve">uncertainty at the intermediate stages. This means that the estimates produced are replicable and involve a minimum of modeller assumptions being made. </w:t>
      </w:r>
      <w:r w:rsidR="00BC63CC">
        <w:t xml:space="preserve">All that </w:t>
      </w:r>
      <w:proofErr w:type="spellStart"/>
      <w:r w:rsidR="00BC63CC">
        <w:t>isrequired</w:t>
      </w:r>
      <w:proofErr w:type="spellEnd"/>
      <w:r w:rsidR="00BC63CC">
        <w:t xml:space="preserve"> are the sample sizes and utility estimates of the </w:t>
      </w:r>
      <w:proofErr w:type="spellStart"/>
      <w:r w:rsidR="00BC63CC">
        <w:t>uncollapsed</w:t>
      </w:r>
      <w:proofErr w:type="spellEnd"/>
      <w:r w:rsidR="00BC63CC">
        <w:t xml:space="preserve"> states, and a belief about how the </w:t>
      </w:r>
      <w:proofErr w:type="spellStart"/>
      <w:r w:rsidR="00BC63CC">
        <w:t>uncollapsed</w:t>
      </w:r>
      <w:proofErr w:type="spellEnd"/>
      <w:r w:rsidR="00BC63CC">
        <w:t xml:space="preserve"> states map onto the collapsed states. </w:t>
      </w:r>
      <w:r>
        <w:t xml:space="preserve">Because of this, it is possible to make use of more recent and /or more pertinent data to inform the </w:t>
      </w:r>
      <w:r>
        <w:lastRenderedPageBreak/>
        <w:t>economic model than was previously possible using summary data alone. 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p>
    <w:p w:rsidR="006F79C5" w:rsidRDefault="00EF7545" w:rsidP="00E83E36">
      <w:pPr>
        <w:spacing w:line="360" w:lineRule="auto"/>
        <w:jc w:val="both"/>
      </w:pPr>
      <w:r>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7D487D"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r w:rsidR="007D487D">
        <w:t xml:space="preserve"> </w:t>
      </w:r>
      <w:r w:rsidR="007D487D" w:rsidRPr="007D487D">
        <w:rPr>
          <w:highlight w:val="yellow"/>
        </w:rPr>
        <w:t xml:space="preserve">Consistency Difficult to assess because you assess 3 levels at time t1 with constructed 3 levels at time </w:t>
      </w:r>
      <w:proofErr w:type="gramStart"/>
      <w:r w:rsidR="007D487D" w:rsidRPr="007D487D">
        <w:rPr>
          <w:highlight w:val="yellow"/>
        </w:rPr>
        <w:t>t2 !</w:t>
      </w:r>
      <w:proofErr w:type="gramEnd"/>
      <w:r w:rsidR="007D487D">
        <w:t xml:space="preserve"> </w:t>
      </w:r>
    </w:p>
    <w:p w:rsidR="00DB70BB" w:rsidRDefault="00EF7545" w:rsidP="00DB70BB">
      <w:pPr>
        <w:spacing w:line="360" w:lineRule="auto"/>
        <w:jc w:val="both"/>
      </w:pP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A255E2">
        <w:rPr>
          <w:highlight w:val="yellow"/>
        </w:rPr>
        <w:t>Existing sources of utility estimates following stroke based on studies conducted some time ago [ref].</w:t>
      </w:r>
      <w:r w:rsidR="00A255E2">
        <w:t xml:space="preserve"> </w:t>
      </w:r>
      <w:proofErr w:type="gramStart"/>
      <w:r w:rsidR="00A255E2" w:rsidRPr="00A255E2">
        <w:rPr>
          <w:highlight w:val="yellow"/>
        </w:rPr>
        <w:t>Sentence ?</w:t>
      </w:r>
      <w:proofErr w:type="gramEnd"/>
      <w:r w:rsidR="00DB70BB" w:rsidRPr="00E83E36">
        <w:t xml:space="preserve"> Outcomes following stroke may have changed since due to improvements in patient management.</w:t>
      </w:r>
    </w:p>
    <w:p w:rsidR="00BE7232" w:rsidRPr="00E83E36" w:rsidRDefault="00BE7232" w:rsidP="00DB70BB">
      <w:pPr>
        <w:spacing w:line="360" w:lineRule="auto"/>
        <w:jc w:val="both"/>
      </w:pPr>
      <w:r>
        <w:t>[DORNAN ESTIMATES HERE]</w:t>
      </w:r>
    </w:p>
    <w:p w:rsidR="00DB70BB" w:rsidRDefault="00DB70BB" w:rsidP="00DB70BB">
      <w:pPr>
        <w:pStyle w:val="Heading3"/>
      </w:pPr>
      <w:r>
        <w:t>Para 4: Limitations of the present study and any methods used to minimize or compensate for those limitations</w:t>
      </w:r>
    </w:p>
    <w:p w:rsidR="00762BDF" w:rsidRDefault="00762BDF" w:rsidP="00762BDF">
      <w:pPr>
        <w:rPr>
          <w:lang w:val="en-US" w:bidi="en-US"/>
        </w:rPr>
      </w:pPr>
    </w:p>
    <w:p w:rsidR="00762BDF" w:rsidRPr="00762BDF" w:rsidRDefault="00762BDF" w:rsidP="00762BDF">
      <w:pPr>
        <w:rPr>
          <w:lang w:val="en-US" w:bidi="en-US"/>
        </w:rPr>
      </w:pPr>
      <w:r>
        <w:t>(</w:t>
      </w:r>
      <w:r w:rsidRPr="00155473">
        <w:rPr>
          <w:highlight w:val="yellow"/>
        </w:rPr>
        <w:t xml:space="preserve">IN EQ5-D some vegetative states are valued at less than </w:t>
      </w:r>
      <w:proofErr w:type="gramStart"/>
      <w:r w:rsidRPr="00155473">
        <w:rPr>
          <w:highlight w:val="yellow"/>
        </w:rPr>
        <w:t>zero !)</w:t>
      </w:r>
      <w:proofErr w:type="gramEnd"/>
    </w:p>
    <w:p w:rsidR="006E50C8" w:rsidRDefault="006E50C8" w:rsidP="00E83E36">
      <w:pPr>
        <w:spacing w:line="360" w:lineRule="auto"/>
        <w:jc w:val="both"/>
      </w:pPr>
      <w:r>
        <w:lastRenderedPageBreak/>
        <w:t>The approach described here cannot be expected to produce perfect estimates of costs and utilities associated with outcomes. Instead the aim is to make b</w:t>
      </w:r>
      <w:r w:rsidR="00D301EE">
        <w:t>e</w:t>
      </w:r>
      <w:r>
        <w:t>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here and make use of more pertinent data, is a 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 xml:space="preserve">it differs in other </w:t>
      </w:r>
      <w:r w:rsidR="00A255E2" w:rsidRPr="00A255E2">
        <w:rPr>
          <w:highlight w:val="yellow"/>
        </w:rPr>
        <w:lastRenderedPageBreak/>
        <w:t>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instead or else a mix of 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0D28AB" w:rsidP="000D28AB">
      <w:pPr>
        <w:pStyle w:val="Heading3"/>
      </w:pPr>
      <w:r w:rsidRPr="00D41B33">
        <w:rPr>
          <w:highlight w:val="yellow"/>
        </w:rPr>
        <w:t>Par</w:t>
      </w:r>
      <w:r>
        <w:t xml:space="preserve">a 4: </w:t>
      </w:r>
      <w:r w:rsidR="00DB70BB">
        <w:t>Any crucial future research directions</w:t>
      </w:r>
      <w:r w:rsidR="00D41B33">
        <w:t xml:space="preserve"> (=Recommendation)</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 xml:space="preserve">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w:t>
      </w:r>
      <w:r>
        <w:lastRenderedPageBreak/>
        <w:t>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w:t>
      </w:r>
      <w:r w:rsidR="00D41B33">
        <w:t xml:space="preserve"> </w:t>
      </w:r>
      <w:r w:rsidR="00D41B33" w:rsidRPr="00D41B33">
        <w:rPr>
          <w:highlight w:val="yellow"/>
        </w:rPr>
        <w:t>(REF?</w:t>
      </w:r>
      <w:proofErr w:type="gramStart"/>
      <w:r w:rsidR="00D41B33" w:rsidRPr="00D41B33">
        <w:rPr>
          <w:highlight w:val="yellow"/>
        </w:rPr>
        <w:t>)</w:t>
      </w:r>
      <w:r w:rsidR="00D41B33">
        <w:t xml:space="preserve"> </w:t>
      </w:r>
      <w:r>
        <w:t>,</w:t>
      </w:r>
      <w:proofErr w:type="gramEnd"/>
      <w:r>
        <w:t xml:space="preserve"> which is also commonly used in this area. </w:t>
      </w:r>
    </w:p>
    <w:p w:rsidR="000C76D7" w:rsidRDefault="000C76D7" w:rsidP="001E520F">
      <w:pPr>
        <w:spacing w:line="360" w:lineRule="auto"/>
        <w:jc w:val="both"/>
      </w:pPr>
      <w:r>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r>
        <w:t>Conclusions</w:t>
      </w:r>
      <w:proofErr w:type="gramStart"/>
      <w:r>
        <w:t>:</w:t>
      </w:r>
      <w:proofErr w:type="gramEnd"/>
      <w:r w:rsidR="00D41B33">
        <w:br/>
      </w:r>
      <w:r>
        <w:t xml:space="preserve">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8"/>
      <w:r>
        <w:t>Appendix</w:t>
      </w:r>
      <w:commentRangeEnd w:id="8"/>
      <w:r w:rsidR="00DB5DC1">
        <w:rPr>
          <w:rStyle w:val="CommentReference"/>
          <w:rFonts w:asciiTheme="minorHAnsi" w:eastAsiaTheme="minorHAnsi" w:hAnsiTheme="minorHAnsi" w:cstheme="minorBidi"/>
          <w:b w:val="0"/>
          <w:i w:val="0"/>
          <w:lang w:val="en-GB" w:bidi="ar-SA"/>
        </w:rPr>
        <w:commentReference w:id="8"/>
      </w:r>
      <w:r w:rsidR="00D41B33">
        <w:t xml:space="preserve">   Add some more explicit comments of what each R code section does for non-R specialists (and even R programmers)</w:t>
      </w: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Pr="00FA6983" w:rsidRDefault="00FA6983" w:rsidP="00FA6983">
      <w:pPr>
        <w:rPr>
          <w:lang w:val="en-US" w:bidi="en-US"/>
        </w:rPr>
      </w:pPr>
    </w:p>
    <w:p w:rsidR="000F49A4" w:rsidRDefault="000F49A4" w:rsidP="00AC177B"/>
    <w:tbl>
      <w:tblPr>
        <w:tblStyle w:val="TableGrid"/>
        <w:tblW w:w="0" w:type="auto"/>
        <w:tblLook w:val="04A0" w:firstRow="1" w:lastRow="0" w:firstColumn="1" w:lastColumn="0" w:noHBand="0" w:noVBand="1"/>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B44707">
        <w:trPr>
          <w:trHeight w:val="10868"/>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lastRenderedPageBreak/>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lastRenderedPageBreak/>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p w:rsidR="00FA6983" w:rsidRDefault="00FA6983" w:rsidP="00211C84"/>
          <w:p w:rsidR="00FA6983" w:rsidRDefault="00FA6983" w:rsidP="00211C84"/>
          <w:p w:rsidR="00FA6983" w:rsidRDefault="00FA6983" w:rsidP="00211C84"/>
        </w:tc>
      </w:tr>
      <w:tr w:rsidR="00B44707" w:rsidTr="00B44707">
        <w:trPr>
          <w:trHeight w:val="192"/>
        </w:trPr>
        <w:tc>
          <w:tcPr>
            <w:tcW w:w="5211" w:type="dxa"/>
          </w:tcPr>
          <w:p w:rsidR="00B44707" w:rsidRPr="00FA6983" w:rsidRDefault="00B44707" w:rsidP="00FA6983">
            <w:pPr>
              <w:jc w:val="center"/>
              <w:rPr>
                <w:rFonts w:ascii="Courier New" w:hAnsi="Courier New"/>
                <w:b/>
              </w:rPr>
            </w:pPr>
            <w:r w:rsidRPr="00FA6983">
              <w:rPr>
                <w:rFonts w:ascii="Courier New" w:hAnsi="Courier New"/>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lastRenderedPageBreak/>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so on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lastRenderedPageBreak/>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F6657B" w:rsidRPr="00F6657B" w:rsidRDefault="001D724A">
      <w:pPr>
        <w:pStyle w:val="NormalWeb"/>
        <w:ind w:left="640" w:hanging="640"/>
        <w:divId w:val="1421565334"/>
        <w:rPr>
          <w:rFonts w:ascii="Calibri" w:hAnsi="Calibri" w:cs="Calibri"/>
          <w:noProof/>
          <w:sz w:val="22"/>
        </w:rPr>
      </w:pPr>
      <w:r>
        <w:fldChar w:fldCharType="begin" w:fldLock="1"/>
      </w:r>
      <w:r w:rsidR="00A97C3E">
        <w:instrText xml:space="preserve">ADDIN Mendeley Bibliography CSL_BIBLIOGRAPHY </w:instrText>
      </w:r>
      <w:r>
        <w:fldChar w:fldCharType="separate"/>
      </w:r>
      <w:r w:rsidR="00F6657B" w:rsidRPr="00F6657B">
        <w:rPr>
          <w:rFonts w:ascii="Calibri" w:hAnsi="Calibri" w:cs="Calibri"/>
          <w:noProof/>
          <w:sz w:val="22"/>
        </w:rPr>
        <w:t xml:space="preserve">1. </w:t>
      </w:r>
      <w:r w:rsidR="00F6657B" w:rsidRPr="00F6657B">
        <w:rPr>
          <w:rFonts w:ascii="Calibri" w:hAnsi="Calibri" w:cs="Calibri"/>
          <w:noProof/>
          <w:sz w:val="22"/>
        </w:rPr>
        <w:tab/>
        <w:t xml:space="preserve">Rivero-Arias O, Ouellet M, Gray A, Wolstenholme J, Rothwell PM, Luengo-Fernandez R. Mapping the Modified Rankin Scale (mRS) Measurement into the Generic EuroQol (EQ-5D) </w:t>
      </w:r>
      <w:r w:rsidR="00F6657B" w:rsidRPr="00F6657B">
        <w:rPr>
          <w:rFonts w:ascii="Calibri" w:hAnsi="Calibri" w:cs="Calibri"/>
          <w:noProof/>
          <w:sz w:val="22"/>
        </w:rPr>
        <w:lastRenderedPageBreak/>
        <w:t>Health Outcome. Medical Decision Making [Internet]. 2010;30(3):341–54. Available from: &lt;Go to ISI&gt;://000277892800009</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2. </w:t>
      </w:r>
      <w:r w:rsidRPr="00F6657B">
        <w:rPr>
          <w:rFonts w:ascii="Calibri" w:hAnsi="Calibri" w:cs="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3. </w:t>
      </w:r>
      <w:r w:rsidRPr="00F6657B">
        <w:rPr>
          <w:rFonts w:ascii="Calibri" w:hAnsi="Calibri" w:cs="Calibri"/>
          <w:noProof/>
          <w:sz w:val="22"/>
        </w:rPr>
        <w:tab/>
        <w:t>RANKIN J. Cerebral vascular accidents in patients over the age of 60. II. Prognosis. Scottish medical journal [Internet]. 1957 May [cited 2012 Apr 4];2(5):200–15. Available from: http://www.ncbi.nlm.nih.gov/pubmed/13432835</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4. </w:t>
      </w:r>
      <w:r w:rsidRPr="00F6657B">
        <w:rPr>
          <w:rFonts w:ascii="Calibri" w:hAnsi="Calibri" w:cs="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5. </w:t>
      </w:r>
      <w:r w:rsidRPr="00F6657B">
        <w:rPr>
          <w:rFonts w:ascii="Calibri" w:hAnsi="Calibri" w:cs="Calibri"/>
          <w:noProof/>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p>
    <w:p w:rsidR="00F316CA" w:rsidRDefault="001D724A" w:rsidP="00F6657B">
      <w:pPr>
        <w:pStyle w:val="NormalWeb"/>
        <w:ind w:left="640" w:hanging="640"/>
        <w:divId w:val="1311982601"/>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9" w:name="_Ref321300871"/>
    </w:p>
    <w:p w:rsidR="00431A06" w:rsidRDefault="00431A06" w:rsidP="00E20F51">
      <w:pPr>
        <w:pStyle w:val="Caption"/>
        <w:divId w:val="665133477"/>
      </w:pPr>
      <w:bookmarkStart w:id="10" w:name="_Ref331416679"/>
      <w:r>
        <w:t xml:space="preserve">Table </w:t>
      </w:r>
      <w:bookmarkStart w:id="11" w:name="_GoBack"/>
      <w:bookmarkEnd w:id="11"/>
      <w:r w:rsidR="00937A05">
        <w:fldChar w:fldCharType="begin"/>
      </w:r>
      <w:r w:rsidR="00937A05">
        <w:instrText xml:space="preserve"> SEQ Table \* ARABIC </w:instrText>
      </w:r>
      <w:r w:rsidR="00937A05">
        <w:fldChar w:fldCharType="separate"/>
      </w:r>
      <w:r w:rsidR="00BC63CC">
        <w:rPr>
          <w:noProof/>
        </w:rPr>
        <w:t>3</w:t>
      </w:r>
      <w:r w:rsidR="00937A05">
        <w:fldChar w:fldCharType="end"/>
      </w:r>
      <w:bookmarkEnd w:id="9"/>
      <w:bookmarkEnd w:id="10"/>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2" w:name="_Ref336071835"/>
      <w:r>
        <w:t xml:space="preserve">Table </w:t>
      </w:r>
      <w:fldSimple w:instr=" SEQ Table \* ARABIC ">
        <w:r w:rsidR="00BC63CC">
          <w:rPr>
            <w:noProof/>
          </w:rPr>
          <w:t>4</w:t>
        </w:r>
      </w:fldSimple>
      <w:bookmarkEnd w:id="12"/>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09-21T11:51:00Z" w:initials="JM">
    <w:p w:rsidR="00524B10" w:rsidRDefault="00524B10" w:rsidP="00CA0AD2">
      <w:pPr>
        <w:spacing w:line="360" w:lineRule="auto"/>
        <w:jc w:val="both"/>
        <w:rPr>
          <w:highlight w:val="yellow"/>
        </w:rPr>
      </w:pPr>
      <w:r>
        <w:rPr>
          <w:rStyle w:val="CommentReference"/>
        </w:rPr>
        <w:annotationRef/>
      </w:r>
      <w:r>
        <w:rPr>
          <w:highlight w:val="yellow"/>
        </w:rPr>
        <w:t xml:space="preserve">Ralph Comment: 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524B10" w:rsidRDefault="00524B10" w:rsidP="00CA0AD2">
      <w:pPr>
        <w:spacing w:line="360" w:lineRule="auto"/>
        <w:jc w:val="both"/>
        <w:rPr>
          <w:highlight w:val="yellow"/>
        </w:rPr>
      </w:pPr>
    </w:p>
    <w:p w:rsidR="00524B10" w:rsidRDefault="00524B10" w:rsidP="00CA0AD2">
      <w:pPr>
        <w:spacing w:line="360" w:lineRule="auto"/>
        <w:jc w:val="both"/>
        <w:rPr>
          <w:highlight w:val="yellow"/>
        </w:rPr>
      </w:pPr>
      <w:r w:rsidRPr="00CA0AD2">
        <w:t xml:space="preserve">Not sure what to do with this comment for now. </w:t>
      </w:r>
    </w:p>
    <w:p w:rsidR="00524B10" w:rsidRDefault="00524B10">
      <w:pPr>
        <w:pStyle w:val="CommentText"/>
      </w:pPr>
    </w:p>
  </w:comment>
  <w:comment w:id="4" w:author="Jon Minton" w:date="2012-09-25T13:45:00Z" w:initials="JM">
    <w:p w:rsidR="00524B10" w:rsidRDefault="00524B10">
      <w:pPr>
        <w:pStyle w:val="CommentText"/>
      </w:pPr>
      <w:r>
        <w:rPr>
          <w:rStyle w:val="CommentReference"/>
        </w:rPr>
        <w:annotationRef/>
      </w:r>
      <w:r>
        <w:t>The actual process for calculating proportions and outcomes for this is a bit more complex, as it involves different data sources. I’m not sure whether to explain the other procedure fully, or just to keep things as they are and refer to the HTA.</w:t>
      </w:r>
    </w:p>
  </w:comment>
  <w:comment w:id="6" w:author="Jon Minton" w:date="2012-09-25T13:41:00Z" w:initials="JM">
    <w:p w:rsidR="00524B10" w:rsidRDefault="00524B10">
      <w:pPr>
        <w:pStyle w:val="CommentText"/>
      </w:pPr>
      <w:r>
        <w:rPr>
          <w:rStyle w:val="CommentReference"/>
        </w:rPr>
        <w:annotationRef/>
      </w:r>
      <w:r>
        <w:t>Going back to the manuscript, I realised that the process for calculating proportions in each of these states uses other data sources and a few other calculations. I’m not sure whether to 1) describe these fully here; 2) not explain them here, but keep the utility multiplier stuff; 3) Not include this second example at all.</w:t>
      </w:r>
    </w:p>
  </w:comment>
  <w:comment w:id="8" w:author="Matt" w:date="2012-02-27T08:38:00Z" w:initials="M">
    <w:p w:rsidR="00524B10" w:rsidRDefault="00524B10">
      <w:pPr>
        <w:pStyle w:val="CommentText"/>
      </w:pPr>
      <w:r>
        <w:rPr>
          <w:rStyle w:val="CommentReference"/>
        </w:rPr>
        <w:annotationRef/>
      </w:r>
      <w:r>
        <w:t>I’m not sure that this has been referred to in the terxt.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B2E" w:rsidRDefault="00DE3B2E" w:rsidP="00843868">
      <w:pPr>
        <w:spacing w:after="0" w:line="240" w:lineRule="auto"/>
      </w:pPr>
      <w:r>
        <w:separator/>
      </w:r>
    </w:p>
  </w:endnote>
  <w:endnote w:type="continuationSeparator" w:id="0">
    <w:p w:rsidR="00DE3B2E" w:rsidRDefault="00DE3B2E"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B2E" w:rsidRDefault="00DE3B2E" w:rsidP="00843868">
      <w:pPr>
        <w:spacing w:after="0" w:line="240" w:lineRule="auto"/>
      </w:pPr>
      <w:r>
        <w:separator/>
      </w:r>
    </w:p>
  </w:footnote>
  <w:footnote w:type="continuationSeparator" w:id="0">
    <w:p w:rsidR="00DE3B2E" w:rsidRDefault="00DE3B2E"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2913"/>
    <w:rsid w:val="00155473"/>
    <w:rsid w:val="00180C1C"/>
    <w:rsid w:val="001D724A"/>
    <w:rsid w:val="001E520F"/>
    <w:rsid w:val="001F369F"/>
    <w:rsid w:val="001F43FB"/>
    <w:rsid w:val="001F4739"/>
    <w:rsid w:val="001F49C2"/>
    <w:rsid w:val="002007C5"/>
    <w:rsid w:val="00205F08"/>
    <w:rsid w:val="00211C84"/>
    <w:rsid w:val="00213A91"/>
    <w:rsid w:val="0022085B"/>
    <w:rsid w:val="00223847"/>
    <w:rsid w:val="00260BF5"/>
    <w:rsid w:val="002A0218"/>
    <w:rsid w:val="002A4372"/>
    <w:rsid w:val="002C7DE5"/>
    <w:rsid w:val="0030132C"/>
    <w:rsid w:val="00313A2A"/>
    <w:rsid w:val="00316BF4"/>
    <w:rsid w:val="00330ADA"/>
    <w:rsid w:val="00333488"/>
    <w:rsid w:val="00373238"/>
    <w:rsid w:val="0037407B"/>
    <w:rsid w:val="0038332A"/>
    <w:rsid w:val="00390D5B"/>
    <w:rsid w:val="003A76F9"/>
    <w:rsid w:val="003D5EAE"/>
    <w:rsid w:val="003F4DB8"/>
    <w:rsid w:val="00431A06"/>
    <w:rsid w:val="0044660C"/>
    <w:rsid w:val="00462BB1"/>
    <w:rsid w:val="004660DC"/>
    <w:rsid w:val="00477595"/>
    <w:rsid w:val="004A2A85"/>
    <w:rsid w:val="004B3CD1"/>
    <w:rsid w:val="004E1405"/>
    <w:rsid w:val="004E2F63"/>
    <w:rsid w:val="004E5D56"/>
    <w:rsid w:val="004F289F"/>
    <w:rsid w:val="004F46C2"/>
    <w:rsid w:val="00521ACB"/>
    <w:rsid w:val="00524B10"/>
    <w:rsid w:val="00525B09"/>
    <w:rsid w:val="0054719D"/>
    <w:rsid w:val="00562CD7"/>
    <w:rsid w:val="00585CB9"/>
    <w:rsid w:val="00592400"/>
    <w:rsid w:val="005C12CA"/>
    <w:rsid w:val="005D6A01"/>
    <w:rsid w:val="005E3183"/>
    <w:rsid w:val="00604F99"/>
    <w:rsid w:val="00634199"/>
    <w:rsid w:val="00666151"/>
    <w:rsid w:val="00672D19"/>
    <w:rsid w:val="006849D8"/>
    <w:rsid w:val="00691419"/>
    <w:rsid w:val="006975FF"/>
    <w:rsid w:val="006A30F6"/>
    <w:rsid w:val="006A41E8"/>
    <w:rsid w:val="006B4862"/>
    <w:rsid w:val="006B6E78"/>
    <w:rsid w:val="006C4ADB"/>
    <w:rsid w:val="006D77B2"/>
    <w:rsid w:val="006E393E"/>
    <w:rsid w:val="006E50C8"/>
    <w:rsid w:val="006F79C5"/>
    <w:rsid w:val="0074233F"/>
    <w:rsid w:val="00760FD0"/>
    <w:rsid w:val="00762BDF"/>
    <w:rsid w:val="00763745"/>
    <w:rsid w:val="00793892"/>
    <w:rsid w:val="007A1D5D"/>
    <w:rsid w:val="007A4682"/>
    <w:rsid w:val="007B5157"/>
    <w:rsid w:val="007B52B3"/>
    <w:rsid w:val="007C1686"/>
    <w:rsid w:val="007D487D"/>
    <w:rsid w:val="007E2AF9"/>
    <w:rsid w:val="00835A98"/>
    <w:rsid w:val="00843868"/>
    <w:rsid w:val="00850EFC"/>
    <w:rsid w:val="0087458D"/>
    <w:rsid w:val="00877D18"/>
    <w:rsid w:val="00937A05"/>
    <w:rsid w:val="009E25B0"/>
    <w:rsid w:val="00A15484"/>
    <w:rsid w:val="00A255E2"/>
    <w:rsid w:val="00A37A2B"/>
    <w:rsid w:val="00A461DD"/>
    <w:rsid w:val="00A5669B"/>
    <w:rsid w:val="00A630CF"/>
    <w:rsid w:val="00A67653"/>
    <w:rsid w:val="00A8345F"/>
    <w:rsid w:val="00A9339A"/>
    <w:rsid w:val="00A97C3E"/>
    <w:rsid w:val="00AB58D4"/>
    <w:rsid w:val="00AC177B"/>
    <w:rsid w:val="00AF2A83"/>
    <w:rsid w:val="00B06F97"/>
    <w:rsid w:val="00B078DD"/>
    <w:rsid w:val="00B24B0D"/>
    <w:rsid w:val="00B41287"/>
    <w:rsid w:val="00B44707"/>
    <w:rsid w:val="00B51A87"/>
    <w:rsid w:val="00B60F0C"/>
    <w:rsid w:val="00B83A44"/>
    <w:rsid w:val="00BA3D34"/>
    <w:rsid w:val="00BA4A9D"/>
    <w:rsid w:val="00BB1951"/>
    <w:rsid w:val="00BC63CC"/>
    <w:rsid w:val="00BE67CC"/>
    <w:rsid w:val="00BE7232"/>
    <w:rsid w:val="00BF29D3"/>
    <w:rsid w:val="00C23CF5"/>
    <w:rsid w:val="00C61C1F"/>
    <w:rsid w:val="00C6302C"/>
    <w:rsid w:val="00C9621D"/>
    <w:rsid w:val="00CA0AD2"/>
    <w:rsid w:val="00CB4FA2"/>
    <w:rsid w:val="00CB586A"/>
    <w:rsid w:val="00CB5AB2"/>
    <w:rsid w:val="00CC24AD"/>
    <w:rsid w:val="00CC6261"/>
    <w:rsid w:val="00CE0229"/>
    <w:rsid w:val="00D301EE"/>
    <w:rsid w:val="00D41B33"/>
    <w:rsid w:val="00D425F2"/>
    <w:rsid w:val="00D64E03"/>
    <w:rsid w:val="00DA2E94"/>
    <w:rsid w:val="00DB5DC1"/>
    <w:rsid w:val="00DB70BB"/>
    <w:rsid w:val="00DC2FC4"/>
    <w:rsid w:val="00DC6D9E"/>
    <w:rsid w:val="00DC7AAC"/>
    <w:rsid w:val="00DD0E7B"/>
    <w:rsid w:val="00DD1189"/>
    <w:rsid w:val="00DE3B2E"/>
    <w:rsid w:val="00E01A3D"/>
    <w:rsid w:val="00E20F51"/>
    <w:rsid w:val="00E36C46"/>
    <w:rsid w:val="00E51535"/>
    <w:rsid w:val="00E71817"/>
    <w:rsid w:val="00E83E36"/>
    <w:rsid w:val="00EA04CD"/>
    <w:rsid w:val="00EB210C"/>
    <w:rsid w:val="00EE087D"/>
    <w:rsid w:val="00EF1865"/>
    <w:rsid w:val="00EF7545"/>
    <w:rsid w:val="00F10B98"/>
    <w:rsid w:val="00F316CA"/>
    <w:rsid w:val="00F46D3D"/>
    <w:rsid w:val="00F6657B"/>
    <w:rsid w:val="00F82373"/>
    <w:rsid w:val="00F838FF"/>
    <w:rsid w:val="00F9663C"/>
    <w:rsid w:val="00FA2BD1"/>
    <w:rsid w:val="00FA6983"/>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5D360-BFF5-4C53-9616-B02E0713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6485</Words>
  <Characters>36968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2012-09-22T09:11:00Z</dcterms:created>
  <dcterms:modified xsi:type="dcterms:W3CDTF">2012-09-25T13:12:00Z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International Journal of Epidemiology</vt:lpwstr>
  </property>
  <property fmtid="{D5CDD505-2E9C-101B-9397-08002B2CF9AE}" pid="5" name="Mendeley Recent Style Id 0_1">
    <vt:lpwstr>http://www.zotero.org/styles/international-journal-of-epidemiology</vt:lpwstr>
  </property>
  <property fmtid="{D5CDD505-2E9C-101B-9397-08002B2CF9AE}" pid="6" name="Mendeley Recent Style Name 1_1">
    <vt:lpwstr>Chicago Manual of Style (author-date)</vt:lpwstr>
  </property>
  <property fmtid="{D5CDD505-2E9C-101B-9397-08002B2CF9AE}" pid="7" name="Mendeley Recent Style Id 1_1">
    <vt:lpwstr>http://www.zotero.org/styles/chicago-author-date</vt:lpwstr>
  </property>
  <property fmtid="{D5CDD505-2E9C-101B-9397-08002B2CF9AE}" pid="8" name="Mendeley Recent Style Name 2_1">
    <vt:lpwstr>IEEE</vt:lpwstr>
  </property>
  <property fmtid="{D5CDD505-2E9C-101B-9397-08002B2CF9AE}" pid="9" name="Mendeley Recent Style Id 2_1">
    <vt:lpwstr>http://www.zotero.org/styles/ieee</vt:lpwstr>
  </property>
  <property fmtid="{D5CDD505-2E9C-101B-9397-08002B2CF9AE}" pid="10" name="Mendeley Recent Style Name 3_1">
    <vt:lpwstr>Harvard Reference format 1 (author-date)</vt:lpwstr>
  </property>
  <property fmtid="{D5CDD505-2E9C-101B-9397-08002B2CF9AE}" pid="11" name="Mendeley Recent Style Id 3_1">
    <vt:lpwstr>http://www.zotero.org/styles/harvard1</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Modern Language Association</vt:lpwstr>
  </property>
  <property fmtid="{D5CDD505-2E9C-101B-9397-08002B2CF9AE}" pid="15" name="Mendeley Recent Style Id 5_1">
    <vt:lpwstr>http://www.zotero.org/styles/mla</vt:lpwstr>
  </property>
  <property fmtid="{D5CDD505-2E9C-101B-9397-08002B2CF9AE}" pid="16" name="Mendeley Recent Style Name 6_1">
    <vt:lpwstr>Nature</vt:lpwstr>
  </property>
  <property fmtid="{D5CDD505-2E9C-101B-9397-08002B2CF9AE}" pid="17" name="Mendeley Recent Style Id 6_1">
    <vt:lpwstr>http://www.zotero.org/styles/nature</vt:lpwstr>
  </property>
  <property fmtid="{D5CDD505-2E9C-101B-9397-08002B2CF9AE}" pid="18" name="Mendeley Recent Style Name 7_1">
    <vt:lpwstr>Journal of Epidemiology &amp; Community Health</vt:lpwstr>
  </property>
  <property fmtid="{D5CDD505-2E9C-101B-9397-08002B2CF9AE}" pid="19" name="Mendeley Recent Style Id 7_1">
    <vt:lpwstr>http://www.zotero.org/styles/journal-of-epidemiology-community-health</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