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85599" w14:textId="77777777" w:rsidR="00B94561" w:rsidRPr="00C42E62" w:rsidRDefault="0048548B" w:rsidP="00C42E62">
      <w:pPr>
        <w:pStyle w:val="Heading1"/>
      </w:pPr>
      <w:r w:rsidRPr="00C42E62">
        <w:t xml:space="preserve">Paper framework – Mortality trends item 5: </w:t>
      </w:r>
      <w:r w:rsidR="00C42E62" w:rsidRPr="00C42E62">
        <w:t>mortality trends by deprivation</w:t>
      </w:r>
      <w:r w:rsidR="00C42E62">
        <w:t xml:space="preserve"> in Scotland</w:t>
      </w:r>
    </w:p>
    <w:p w14:paraId="64B8A7D2" w14:textId="77777777" w:rsidR="00331403" w:rsidRPr="00C42E62" w:rsidRDefault="00331403" w:rsidP="00681205">
      <w:pPr>
        <w:pStyle w:val="BodyText1"/>
        <w:rPr>
          <w:rFonts w:asciiTheme="minorHAnsi" w:hAnsiTheme="minorHAnsi"/>
        </w:rPr>
      </w:pPr>
    </w:p>
    <w:p w14:paraId="1B0B09F2" w14:textId="77777777" w:rsidR="00C42E62" w:rsidRPr="00C42E62" w:rsidRDefault="00C42E62" w:rsidP="00C42E62">
      <w:pPr>
        <w:pStyle w:val="Subtitle"/>
      </w:pPr>
      <w:r>
        <w:t>Overall aim</w:t>
      </w:r>
    </w:p>
    <w:p w14:paraId="7455A43C" w14:textId="0626F272" w:rsidR="00CF502F" w:rsidRPr="00C42E62" w:rsidRDefault="00F56DE4" w:rsidP="00681205">
      <w:pPr>
        <w:pStyle w:val="BodyText1"/>
        <w:rPr>
          <w:rFonts w:asciiTheme="minorHAnsi" w:hAnsiTheme="minorHAnsi"/>
        </w:rPr>
      </w:pPr>
      <w:r>
        <w:rPr>
          <w:rFonts w:asciiTheme="minorHAnsi" w:hAnsiTheme="minorHAnsi"/>
        </w:rPr>
        <w:t xml:space="preserve">How do </w:t>
      </w:r>
      <w:r w:rsidR="00487E2F">
        <w:rPr>
          <w:rFonts w:asciiTheme="minorHAnsi" w:hAnsiTheme="minorHAnsi"/>
        </w:rPr>
        <w:t xml:space="preserve">recent adverse mortality trends </w:t>
      </w:r>
      <w:r w:rsidR="00487E2F">
        <w:rPr>
          <w:rFonts w:asciiTheme="minorHAnsi" w:hAnsiTheme="minorHAnsi"/>
        </w:rPr>
        <w:t>(all-age, all-cause)</w:t>
      </w:r>
      <w:r w:rsidR="00487E2F">
        <w:rPr>
          <w:rFonts w:asciiTheme="minorHAnsi" w:hAnsiTheme="minorHAnsi"/>
        </w:rPr>
        <w:t xml:space="preserve"> in Scotland vary by socioeconomic deprivation</w:t>
      </w:r>
      <w:r w:rsidR="0091798B">
        <w:rPr>
          <w:rFonts w:asciiTheme="minorHAnsi" w:hAnsiTheme="minorHAnsi"/>
        </w:rPr>
        <w:t>, and to what extent any differences in mortality trend are underlying th</w:t>
      </w:r>
      <w:r>
        <w:rPr>
          <w:rFonts w:asciiTheme="minorHAnsi" w:hAnsiTheme="minorHAnsi"/>
        </w:rPr>
        <w:t>e overall population trajectory?</w:t>
      </w:r>
      <w:r w:rsidR="0091798B">
        <w:rPr>
          <w:rFonts w:asciiTheme="minorHAnsi" w:hAnsiTheme="minorHAnsi"/>
        </w:rPr>
        <w:t xml:space="preserve"> </w:t>
      </w:r>
    </w:p>
    <w:p w14:paraId="148A911A" w14:textId="77777777" w:rsidR="00CF502F" w:rsidRPr="00C42E62" w:rsidRDefault="00C42E62" w:rsidP="00C42E62">
      <w:pPr>
        <w:pStyle w:val="Subtitle"/>
      </w:pPr>
      <w:r w:rsidRPr="00C42E62">
        <w:t>Background</w:t>
      </w:r>
    </w:p>
    <w:p w14:paraId="22ED5D4D" w14:textId="1D2CD926" w:rsidR="00C42E62" w:rsidRDefault="002A2E6B" w:rsidP="002A2E6B">
      <w:pPr>
        <w:pStyle w:val="BodyText1"/>
        <w:numPr>
          <w:ilvl w:val="0"/>
          <w:numId w:val="21"/>
        </w:numPr>
        <w:rPr>
          <w:rFonts w:asciiTheme="minorHAnsi" w:hAnsiTheme="minorHAnsi"/>
        </w:rPr>
      </w:pPr>
      <w:r>
        <w:rPr>
          <w:rFonts w:asciiTheme="minorHAnsi" w:hAnsiTheme="minorHAnsi"/>
        </w:rPr>
        <w:t>Life expectancy improvements have stalled in Scotland; most recent NRS data showed a fall for men and women; the scale of this trend is marked historically and in comparison with other countries.</w:t>
      </w:r>
    </w:p>
    <w:p w14:paraId="6BA11198" w14:textId="4CA4A2ED" w:rsidR="002A2E6B" w:rsidRDefault="002A2E6B" w:rsidP="002A2E6B">
      <w:pPr>
        <w:pStyle w:val="BodyText1"/>
        <w:numPr>
          <w:ilvl w:val="0"/>
          <w:numId w:val="21"/>
        </w:numPr>
        <w:rPr>
          <w:rFonts w:asciiTheme="minorHAnsi" w:hAnsiTheme="minorHAnsi"/>
        </w:rPr>
      </w:pPr>
      <w:r>
        <w:rPr>
          <w:rFonts w:asciiTheme="minorHAnsi" w:hAnsiTheme="minorHAnsi"/>
        </w:rPr>
        <w:t xml:space="preserve">Age-standardised mortality rates (all age, all cause) changed trend from steady decline to a rate of slower or no improvement in the year ending 2012 Q4 for men and the year ending 2014 Q2 for women (paper 1, segmented regression, 2 break model, best estimates). </w:t>
      </w:r>
    </w:p>
    <w:p w14:paraId="5CD403DA" w14:textId="4FC2A413" w:rsidR="00EE7DE1" w:rsidRDefault="00EE7DE1" w:rsidP="002A2E6B">
      <w:pPr>
        <w:pStyle w:val="BodyText1"/>
        <w:numPr>
          <w:ilvl w:val="0"/>
          <w:numId w:val="21"/>
        </w:numPr>
        <w:rPr>
          <w:rFonts w:asciiTheme="minorHAnsi" w:hAnsiTheme="minorHAnsi"/>
        </w:rPr>
      </w:pPr>
      <w:r>
        <w:rPr>
          <w:rFonts w:asciiTheme="minorHAnsi" w:hAnsiTheme="minorHAnsi"/>
        </w:rPr>
        <w:t>Mortality inequalities are increasing in Scotland:</w:t>
      </w:r>
    </w:p>
    <w:p w14:paraId="775858CF" w14:textId="6522943C" w:rsidR="00EE7DE1" w:rsidRDefault="00EE7DE1" w:rsidP="00EE7DE1">
      <w:pPr>
        <w:pStyle w:val="BodyText1"/>
        <w:numPr>
          <w:ilvl w:val="1"/>
          <w:numId w:val="21"/>
        </w:numPr>
        <w:rPr>
          <w:rFonts w:asciiTheme="minorHAnsi" w:hAnsiTheme="minorHAnsi"/>
        </w:rPr>
      </w:pPr>
      <w:r>
        <w:rPr>
          <w:rFonts w:asciiTheme="minorHAnsi" w:hAnsiTheme="minorHAnsi"/>
        </w:rPr>
        <w:t>Long-term monitoring report (HLE, premature mortality SII&amp;RII)</w:t>
      </w:r>
    </w:p>
    <w:p w14:paraId="26675487" w14:textId="5C8D32A2" w:rsidR="00EE7DE1" w:rsidRDefault="00EE7DE1" w:rsidP="00EE7DE1">
      <w:pPr>
        <w:pStyle w:val="BodyText1"/>
        <w:numPr>
          <w:ilvl w:val="1"/>
          <w:numId w:val="21"/>
        </w:numPr>
        <w:rPr>
          <w:rFonts w:asciiTheme="minorHAnsi" w:hAnsiTheme="minorHAnsi"/>
        </w:rPr>
      </w:pPr>
      <w:r>
        <w:rPr>
          <w:rFonts w:asciiTheme="minorHAnsi" w:hAnsiTheme="minorHAnsi"/>
        </w:rPr>
        <w:t xml:space="preserve">NRS life expectancy by SIMD </w:t>
      </w:r>
    </w:p>
    <w:p w14:paraId="083BE23F" w14:textId="43CFFF49" w:rsidR="0091798B" w:rsidRDefault="0091798B" w:rsidP="0091798B">
      <w:pPr>
        <w:pStyle w:val="BodyText1"/>
        <w:numPr>
          <w:ilvl w:val="0"/>
          <w:numId w:val="21"/>
        </w:numPr>
        <w:rPr>
          <w:rFonts w:asciiTheme="minorHAnsi" w:hAnsiTheme="minorHAnsi"/>
        </w:rPr>
      </w:pPr>
      <w:r>
        <w:rPr>
          <w:rFonts w:asciiTheme="minorHAnsi" w:hAnsiTheme="minorHAnsi"/>
        </w:rPr>
        <w:t xml:space="preserve">Several published analyses explore the contribution of deaths by age and cause to overall mortality inequality, and some have repeated this at different time points to explore how the constituents of inequality have changed. </w:t>
      </w:r>
    </w:p>
    <w:p w14:paraId="237E6AB2" w14:textId="288AA52E" w:rsidR="0091798B" w:rsidRDefault="0091798B" w:rsidP="0091798B">
      <w:pPr>
        <w:pStyle w:val="BodyText1"/>
        <w:numPr>
          <w:ilvl w:val="0"/>
          <w:numId w:val="21"/>
        </w:numPr>
        <w:rPr>
          <w:rFonts w:asciiTheme="minorHAnsi" w:hAnsiTheme="minorHAnsi"/>
        </w:rPr>
      </w:pPr>
      <w:r>
        <w:rPr>
          <w:rFonts w:asciiTheme="minorHAnsi" w:hAnsiTheme="minorHAnsi"/>
        </w:rPr>
        <w:t>Analyses of overall mortality trends have tended to explore the age, cause and geographical variation in this (by decomposition or age/cause specific trends).</w:t>
      </w:r>
    </w:p>
    <w:p w14:paraId="0BDC969C" w14:textId="75989971" w:rsidR="0091798B" w:rsidRDefault="0091798B" w:rsidP="0091798B">
      <w:pPr>
        <w:pStyle w:val="BodyText1"/>
        <w:numPr>
          <w:ilvl w:val="0"/>
          <w:numId w:val="21"/>
        </w:numPr>
        <w:rPr>
          <w:rFonts w:asciiTheme="minorHAnsi" w:hAnsiTheme="minorHAnsi"/>
        </w:rPr>
      </w:pPr>
      <w:r>
        <w:rPr>
          <w:rFonts w:asciiTheme="minorHAnsi" w:hAnsiTheme="minorHAnsi"/>
        </w:rPr>
        <w:t xml:space="preserve">Bringing together analyses on overall population mortality and mortality inequality is an important step in understanding to what extent </w:t>
      </w:r>
    </w:p>
    <w:p w14:paraId="1D0B8BE1" w14:textId="5F01EE42" w:rsidR="00F56DE4" w:rsidRDefault="00F56DE4" w:rsidP="0091798B">
      <w:pPr>
        <w:pStyle w:val="BodyText1"/>
        <w:numPr>
          <w:ilvl w:val="0"/>
          <w:numId w:val="21"/>
        </w:numPr>
        <w:rPr>
          <w:rFonts w:asciiTheme="minorHAnsi" w:hAnsiTheme="minorHAnsi"/>
        </w:rPr>
      </w:pPr>
      <w:r>
        <w:rPr>
          <w:rFonts w:asciiTheme="minorHAnsi" w:hAnsiTheme="minorHAnsi"/>
        </w:rPr>
        <w:t>Change in fundamentals --&gt; widening health inequalities in longevity</w:t>
      </w:r>
    </w:p>
    <w:p w14:paraId="345FDC24" w14:textId="48FB47AE" w:rsidR="00EE7DE1" w:rsidRPr="00C42E62" w:rsidRDefault="0091798B" w:rsidP="0091798B">
      <w:pPr>
        <w:pStyle w:val="Subtitle"/>
      </w:pPr>
      <w:r>
        <w:t>Questions</w:t>
      </w:r>
    </w:p>
    <w:p w14:paraId="0721180F" w14:textId="73446E7C" w:rsidR="00C42E62" w:rsidRPr="00F56DE4" w:rsidRDefault="0091798B" w:rsidP="00681205">
      <w:pPr>
        <w:pStyle w:val="BodyText1"/>
        <w:numPr>
          <w:ilvl w:val="0"/>
          <w:numId w:val="21"/>
        </w:numPr>
        <w:rPr>
          <w:rFonts w:asciiTheme="minorHAnsi" w:hAnsiTheme="minorHAnsi"/>
        </w:rPr>
      </w:pPr>
      <w:r>
        <w:rPr>
          <w:rFonts w:asciiTheme="minorHAnsi" w:hAnsiTheme="minorHAnsi"/>
        </w:rPr>
        <w:lastRenderedPageBreak/>
        <w:t>Are increasing inequalities having a marked impact on overall population mortality trends?</w:t>
      </w:r>
    </w:p>
    <w:p w14:paraId="3C76B117" w14:textId="77777777" w:rsidR="00F56DE4" w:rsidRDefault="002A2E6B" w:rsidP="00F56DE4">
      <w:pPr>
        <w:pStyle w:val="Subtitle"/>
      </w:pPr>
      <w:r w:rsidRPr="00C42E62">
        <w:t>Method</w:t>
      </w:r>
      <w:r w:rsidR="00F56DE4" w:rsidRPr="00F56DE4">
        <w:t xml:space="preserve"> </w:t>
      </w:r>
    </w:p>
    <w:p w14:paraId="3A23B387" w14:textId="3B170823" w:rsidR="00F56DE4" w:rsidRPr="00F56DE4" w:rsidRDefault="00F56DE4" w:rsidP="00F56DE4">
      <w:pPr>
        <w:pStyle w:val="Subtitle"/>
        <w:rPr>
          <w:rStyle w:val="SubtleEmphasis"/>
        </w:rPr>
      </w:pPr>
      <w:r w:rsidRPr="00F56DE4">
        <w:rPr>
          <w:rStyle w:val="SubtleEmphasis"/>
        </w:rPr>
        <w:t>Data source</w:t>
      </w:r>
    </w:p>
    <w:p w14:paraId="06AB225E" w14:textId="71CE9CCC" w:rsidR="00F56DE4" w:rsidRPr="00C42E62" w:rsidRDefault="00F56DE4" w:rsidP="00F56DE4">
      <w:pPr>
        <w:pStyle w:val="BodyText1"/>
        <w:rPr>
          <w:rFonts w:asciiTheme="minorHAnsi" w:hAnsiTheme="minorHAnsi"/>
        </w:rPr>
      </w:pPr>
      <w:r w:rsidRPr="00C42E62">
        <w:rPr>
          <w:rFonts w:asciiTheme="minorHAnsi" w:hAnsiTheme="minorHAnsi"/>
        </w:rPr>
        <w:t>NRS published</w:t>
      </w:r>
      <w:r>
        <w:rPr>
          <w:rFonts w:asciiTheme="minorHAnsi" w:hAnsiTheme="minorHAnsi"/>
        </w:rPr>
        <w:t>:</w:t>
      </w:r>
    </w:p>
    <w:p w14:paraId="6E52238C" w14:textId="77777777" w:rsidR="00F56DE4" w:rsidRPr="00C42E62" w:rsidRDefault="00F56DE4" w:rsidP="00F56DE4">
      <w:pPr>
        <w:pStyle w:val="BodyText1"/>
        <w:rPr>
          <w:rFonts w:asciiTheme="minorHAnsi" w:hAnsiTheme="minorHAnsi"/>
        </w:rPr>
      </w:pPr>
      <w:r w:rsidRPr="00C42E62">
        <w:rPr>
          <w:rFonts w:asciiTheme="minorHAnsi" w:hAnsiTheme="minorHAnsi"/>
        </w:rPr>
        <w:t xml:space="preserve">Life expectancy by SIMD 2012 (2001/03-2011/13) </w:t>
      </w:r>
      <w:hyperlink r:id="rId9" w:history="1">
        <w:r w:rsidRPr="00C42E62">
          <w:rPr>
            <w:rStyle w:val="Hyperlink"/>
            <w:rFonts w:asciiTheme="minorHAnsi" w:hAnsiTheme="minorHAnsi"/>
          </w:rPr>
          <w:t>https://www.nrscotland.gov.uk/statistics-and-data/statistics/statistics-by-theme/life-expectancy/life-expectancy-in-scottish-areas/time-series-data</w:t>
        </w:r>
      </w:hyperlink>
    </w:p>
    <w:p w14:paraId="602AA2ED" w14:textId="77777777" w:rsidR="00F56DE4" w:rsidRPr="00C42E62" w:rsidRDefault="00F56DE4" w:rsidP="00F56DE4">
      <w:pPr>
        <w:pStyle w:val="BodyText1"/>
        <w:rPr>
          <w:rFonts w:asciiTheme="minorHAnsi" w:hAnsiTheme="minorHAnsi"/>
        </w:rPr>
      </w:pPr>
      <w:r w:rsidRPr="00C42E62">
        <w:rPr>
          <w:rFonts w:asciiTheme="minorHAnsi" w:hAnsiTheme="minorHAnsi"/>
        </w:rPr>
        <w:t>Life expectancy by SIMD 2016 (2014/15-2-15/17) – expected shortly</w:t>
      </w:r>
    </w:p>
    <w:p w14:paraId="5EB93BAE" w14:textId="77777777" w:rsidR="00F56DE4" w:rsidRPr="00C42E62" w:rsidRDefault="00F56DE4" w:rsidP="00F56DE4">
      <w:pPr>
        <w:pStyle w:val="BodyText1"/>
        <w:rPr>
          <w:rFonts w:asciiTheme="minorHAnsi" w:hAnsiTheme="minorHAnsi"/>
        </w:rPr>
      </w:pPr>
      <w:r w:rsidRPr="00C42E62">
        <w:rPr>
          <w:rFonts w:asciiTheme="minorHAnsi" w:hAnsiTheme="minorHAnsi"/>
        </w:rPr>
        <w:t>Age-standardised mortality rate by SIMD 2016 quintile 2001-2017</w:t>
      </w:r>
    </w:p>
    <w:p w14:paraId="03337D66" w14:textId="77777777" w:rsidR="00F56DE4" w:rsidRPr="00C42E62" w:rsidRDefault="00F56DE4" w:rsidP="00F56DE4">
      <w:pPr>
        <w:pStyle w:val="BodyText1"/>
        <w:rPr>
          <w:rFonts w:asciiTheme="minorHAnsi" w:hAnsiTheme="minorHAnsi"/>
        </w:rPr>
      </w:pPr>
      <w:hyperlink r:id="rId10" w:history="1">
        <w:r w:rsidRPr="00C42E62">
          <w:rPr>
            <w:rStyle w:val="Hyperlink"/>
            <w:rFonts w:asciiTheme="minorHAnsi" w:hAnsiTheme="minorHAnsi"/>
          </w:rPr>
          <w:t>https://www.nrscotland.gov.uk/statistics-and-data/statistics/statistics-by-theme/vital-events/deaths/age-standardised-death-rates-calculated-using-the-esp</w:t>
        </w:r>
      </w:hyperlink>
    </w:p>
    <w:p w14:paraId="3D3C1FC5" w14:textId="3318C986" w:rsidR="00F56DE4" w:rsidRDefault="00F56DE4" w:rsidP="00681205">
      <w:pPr>
        <w:pStyle w:val="BodyText1"/>
        <w:rPr>
          <w:rFonts w:asciiTheme="minorHAnsi" w:hAnsiTheme="minorHAnsi"/>
        </w:rPr>
      </w:pPr>
      <w:r>
        <w:rPr>
          <w:rFonts w:asciiTheme="minorHAnsi" w:hAnsiTheme="minorHAnsi"/>
        </w:rPr>
        <w:t>ASMR – NRS 2001-2017 SIMD 2016 Quintile</w:t>
      </w:r>
    </w:p>
    <w:p w14:paraId="43FBEF51" w14:textId="2478A514" w:rsidR="00F56DE4" w:rsidRDefault="00F56DE4" w:rsidP="00F56DE4">
      <w:pPr>
        <w:pStyle w:val="BodyText1"/>
        <w:numPr>
          <w:ilvl w:val="0"/>
          <w:numId w:val="22"/>
        </w:numPr>
        <w:rPr>
          <w:rFonts w:asciiTheme="minorHAnsi" w:hAnsiTheme="minorHAnsi"/>
        </w:rPr>
      </w:pPr>
      <w:r>
        <w:rPr>
          <w:rFonts w:asciiTheme="minorHAnsi" w:hAnsiTheme="minorHAnsi"/>
        </w:rPr>
        <w:t>Trend</w:t>
      </w:r>
    </w:p>
    <w:p w14:paraId="7FD4DEEA" w14:textId="6C0DC2A0" w:rsidR="00F56DE4" w:rsidRDefault="00F56DE4" w:rsidP="00F56DE4">
      <w:pPr>
        <w:pStyle w:val="BodyText1"/>
        <w:numPr>
          <w:ilvl w:val="0"/>
          <w:numId w:val="22"/>
        </w:numPr>
        <w:rPr>
          <w:rFonts w:asciiTheme="minorHAnsi" w:hAnsiTheme="minorHAnsi"/>
        </w:rPr>
      </w:pPr>
      <w:r>
        <w:rPr>
          <w:rFonts w:asciiTheme="minorHAnsi" w:hAnsiTheme="minorHAnsi"/>
        </w:rPr>
        <w:t>Before &amp; after breakpoint (2011)</w:t>
      </w:r>
    </w:p>
    <w:p w14:paraId="7A42B459" w14:textId="1738B867" w:rsidR="00F56DE4" w:rsidRDefault="00F56DE4" w:rsidP="00F56DE4">
      <w:pPr>
        <w:pStyle w:val="BodyText1"/>
        <w:numPr>
          <w:ilvl w:val="0"/>
          <w:numId w:val="22"/>
        </w:numPr>
        <w:rPr>
          <w:rFonts w:asciiTheme="minorHAnsi" w:hAnsiTheme="minorHAnsi"/>
        </w:rPr>
      </w:pPr>
      <w:r>
        <w:rPr>
          <w:rFonts w:asciiTheme="minorHAnsi" w:hAnsiTheme="minorHAnsi"/>
        </w:rPr>
        <w:t>Overall measures of inequality before and after (SII/RII)</w:t>
      </w:r>
    </w:p>
    <w:p w14:paraId="31AEBA95" w14:textId="6C17680C" w:rsidR="00F56DE4" w:rsidRPr="00C42E62" w:rsidRDefault="00F56DE4" w:rsidP="00F56DE4">
      <w:pPr>
        <w:pStyle w:val="BodyText1"/>
        <w:numPr>
          <w:ilvl w:val="0"/>
          <w:numId w:val="22"/>
        </w:numPr>
        <w:rPr>
          <w:rFonts w:asciiTheme="minorHAnsi" w:hAnsiTheme="minorHAnsi"/>
        </w:rPr>
      </w:pPr>
      <w:r>
        <w:rPr>
          <w:rFonts w:asciiTheme="minorHAnsi" w:hAnsiTheme="minorHAnsi"/>
        </w:rPr>
        <w:t>Gender differences</w:t>
      </w:r>
    </w:p>
    <w:p w14:paraId="21688B4D" w14:textId="77777777" w:rsidR="00C42E62" w:rsidRPr="00C42E62" w:rsidRDefault="00C42E62" w:rsidP="00C42E62">
      <w:pPr>
        <w:pStyle w:val="Subtitle"/>
      </w:pPr>
      <w:r w:rsidRPr="00C42E62">
        <w:t>Results</w:t>
      </w:r>
    </w:p>
    <w:p w14:paraId="152635F6" w14:textId="77777777" w:rsidR="00F56DE4" w:rsidRDefault="00F56DE4" w:rsidP="00F56DE4">
      <w:pPr>
        <w:pStyle w:val="BodyText1"/>
        <w:numPr>
          <w:ilvl w:val="0"/>
          <w:numId w:val="24"/>
        </w:numPr>
        <w:rPr>
          <w:rFonts w:asciiTheme="minorHAnsi" w:hAnsiTheme="minorHAnsi"/>
        </w:rPr>
      </w:pPr>
      <w:r>
        <w:rPr>
          <w:rFonts w:asciiTheme="minorHAnsi" w:hAnsiTheme="minorHAnsi"/>
        </w:rPr>
        <w:t>Trend</w:t>
      </w:r>
    </w:p>
    <w:p w14:paraId="75F0CD32" w14:textId="77777777" w:rsidR="00F56DE4" w:rsidRDefault="00F56DE4" w:rsidP="00F56DE4">
      <w:pPr>
        <w:pStyle w:val="BodyText1"/>
        <w:numPr>
          <w:ilvl w:val="0"/>
          <w:numId w:val="24"/>
        </w:numPr>
        <w:rPr>
          <w:rFonts w:asciiTheme="minorHAnsi" w:hAnsiTheme="minorHAnsi"/>
        </w:rPr>
      </w:pPr>
      <w:r>
        <w:rPr>
          <w:rFonts w:asciiTheme="minorHAnsi" w:hAnsiTheme="minorHAnsi"/>
        </w:rPr>
        <w:t>Before &amp; after breakpoint (2011)</w:t>
      </w:r>
    </w:p>
    <w:p w14:paraId="31FCE529" w14:textId="77777777" w:rsidR="00F56DE4" w:rsidRDefault="00F56DE4" w:rsidP="00F56DE4">
      <w:pPr>
        <w:pStyle w:val="BodyText1"/>
        <w:numPr>
          <w:ilvl w:val="0"/>
          <w:numId w:val="24"/>
        </w:numPr>
        <w:rPr>
          <w:rFonts w:asciiTheme="minorHAnsi" w:hAnsiTheme="minorHAnsi"/>
        </w:rPr>
      </w:pPr>
      <w:r>
        <w:rPr>
          <w:rFonts w:asciiTheme="minorHAnsi" w:hAnsiTheme="minorHAnsi"/>
        </w:rPr>
        <w:t>Overall measures of inequality before and after (SII/RII)</w:t>
      </w:r>
    </w:p>
    <w:p w14:paraId="2D1594C7" w14:textId="0645C25B" w:rsidR="00C42E62" w:rsidRPr="00F56DE4" w:rsidRDefault="00F56DE4" w:rsidP="00681205">
      <w:pPr>
        <w:pStyle w:val="BodyText1"/>
        <w:numPr>
          <w:ilvl w:val="0"/>
          <w:numId w:val="24"/>
        </w:numPr>
        <w:rPr>
          <w:rFonts w:asciiTheme="minorHAnsi" w:hAnsiTheme="minorHAnsi"/>
        </w:rPr>
      </w:pPr>
      <w:r>
        <w:rPr>
          <w:rFonts w:asciiTheme="minorHAnsi" w:hAnsiTheme="minorHAnsi"/>
        </w:rPr>
        <w:t>Gender differences</w:t>
      </w:r>
    </w:p>
    <w:p w14:paraId="2FF96711" w14:textId="77777777" w:rsidR="00C42E62" w:rsidRPr="00C42E62" w:rsidRDefault="00C42E62" w:rsidP="00C42E62">
      <w:pPr>
        <w:pStyle w:val="Subtitle"/>
      </w:pPr>
      <w:r w:rsidRPr="00C42E62">
        <w:t>Discussion</w:t>
      </w:r>
    </w:p>
    <w:p w14:paraId="0DF3C9AD" w14:textId="554B5C55" w:rsidR="00C42E62" w:rsidRDefault="00021ECB" w:rsidP="00681205">
      <w:pPr>
        <w:pStyle w:val="BodyText1"/>
        <w:rPr>
          <w:rFonts w:asciiTheme="minorHAnsi" w:hAnsiTheme="minorHAnsi"/>
        </w:rPr>
      </w:pPr>
      <w:r>
        <w:rPr>
          <w:rFonts w:asciiTheme="minorHAnsi" w:hAnsiTheme="minorHAnsi"/>
        </w:rPr>
        <w:t>Limitations</w:t>
      </w:r>
    </w:p>
    <w:p w14:paraId="165BA811" w14:textId="30378ECC" w:rsidR="00021ECB" w:rsidRDefault="00021ECB" w:rsidP="00681205">
      <w:pPr>
        <w:pStyle w:val="BodyText1"/>
        <w:rPr>
          <w:rFonts w:asciiTheme="minorHAnsi" w:hAnsiTheme="minorHAnsi"/>
        </w:rPr>
      </w:pPr>
      <w:r>
        <w:rPr>
          <w:rFonts w:asciiTheme="minorHAnsi" w:hAnsiTheme="minorHAnsi"/>
        </w:rPr>
        <w:t>Implications for practice</w:t>
      </w:r>
    </w:p>
    <w:p w14:paraId="226630E2" w14:textId="5E6DEDDE" w:rsidR="00021ECB" w:rsidRPr="00C42E62" w:rsidRDefault="00021ECB" w:rsidP="00681205">
      <w:pPr>
        <w:pStyle w:val="BodyText1"/>
        <w:rPr>
          <w:rFonts w:asciiTheme="minorHAnsi" w:hAnsiTheme="minorHAnsi"/>
        </w:rPr>
      </w:pPr>
      <w:r>
        <w:rPr>
          <w:rFonts w:asciiTheme="minorHAnsi" w:hAnsiTheme="minorHAnsi"/>
        </w:rPr>
        <w:t>Implications for research</w:t>
      </w:r>
      <w:bookmarkStart w:id="0" w:name="_GoBack"/>
      <w:bookmarkEnd w:id="0"/>
    </w:p>
    <w:p w14:paraId="5C8CA4CC" w14:textId="1AC84437" w:rsidR="00C42E62" w:rsidRPr="00C42E62" w:rsidRDefault="00EE7DE1" w:rsidP="00681205">
      <w:pPr>
        <w:pStyle w:val="BodyText1"/>
        <w:rPr>
          <w:rFonts w:asciiTheme="minorHAnsi" w:hAnsiTheme="minorHAnsi"/>
        </w:rPr>
      </w:pPr>
      <w:r>
        <w:pict w14:anchorId="31B2287E">
          <v:rect id="_x0000_i1027" style="width:0;height:1.5pt" o:hralign="center" o:hrstd="t" o:hr="t" fillcolor="#a0a0a0" stroked="f"/>
        </w:pict>
      </w:r>
    </w:p>
    <w:p w14:paraId="1A9B13BB" w14:textId="5757A265" w:rsidR="00C42E62" w:rsidRDefault="002A2E6B" w:rsidP="00C42E62">
      <w:pPr>
        <w:pStyle w:val="Subtitle"/>
      </w:pPr>
      <w:r>
        <w:lastRenderedPageBreak/>
        <w:t>Q</w:t>
      </w:r>
      <w:r w:rsidR="00C42E62" w:rsidRPr="00C42E62">
        <w:t>uestions</w:t>
      </w:r>
      <w:r>
        <w:t xml:space="preserve"> to be addressed</w:t>
      </w:r>
    </w:p>
    <w:p w14:paraId="4A50BCCF" w14:textId="76FA7A83" w:rsidR="000B084A" w:rsidRPr="000B084A" w:rsidRDefault="00EE7DE1" w:rsidP="000B084A">
      <w:r>
        <w:pict w14:anchorId="023AEDF4">
          <v:rect id="_x0000_i1025" style="width:0;height:1.5pt" o:hralign="center" o:hrstd="t" o:hr="t" fillcolor="#a0a0a0" stroked="f"/>
        </w:pict>
      </w:r>
    </w:p>
    <w:p w14:paraId="16681CCE" w14:textId="77777777" w:rsidR="000B084A" w:rsidRDefault="000B084A" w:rsidP="000B084A">
      <w:pPr>
        <w:pStyle w:val="Subtitle"/>
      </w:pPr>
      <w:r>
        <w:t>Key literature/existing analyses</w:t>
      </w:r>
    </w:p>
    <w:p w14:paraId="3325C8E1" w14:textId="5FB5E2E1" w:rsidR="008139F8" w:rsidRPr="00487E2F" w:rsidRDefault="008139F8" w:rsidP="00487E2F">
      <w:pPr>
        <w:pStyle w:val="ListParagraph"/>
        <w:numPr>
          <w:ilvl w:val="0"/>
          <w:numId w:val="20"/>
        </w:numPr>
        <w:rPr>
          <w:b/>
          <w:sz w:val="22"/>
          <w:szCs w:val="22"/>
        </w:rPr>
      </w:pPr>
      <w:r w:rsidRPr="00487E2F">
        <w:rPr>
          <w:b/>
          <w:sz w:val="22"/>
          <w:szCs w:val="22"/>
        </w:rPr>
        <w:t>Trends in mortality inequality Scotland</w:t>
      </w:r>
    </w:p>
    <w:p w14:paraId="4B982280" w14:textId="77777777" w:rsidR="000B084A" w:rsidRPr="008139F8" w:rsidRDefault="000B084A" w:rsidP="008139F8">
      <w:pPr>
        <w:pStyle w:val="ListParagraph"/>
        <w:numPr>
          <w:ilvl w:val="0"/>
          <w:numId w:val="14"/>
        </w:numPr>
        <w:rPr>
          <w:sz w:val="22"/>
          <w:szCs w:val="22"/>
        </w:rPr>
      </w:pPr>
      <w:r w:rsidRPr="008139F8">
        <w:rPr>
          <w:sz w:val="22"/>
          <w:szCs w:val="22"/>
        </w:rPr>
        <w:t xml:space="preserve">Taulbut M, Agbato D, McCartney NHS Health Scotland G. Working and hurting? Monitoring the health and health inequalities impacts of the economic downturn and changes to the social security system [Internet]. 2018 [cited 2018 Sep 25]. Available from: </w:t>
      </w:r>
      <w:hyperlink r:id="rId11" w:history="1">
        <w:r w:rsidRPr="008139F8">
          <w:rPr>
            <w:rStyle w:val="Hyperlink"/>
            <w:sz w:val="22"/>
            <w:szCs w:val="22"/>
          </w:rPr>
          <w:t>http://www.healthscotland.scot/media/2147/working-and-hurting-sep-2018-english.pdf</w:t>
        </w:r>
      </w:hyperlink>
    </w:p>
    <w:p w14:paraId="26705C46" w14:textId="77777777" w:rsidR="000B084A" w:rsidRPr="008139F8" w:rsidRDefault="000B084A" w:rsidP="000B084A">
      <w:pPr>
        <w:pStyle w:val="ListParagraph"/>
        <w:numPr>
          <w:ilvl w:val="0"/>
          <w:numId w:val="11"/>
        </w:numPr>
        <w:rPr>
          <w:sz w:val="22"/>
          <w:szCs w:val="22"/>
        </w:rPr>
      </w:pPr>
      <w:r w:rsidRPr="008139F8">
        <w:rPr>
          <w:sz w:val="22"/>
          <w:szCs w:val="22"/>
        </w:rPr>
        <w:t>Working age mortality (15-64 years) SIMD 2012, 2001-2015: RII, SII</w:t>
      </w:r>
    </w:p>
    <w:p w14:paraId="3F909FC1" w14:textId="77777777" w:rsidR="000B084A" w:rsidRDefault="000B084A" w:rsidP="000B084A">
      <w:pPr>
        <w:pStyle w:val="ListParagraph"/>
        <w:numPr>
          <w:ilvl w:val="0"/>
          <w:numId w:val="11"/>
        </w:numPr>
        <w:rPr>
          <w:sz w:val="22"/>
          <w:szCs w:val="22"/>
        </w:rPr>
      </w:pPr>
      <w:r w:rsidRPr="008139F8">
        <w:rPr>
          <w:sz w:val="22"/>
          <w:szCs w:val="22"/>
        </w:rPr>
        <w:t>All-cause mortality (ASMR) by SIMD quintile 1996-2016 (various SIMD applied)</w:t>
      </w:r>
    </w:p>
    <w:p w14:paraId="2A4D7D0A" w14:textId="77777777" w:rsidR="008139F8" w:rsidRDefault="008139F8" w:rsidP="008139F8">
      <w:pPr>
        <w:pStyle w:val="ListParagraph"/>
        <w:numPr>
          <w:ilvl w:val="0"/>
          <w:numId w:val="14"/>
        </w:numPr>
        <w:rPr>
          <w:sz w:val="22"/>
          <w:szCs w:val="22"/>
        </w:rPr>
      </w:pPr>
      <w:r>
        <w:rPr>
          <w:sz w:val="22"/>
          <w:szCs w:val="22"/>
        </w:rPr>
        <w:t xml:space="preserve">Long-term monitoring report </w:t>
      </w:r>
      <w:hyperlink r:id="rId12" w:history="1">
        <w:r w:rsidRPr="004303E4">
          <w:rPr>
            <w:rStyle w:val="Hyperlink"/>
            <w:sz w:val="22"/>
            <w:szCs w:val="22"/>
          </w:rPr>
          <w:t>https://www.gov.scot/publications/long-term-monitoring-health-inequalities-december-2017/</w:t>
        </w:r>
      </w:hyperlink>
      <w:r>
        <w:rPr>
          <w:sz w:val="22"/>
          <w:szCs w:val="22"/>
        </w:rPr>
        <w:t xml:space="preserve"> </w:t>
      </w:r>
    </w:p>
    <w:p w14:paraId="3E670693" w14:textId="2B379DAE" w:rsidR="00487E2F" w:rsidRDefault="00487E2F" w:rsidP="00487E2F">
      <w:pPr>
        <w:pStyle w:val="ListParagraph"/>
        <w:numPr>
          <w:ilvl w:val="0"/>
          <w:numId w:val="16"/>
        </w:numPr>
        <w:rPr>
          <w:sz w:val="22"/>
          <w:szCs w:val="22"/>
        </w:rPr>
      </w:pPr>
      <w:r>
        <w:rPr>
          <w:sz w:val="22"/>
          <w:szCs w:val="22"/>
        </w:rPr>
        <w:t>Inequality in HLE</w:t>
      </w:r>
    </w:p>
    <w:p w14:paraId="0DA47D7E" w14:textId="117406DA" w:rsidR="00487E2F" w:rsidRDefault="00487E2F" w:rsidP="00487E2F">
      <w:pPr>
        <w:pStyle w:val="ListParagraph"/>
        <w:numPr>
          <w:ilvl w:val="0"/>
          <w:numId w:val="16"/>
        </w:numPr>
        <w:rPr>
          <w:sz w:val="22"/>
          <w:szCs w:val="22"/>
        </w:rPr>
      </w:pPr>
      <w:r>
        <w:rPr>
          <w:sz w:val="22"/>
          <w:szCs w:val="22"/>
        </w:rPr>
        <w:t>Premature mortality (&lt;75) RII, SII</w:t>
      </w:r>
    </w:p>
    <w:p w14:paraId="79C2BEDF" w14:textId="6936F534" w:rsidR="008139F8" w:rsidRDefault="00487E2F" w:rsidP="008139F8">
      <w:pPr>
        <w:pStyle w:val="ListParagraph"/>
        <w:numPr>
          <w:ilvl w:val="0"/>
          <w:numId w:val="14"/>
        </w:numPr>
        <w:rPr>
          <w:sz w:val="22"/>
          <w:szCs w:val="22"/>
        </w:rPr>
      </w:pPr>
      <w:r w:rsidRPr="00487E2F">
        <w:rPr>
          <w:sz w:val="22"/>
          <w:szCs w:val="22"/>
        </w:rPr>
        <w:t xml:space="preserve">Mesalles-Naranjo O, Grant I, Wyper GMA, Stockton D, Dobbie R, McFadden M, et al. Trends and inequalities in the burden of mortality in Scotland 2000–2015. Devleesschauwer B, editor. PLoS One [Internet]. 2018 Aug 1 [cited 2018 Dec 5];13(8):e0196906. Available from: </w:t>
      </w:r>
      <w:hyperlink r:id="rId13" w:history="1">
        <w:r w:rsidRPr="004303E4">
          <w:rPr>
            <w:rStyle w:val="Hyperlink"/>
            <w:sz w:val="22"/>
            <w:szCs w:val="22"/>
          </w:rPr>
          <w:t>https://dx.plos.org/10.1371/journal.pone.0196906</w:t>
        </w:r>
      </w:hyperlink>
    </w:p>
    <w:p w14:paraId="22B313DC" w14:textId="4F44635B" w:rsidR="00487E2F" w:rsidRPr="008139F8" w:rsidRDefault="00487E2F" w:rsidP="00487E2F">
      <w:pPr>
        <w:pStyle w:val="ListParagraph"/>
        <w:numPr>
          <w:ilvl w:val="0"/>
          <w:numId w:val="17"/>
        </w:numPr>
        <w:rPr>
          <w:sz w:val="22"/>
          <w:szCs w:val="22"/>
        </w:rPr>
      </w:pPr>
      <w:r>
        <w:rPr>
          <w:sz w:val="22"/>
          <w:szCs w:val="22"/>
        </w:rPr>
        <w:t>SII for years of life lost by cause to 2015</w:t>
      </w:r>
    </w:p>
    <w:p w14:paraId="3F2173D6" w14:textId="2C7E2218" w:rsidR="008139F8" w:rsidRPr="00487E2F" w:rsidRDefault="008139F8" w:rsidP="00487E2F">
      <w:pPr>
        <w:pStyle w:val="ListParagraph"/>
        <w:numPr>
          <w:ilvl w:val="0"/>
          <w:numId w:val="20"/>
        </w:numPr>
        <w:rPr>
          <w:b/>
          <w:sz w:val="22"/>
          <w:szCs w:val="22"/>
        </w:rPr>
      </w:pPr>
      <w:r w:rsidRPr="00487E2F">
        <w:rPr>
          <w:b/>
          <w:sz w:val="22"/>
          <w:szCs w:val="22"/>
        </w:rPr>
        <w:t>Assessing age/cause contributions to health inequality</w:t>
      </w:r>
    </w:p>
    <w:p w14:paraId="0165B848" w14:textId="77777777" w:rsidR="008139F8" w:rsidRPr="008139F8" w:rsidRDefault="008139F8" w:rsidP="008139F8">
      <w:pPr>
        <w:rPr>
          <w:sz w:val="22"/>
          <w:szCs w:val="22"/>
        </w:rPr>
      </w:pPr>
      <w:r w:rsidRPr="00487E2F">
        <w:rPr>
          <w:b/>
          <w:sz w:val="22"/>
          <w:szCs w:val="22"/>
        </w:rPr>
        <w:t>Scotland</w:t>
      </w:r>
      <w:r w:rsidRPr="008139F8">
        <w:rPr>
          <w:sz w:val="22"/>
          <w:szCs w:val="22"/>
        </w:rPr>
        <w:t>:</w:t>
      </w:r>
    </w:p>
    <w:p w14:paraId="365B45F9" w14:textId="77777777" w:rsidR="000B084A" w:rsidRPr="008139F8" w:rsidRDefault="000B084A" w:rsidP="000B084A">
      <w:pPr>
        <w:pStyle w:val="ListParagraph"/>
        <w:ind w:left="0"/>
        <w:rPr>
          <w:sz w:val="22"/>
          <w:szCs w:val="22"/>
        </w:rPr>
      </w:pPr>
      <w:r w:rsidRPr="008139F8">
        <w:rPr>
          <w:sz w:val="22"/>
          <w:szCs w:val="22"/>
        </w:rPr>
        <w:t xml:space="preserve"> </w:t>
      </w:r>
      <w:r w:rsidRPr="008139F8">
        <w:rPr>
          <w:sz w:val="22"/>
          <w:szCs w:val="22"/>
        </w:rPr>
        <w:t xml:space="preserve">Seaman R, Leyland A, Popham F. OP05 Which ages and causes of death explain the widening lifespan variation gap in scotland? a population based study using routine data. J Epidemiol Community Heal [Internet]. 2017 Sep 1 [cited 2018 Aug 29];71(Suppl 1):A3–4. Available from: </w:t>
      </w:r>
      <w:hyperlink r:id="rId14" w:history="1">
        <w:r w:rsidRPr="008139F8">
          <w:rPr>
            <w:rStyle w:val="Hyperlink"/>
            <w:sz w:val="22"/>
            <w:szCs w:val="22"/>
          </w:rPr>
          <w:t>https://jech.bmj.com/content/71/Suppl_1/A3.2</w:t>
        </w:r>
      </w:hyperlink>
    </w:p>
    <w:p w14:paraId="6698348D" w14:textId="77777777" w:rsidR="000B084A" w:rsidRPr="008139F8" w:rsidRDefault="000B084A" w:rsidP="008139F8">
      <w:pPr>
        <w:pStyle w:val="ListParagraph"/>
        <w:numPr>
          <w:ilvl w:val="0"/>
          <w:numId w:val="12"/>
        </w:numPr>
        <w:rPr>
          <w:sz w:val="22"/>
          <w:szCs w:val="22"/>
        </w:rPr>
      </w:pPr>
      <w:r w:rsidRPr="008139F8">
        <w:rPr>
          <w:sz w:val="22"/>
          <w:szCs w:val="22"/>
        </w:rPr>
        <w:t xml:space="preserve">Lifespan variation, Carstairs 1981-2011, decomposition of </w:t>
      </w:r>
      <w:r w:rsidR="008139F8" w:rsidRPr="008139F8">
        <w:rPr>
          <w:sz w:val="22"/>
          <w:szCs w:val="22"/>
        </w:rPr>
        <w:t>age/cause contributors to lifespan gap in 1981 and 2011</w:t>
      </w:r>
    </w:p>
    <w:p w14:paraId="7824FB62" w14:textId="77777777" w:rsidR="008139F8" w:rsidRPr="008139F8" w:rsidRDefault="008139F8" w:rsidP="008139F8">
      <w:pPr>
        <w:pStyle w:val="ListParagraph"/>
        <w:numPr>
          <w:ilvl w:val="0"/>
          <w:numId w:val="12"/>
        </w:numPr>
        <w:rPr>
          <w:sz w:val="22"/>
          <w:szCs w:val="22"/>
        </w:rPr>
      </w:pPr>
      <w:r w:rsidRPr="008139F8">
        <w:rPr>
          <w:sz w:val="22"/>
          <w:szCs w:val="22"/>
        </w:rPr>
        <w:t>Increased contribution of working age deaths and deaths due to external causes ton inequality</w:t>
      </w:r>
    </w:p>
    <w:p w14:paraId="3DCCC99A" w14:textId="77777777" w:rsidR="00CF502F" w:rsidRDefault="008139F8" w:rsidP="00681205">
      <w:pPr>
        <w:pStyle w:val="BodyText1"/>
        <w:rPr>
          <w:rFonts w:asciiTheme="minorHAnsi" w:hAnsiTheme="minorHAnsi"/>
          <w:sz w:val="22"/>
          <w:szCs w:val="22"/>
        </w:rPr>
      </w:pPr>
      <w:r w:rsidRPr="00487E2F">
        <w:rPr>
          <w:rFonts w:asciiTheme="minorHAnsi" w:hAnsiTheme="minorHAnsi"/>
          <w:b/>
          <w:sz w:val="22"/>
          <w:szCs w:val="22"/>
        </w:rPr>
        <w:t>England</w:t>
      </w:r>
      <w:r w:rsidRPr="008139F8">
        <w:rPr>
          <w:rFonts w:asciiTheme="minorHAnsi" w:hAnsiTheme="minorHAnsi"/>
          <w:sz w:val="22"/>
          <w:szCs w:val="22"/>
        </w:rPr>
        <w:t>:</w:t>
      </w:r>
    </w:p>
    <w:p w14:paraId="745EDB1B" w14:textId="5B8D2389" w:rsidR="008139F8" w:rsidRDefault="008139F8" w:rsidP="00487E2F">
      <w:pPr>
        <w:pStyle w:val="BodyText1"/>
        <w:numPr>
          <w:ilvl w:val="0"/>
          <w:numId w:val="19"/>
        </w:numPr>
        <w:rPr>
          <w:rFonts w:asciiTheme="minorHAnsi" w:hAnsiTheme="minorHAnsi"/>
          <w:sz w:val="22"/>
          <w:szCs w:val="22"/>
        </w:rPr>
      </w:pPr>
      <w:r>
        <w:rPr>
          <w:rFonts w:asciiTheme="minorHAnsi" w:hAnsiTheme="minorHAnsi"/>
          <w:sz w:val="22"/>
          <w:szCs w:val="22"/>
        </w:rPr>
        <w:t xml:space="preserve">PHE report: </w:t>
      </w:r>
      <w:hyperlink r:id="rId15" w:history="1">
        <w:r w:rsidRPr="004303E4">
          <w:rPr>
            <w:rStyle w:val="Hyperlink"/>
            <w:rFonts w:asciiTheme="minorHAnsi" w:hAnsiTheme="minorHAnsi"/>
            <w:sz w:val="22"/>
            <w:szCs w:val="22"/>
          </w:rPr>
          <w:t>https://www.gov.uk/government/publications/health-profile-for-england-2018/chapter-5-inequalities-in-health#contribution-of-age-groups-and-causes-of-death-to-the-gap-in-life-expectancy</w:t>
        </w:r>
      </w:hyperlink>
    </w:p>
    <w:p w14:paraId="7608838E" w14:textId="77777777" w:rsidR="008139F8" w:rsidRDefault="008139F8" w:rsidP="00487E2F">
      <w:pPr>
        <w:pStyle w:val="BodyText1"/>
        <w:numPr>
          <w:ilvl w:val="0"/>
          <w:numId w:val="18"/>
        </w:numPr>
        <w:spacing w:after="0" w:line="240" w:lineRule="auto"/>
        <w:ind w:left="714" w:hanging="357"/>
        <w:rPr>
          <w:rFonts w:asciiTheme="minorHAnsi" w:hAnsiTheme="minorHAnsi"/>
          <w:sz w:val="22"/>
          <w:szCs w:val="22"/>
        </w:rPr>
      </w:pPr>
      <w:r>
        <w:rPr>
          <w:rFonts w:asciiTheme="minorHAnsi" w:hAnsiTheme="minorHAnsi"/>
          <w:sz w:val="22"/>
          <w:szCs w:val="22"/>
        </w:rPr>
        <w:t>LE and HLE inequality 2014/16 SII</w:t>
      </w:r>
    </w:p>
    <w:p w14:paraId="3F32C145" w14:textId="10E7B96F" w:rsidR="008139F8" w:rsidRDefault="008139F8" w:rsidP="00487E2F">
      <w:pPr>
        <w:pStyle w:val="BodyText1"/>
        <w:numPr>
          <w:ilvl w:val="0"/>
          <w:numId w:val="18"/>
        </w:numPr>
        <w:spacing w:after="0" w:line="240" w:lineRule="auto"/>
        <w:rPr>
          <w:rFonts w:asciiTheme="minorHAnsi" w:hAnsiTheme="minorHAnsi"/>
          <w:sz w:val="22"/>
          <w:szCs w:val="22"/>
        </w:rPr>
      </w:pPr>
      <w:r>
        <w:rPr>
          <w:rFonts w:asciiTheme="minorHAnsi" w:hAnsiTheme="minorHAnsi"/>
          <w:sz w:val="22"/>
          <w:szCs w:val="22"/>
        </w:rPr>
        <w:t>Age/cause decomposition of LE gap (most-least deprived decile) 2014/16</w:t>
      </w:r>
    </w:p>
    <w:p w14:paraId="2DCC47B5" w14:textId="77777777" w:rsidR="00487E2F" w:rsidRPr="00487E2F" w:rsidRDefault="00487E2F" w:rsidP="00487E2F">
      <w:pPr>
        <w:pStyle w:val="BodyText1"/>
        <w:spacing w:after="0" w:line="240" w:lineRule="auto"/>
        <w:ind w:left="714"/>
        <w:rPr>
          <w:rFonts w:asciiTheme="minorHAnsi" w:hAnsiTheme="minorHAnsi"/>
          <w:sz w:val="22"/>
          <w:szCs w:val="22"/>
        </w:rPr>
      </w:pPr>
    </w:p>
    <w:p w14:paraId="192D3ED9" w14:textId="5F7DB911" w:rsidR="008139F8" w:rsidRDefault="008139F8" w:rsidP="00487E2F">
      <w:pPr>
        <w:pStyle w:val="BodyText1"/>
        <w:numPr>
          <w:ilvl w:val="0"/>
          <w:numId w:val="19"/>
        </w:numPr>
        <w:rPr>
          <w:rFonts w:asciiTheme="minorHAnsi" w:hAnsiTheme="minorHAnsi"/>
          <w:sz w:val="22"/>
          <w:szCs w:val="22"/>
        </w:rPr>
      </w:pPr>
      <w:r w:rsidRPr="008139F8">
        <w:rPr>
          <w:rFonts w:asciiTheme="minorHAnsi" w:hAnsiTheme="minorHAnsi"/>
          <w:sz w:val="22"/>
          <w:szCs w:val="22"/>
        </w:rPr>
        <w:t xml:space="preserve">Bennett JE, Pearson-Stuttard J, Kontis V, Capewell S, Wolfe I, Ezzati M. Contributions of diseases and injuries to widening life expectancy inequalities in England from 2001 to 2016: a population-based analysis of vital registration data. Lancet Public Heal [Internet]. 2018 Nov 23 [cited 2018 Dec 5];3(12):e586–97. Available from: </w:t>
      </w:r>
      <w:hyperlink r:id="rId16" w:history="1">
        <w:r w:rsidRPr="008139F8">
          <w:rPr>
            <w:rStyle w:val="Hyperlink"/>
            <w:rFonts w:asciiTheme="minorHAnsi" w:hAnsiTheme="minorHAnsi"/>
            <w:sz w:val="22"/>
            <w:szCs w:val="22"/>
          </w:rPr>
          <w:t>https://www.sciencedirect.com/science/article/pii/S2468266718302147</w:t>
        </w:r>
      </w:hyperlink>
      <w:r w:rsidRPr="008139F8">
        <w:rPr>
          <w:rFonts w:asciiTheme="minorHAnsi" w:hAnsiTheme="minorHAnsi"/>
          <w:sz w:val="22"/>
          <w:szCs w:val="22"/>
        </w:rPr>
        <w:t xml:space="preserve"> </w:t>
      </w:r>
    </w:p>
    <w:p w14:paraId="77D0C8F2" w14:textId="77777777" w:rsidR="008139F8" w:rsidRDefault="008139F8" w:rsidP="008139F8">
      <w:pPr>
        <w:pStyle w:val="BodyText1"/>
        <w:rPr>
          <w:rFonts w:asciiTheme="minorHAnsi" w:hAnsiTheme="minorHAnsi"/>
          <w:sz w:val="22"/>
          <w:szCs w:val="22"/>
        </w:rPr>
      </w:pPr>
      <w:r w:rsidRPr="00487E2F">
        <w:rPr>
          <w:rFonts w:asciiTheme="minorHAnsi" w:hAnsiTheme="minorHAnsi"/>
          <w:b/>
          <w:sz w:val="22"/>
          <w:szCs w:val="22"/>
        </w:rPr>
        <w:t>Northern Ireland</w:t>
      </w:r>
      <w:r>
        <w:rPr>
          <w:rFonts w:asciiTheme="minorHAnsi" w:hAnsiTheme="minorHAnsi"/>
          <w:sz w:val="22"/>
          <w:szCs w:val="22"/>
        </w:rPr>
        <w:t>:</w:t>
      </w:r>
    </w:p>
    <w:p w14:paraId="1FB9DC02" w14:textId="77777777" w:rsidR="008139F8" w:rsidRDefault="008139F8" w:rsidP="008139F8">
      <w:pPr>
        <w:pStyle w:val="BodyText1"/>
        <w:rPr>
          <w:rFonts w:asciiTheme="minorHAnsi" w:hAnsiTheme="minorHAnsi"/>
          <w:sz w:val="22"/>
          <w:szCs w:val="22"/>
        </w:rPr>
      </w:pPr>
      <w:hyperlink r:id="rId17" w:history="1">
        <w:r w:rsidRPr="004303E4">
          <w:rPr>
            <w:rStyle w:val="Hyperlink"/>
            <w:rFonts w:asciiTheme="minorHAnsi" w:hAnsiTheme="minorHAnsi"/>
            <w:sz w:val="22"/>
            <w:szCs w:val="22"/>
          </w:rPr>
          <w:t>https://www.health-ni.gov.uk/publications/health-inequalities-life-expectancy-decomposition-2017</w:t>
        </w:r>
      </w:hyperlink>
    </w:p>
    <w:p w14:paraId="383A0860" w14:textId="77777777" w:rsidR="008139F8" w:rsidRPr="008139F8" w:rsidRDefault="008139F8" w:rsidP="008139F8">
      <w:pPr>
        <w:pStyle w:val="BodyText1"/>
        <w:numPr>
          <w:ilvl w:val="0"/>
          <w:numId w:val="15"/>
        </w:numPr>
        <w:rPr>
          <w:rFonts w:asciiTheme="minorHAnsi" w:hAnsiTheme="minorHAnsi"/>
          <w:sz w:val="22"/>
          <w:szCs w:val="22"/>
        </w:rPr>
      </w:pPr>
      <w:r>
        <w:rPr>
          <w:rFonts w:asciiTheme="minorHAnsi" w:hAnsiTheme="minorHAnsi"/>
          <w:sz w:val="22"/>
          <w:szCs w:val="22"/>
        </w:rPr>
        <w:t>Life expectancy decomposition 2009/11-2012/15 by age, sex, cause, rurality</w:t>
      </w:r>
    </w:p>
    <w:p w14:paraId="256027F0" w14:textId="34B2F2AF" w:rsidR="008139F8" w:rsidRPr="00487E2F" w:rsidRDefault="002E1173" w:rsidP="00487E2F">
      <w:pPr>
        <w:pStyle w:val="BodyText1"/>
        <w:numPr>
          <w:ilvl w:val="0"/>
          <w:numId w:val="20"/>
        </w:numPr>
        <w:rPr>
          <w:rFonts w:asciiTheme="minorHAnsi" w:hAnsiTheme="minorHAnsi"/>
          <w:b/>
          <w:sz w:val="22"/>
          <w:szCs w:val="22"/>
        </w:rPr>
      </w:pPr>
      <w:r w:rsidRPr="00487E2F">
        <w:rPr>
          <w:rFonts w:asciiTheme="minorHAnsi" w:hAnsiTheme="minorHAnsi"/>
          <w:b/>
          <w:sz w:val="22"/>
          <w:szCs w:val="22"/>
        </w:rPr>
        <w:t>Health inequality in Scotland in context</w:t>
      </w:r>
    </w:p>
    <w:p w14:paraId="74E8EC97" w14:textId="145BC33C" w:rsidR="002E1173" w:rsidRPr="00487E2F" w:rsidRDefault="002E1173" w:rsidP="008139F8">
      <w:pPr>
        <w:pStyle w:val="BodyText1"/>
        <w:rPr>
          <w:rFonts w:asciiTheme="minorHAnsi" w:hAnsiTheme="minorHAnsi"/>
          <w:sz w:val="22"/>
          <w:szCs w:val="22"/>
        </w:rPr>
      </w:pPr>
      <w:r w:rsidRPr="00487E2F">
        <w:rPr>
          <w:rFonts w:asciiTheme="minorHAnsi" w:hAnsiTheme="minorHAnsi"/>
          <w:sz w:val="22"/>
          <w:szCs w:val="22"/>
        </w:rPr>
        <w:t>Seaman R, Seaman R, Leyland A, Popham F. Lifespan variation since 1950: How does Scotland compare to 16 other Western European countries? [Internet]. [cited 2018 Oct 1]. Available from: https://academic.oup.com/eurpub/article-abstract/24/suppl_2/cku166-019/2839783</w:t>
      </w:r>
    </w:p>
    <w:sectPr w:rsidR="002E1173" w:rsidRPr="00487E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AF642C04"/>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AB20DCA"/>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6E841BCC"/>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A86010"/>
    <w:multiLevelType w:val="hybridMultilevel"/>
    <w:tmpl w:val="05305C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05E1A69"/>
    <w:multiLevelType w:val="hybridMultilevel"/>
    <w:tmpl w:val="0902E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A0B90"/>
    <w:multiLevelType w:val="hybridMultilevel"/>
    <w:tmpl w:val="AEE66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FD4968"/>
    <w:multiLevelType w:val="hybridMultilevel"/>
    <w:tmpl w:val="52AE4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0368E0"/>
    <w:multiLevelType w:val="hybridMultilevel"/>
    <w:tmpl w:val="EE04A284"/>
    <w:lvl w:ilvl="0" w:tplc="447CC512">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E83C5C"/>
    <w:multiLevelType w:val="hybridMultilevel"/>
    <w:tmpl w:val="A2F65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DE020B"/>
    <w:multiLevelType w:val="hybridMultilevel"/>
    <w:tmpl w:val="43349C26"/>
    <w:lvl w:ilvl="0" w:tplc="08090001">
      <w:start w:val="1"/>
      <w:numFmt w:val="bullet"/>
      <w:lvlText w:val=""/>
      <w:lvlJc w:val="left"/>
      <w:pPr>
        <w:ind w:left="744" w:hanging="360"/>
      </w:pPr>
      <w:rPr>
        <w:rFonts w:ascii="Symbol" w:hAnsi="Symbol" w:hint="default"/>
      </w:rPr>
    </w:lvl>
    <w:lvl w:ilvl="1" w:tplc="08090003">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10" w15:restartNumberingAfterBreak="0">
    <w:nsid w:val="32481EFD"/>
    <w:multiLevelType w:val="hybridMultilevel"/>
    <w:tmpl w:val="E98C249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4462ABC"/>
    <w:multiLevelType w:val="hybridMultilevel"/>
    <w:tmpl w:val="4F863FAC"/>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DB87D9E"/>
    <w:multiLevelType w:val="hybridMultilevel"/>
    <w:tmpl w:val="E8B298F4"/>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6405419"/>
    <w:multiLevelType w:val="hybridMultilevel"/>
    <w:tmpl w:val="0E3C4F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7570A34"/>
    <w:multiLevelType w:val="hybridMultilevel"/>
    <w:tmpl w:val="7110E5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3A07ED"/>
    <w:multiLevelType w:val="hybridMultilevel"/>
    <w:tmpl w:val="8D6E303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981DDB"/>
    <w:multiLevelType w:val="hybridMultilevel"/>
    <w:tmpl w:val="2796FBD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5DE791B"/>
    <w:multiLevelType w:val="hybridMultilevel"/>
    <w:tmpl w:val="942E37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80159C0"/>
    <w:multiLevelType w:val="hybridMultilevel"/>
    <w:tmpl w:val="D574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247975"/>
    <w:multiLevelType w:val="hybridMultilevel"/>
    <w:tmpl w:val="172AF6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D754E"/>
    <w:multiLevelType w:val="hybridMultilevel"/>
    <w:tmpl w:val="CF881C6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9F6655"/>
    <w:multiLevelType w:val="hybridMultilevel"/>
    <w:tmpl w:val="AEE66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A174E9"/>
    <w:multiLevelType w:val="hybridMultilevel"/>
    <w:tmpl w:val="6A6C3E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960203E"/>
    <w:multiLevelType w:val="hybridMultilevel"/>
    <w:tmpl w:val="99BC47F6"/>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5"/>
  </w:num>
  <w:num w:numId="3">
    <w:abstractNumId w:val="2"/>
  </w:num>
  <w:num w:numId="4">
    <w:abstractNumId w:val="12"/>
  </w:num>
  <w:num w:numId="5">
    <w:abstractNumId w:val="0"/>
  </w:num>
  <w:num w:numId="6">
    <w:abstractNumId w:val="23"/>
  </w:num>
  <w:num w:numId="7">
    <w:abstractNumId w:val="10"/>
  </w:num>
  <w:num w:numId="8">
    <w:abstractNumId w:val="11"/>
  </w:num>
  <w:num w:numId="9">
    <w:abstractNumId w:val="19"/>
  </w:num>
  <w:num w:numId="10">
    <w:abstractNumId w:val="22"/>
  </w:num>
  <w:num w:numId="11">
    <w:abstractNumId w:val="13"/>
  </w:num>
  <w:num w:numId="12">
    <w:abstractNumId w:val="18"/>
  </w:num>
  <w:num w:numId="13">
    <w:abstractNumId w:val="7"/>
  </w:num>
  <w:num w:numId="14">
    <w:abstractNumId w:val="6"/>
  </w:num>
  <w:num w:numId="15">
    <w:abstractNumId w:val="8"/>
  </w:num>
  <w:num w:numId="16">
    <w:abstractNumId w:val="3"/>
  </w:num>
  <w:num w:numId="17">
    <w:abstractNumId w:val="17"/>
  </w:num>
  <w:num w:numId="18">
    <w:abstractNumId w:val="9"/>
  </w:num>
  <w:num w:numId="19">
    <w:abstractNumId w:val="16"/>
  </w:num>
  <w:num w:numId="20">
    <w:abstractNumId w:val="20"/>
  </w:num>
  <w:num w:numId="21">
    <w:abstractNumId w:val="14"/>
  </w:num>
  <w:num w:numId="22">
    <w:abstractNumId w:val="5"/>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48B"/>
    <w:rsid w:val="00021ECB"/>
    <w:rsid w:val="0003231D"/>
    <w:rsid w:val="000B084A"/>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A2E6B"/>
    <w:rsid w:val="002C5F99"/>
    <w:rsid w:val="002D1027"/>
    <w:rsid w:val="002D6BBA"/>
    <w:rsid w:val="002E1173"/>
    <w:rsid w:val="002E2303"/>
    <w:rsid w:val="002E63B4"/>
    <w:rsid w:val="002E6736"/>
    <w:rsid w:val="00307C29"/>
    <w:rsid w:val="00315BCA"/>
    <w:rsid w:val="00331403"/>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8548B"/>
    <w:rsid w:val="00487E2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139F8"/>
    <w:rsid w:val="00835EB3"/>
    <w:rsid w:val="0084596C"/>
    <w:rsid w:val="00866397"/>
    <w:rsid w:val="00873481"/>
    <w:rsid w:val="00894CB7"/>
    <w:rsid w:val="008A047C"/>
    <w:rsid w:val="008A43C1"/>
    <w:rsid w:val="008A477A"/>
    <w:rsid w:val="00901272"/>
    <w:rsid w:val="0091798B"/>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42E62"/>
    <w:rsid w:val="00C564DC"/>
    <w:rsid w:val="00C60191"/>
    <w:rsid w:val="00C81746"/>
    <w:rsid w:val="00CC4236"/>
    <w:rsid w:val="00CD1081"/>
    <w:rsid w:val="00CE5C70"/>
    <w:rsid w:val="00CF502F"/>
    <w:rsid w:val="00D1284E"/>
    <w:rsid w:val="00D279C4"/>
    <w:rsid w:val="00D41D62"/>
    <w:rsid w:val="00D434C4"/>
    <w:rsid w:val="00D86485"/>
    <w:rsid w:val="00D972DE"/>
    <w:rsid w:val="00DA1227"/>
    <w:rsid w:val="00DD36B1"/>
    <w:rsid w:val="00DE00BD"/>
    <w:rsid w:val="00DE193A"/>
    <w:rsid w:val="00DE54F8"/>
    <w:rsid w:val="00DF6EDB"/>
    <w:rsid w:val="00E075AD"/>
    <w:rsid w:val="00E15B8E"/>
    <w:rsid w:val="00E16CCF"/>
    <w:rsid w:val="00E26915"/>
    <w:rsid w:val="00E44A15"/>
    <w:rsid w:val="00E600FD"/>
    <w:rsid w:val="00E73D3B"/>
    <w:rsid w:val="00E91614"/>
    <w:rsid w:val="00E91D77"/>
    <w:rsid w:val="00EE7DE1"/>
    <w:rsid w:val="00F17A93"/>
    <w:rsid w:val="00F42410"/>
    <w:rsid w:val="00F42FC0"/>
    <w:rsid w:val="00F56DE4"/>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74DB9"/>
  <w15:chartTrackingRefBased/>
  <w15:docId w15:val="{F1F42151-C37B-488F-AA40-0AB85DFD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GB" w:bidi="ar-SA"/>
      </w:rPr>
    </w:rPrDefault>
    <w:pPrDefault>
      <w:pPr>
        <w:spacing w:after="200" w:line="288"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E62"/>
  </w:style>
  <w:style w:type="paragraph" w:styleId="Heading1">
    <w:name w:val="heading 1"/>
    <w:basedOn w:val="Normal"/>
    <w:next w:val="Normal"/>
    <w:link w:val="Heading1Char"/>
    <w:uiPriority w:val="9"/>
    <w:qFormat/>
    <w:rsid w:val="00C42E6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C42E62"/>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C42E62"/>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C42E62"/>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C42E62"/>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C42E62"/>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C42E62"/>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C42E62"/>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C42E62"/>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rsid w:val="00244AF4"/>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rsid w:val="00873481"/>
    <w:pPr>
      <w:spacing w:line="240" w:lineRule="auto"/>
    </w:pPr>
    <w:rPr>
      <w:sz w:val="40"/>
    </w:rPr>
  </w:style>
  <w:style w:type="character" w:customStyle="1" w:styleId="AheadChar">
    <w:name w:val="A head Char"/>
    <w:basedOn w:val="DefaultParagraphFont"/>
    <w:link w:val="Ahead"/>
    <w:rsid w:val="00873481"/>
    <w:rPr>
      <w:rFonts w:ascii="Arial" w:eastAsiaTheme="minorHAnsi" w:hAnsi="Arial" w:cs="Arial"/>
      <w:b/>
      <w:sz w:val="40"/>
      <w:szCs w:val="24"/>
    </w:rPr>
  </w:style>
  <w:style w:type="paragraph" w:customStyle="1" w:styleId="Bhead">
    <w:name w:val="B head"/>
    <w:basedOn w:val="Ahead"/>
    <w:next w:val="Normal"/>
    <w:link w:val="BheadChar"/>
    <w:rsid w:val="00873481"/>
    <w:rPr>
      <w:rFonts w:eastAsia="Cambria"/>
      <w:sz w:val="32"/>
    </w:rPr>
  </w:style>
  <w:style w:type="character" w:customStyle="1" w:styleId="BheadChar">
    <w:name w:val="B head Char"/>
    <w:basedOn w:val="DefaultParagraphFont"/>
    <w:link w:val="Bhead"/>
    <w:rsid w:val="00873481"/>
    <w:rPr>
      <w:rFonts w:ascii="Arial" w:eastAsia="Cambria" w:hAnsi="Arial" w:cs="Arial"/>
      <w:b/>
      <w:sz w:val="32"/>
      <w:szCs w:val="24"/>
    </w:rPr>
  </w:style>
  <w:style w:type="character" w:customStyle="1" w:styleId="Bodytextbold">
    <w:name w:val="Body text bold"/>
    <w:basedOn w:val="DefaultParagraphFont"/>
    <w:uiPriority w:val="1"/>
    <w:rsid w:val="00681205"/>
    <w:rPr>
      <w:rFonts w:ascii="Arial" w:hAnsi="Arial"/>
      <w:b/>
      <w:sz w:val="24"/>
    </w:rPr>
  </w:style>
  <w:style w:type="character" w:customStyle="1" w:styleId="Bodytextitalic">
    <w:name w:val="Body text italic"/>
    <w:basedOn w:val="DefaultParagraphFont"/>
    <w:uiPriority w:val="1"/>
    <w:rsid w:val="00681205"/>
    <w:rPr>
      <w:rFonts w:ascii="Arial" w:hAnsi="Arial"/>
      <w:i/>
      <w:sz w:val="24"/>
    </w:rPr>
  </w:style>
  <w:style w:type="paragraph" w:customStyle="1" w:styleId="BodyText1">
    <w:name w:val="Body Text1"/>
    <w:qFormat/>
    <w:rsid w:val="00873481"/>
    <w:pPr>
      <w:autoSpaceDE w:val="0"/>
      <w:autoSpaceDN w:val="0"/>
      <w:adjustRightInd w:val="0"/>
    </w:pPr>
    <w:rPr>
      <w:rFonts w:ascii="Arial" w:eastAsiaTheme="minorHAnsi" w:hAnsi="Arial" w:cs="Arial"/>
      <w:sz w:val="24"/>
      <w:szCs w:val="24"/>
    </w:rPr>
  </w:style>
  <w:style w:type="paragraph" w:customStyle="1" w:styleId="Bulletbodytext">
    <w:name w:val="Bullet body text"/>
    <w:basedOn w:val="BodyText1"/>
    <w:uiPriority w:val="99"/>
    <w:rsid w:val="00244AF4"/>
    <w:pPr>
      <w:numPr>
        <w:numId w:val="1"/>
      </w:numPr>
    </w:pPr>
  </w:style>
  <w:style w:type="paragraph" w:customStyle="1" w:styleId="Chead">
    <w:name w:val="C head"/>
    <w:basedOn w:val="Bhead"/>
    <w:next w:val="Normal"/>
    <w:link w:val="CheadChar"/>
    <w:rsid w:val="00873481"/>
    <w:rPr>
      <w:sz w:val="28"/>
    </w:rPr>
  </w:style>
  <w:style w:type="character" w:customStyle="1" w:styleId="CheadChar">
    <w:name w:val="C head Char"/>
    <w:basedOn w:val="DefaultParagraphFont"/>
    <w:link w:val="Chead"/>
    <w:rsid w:val="00873481"/>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rsid w:val="00244AF4"/>
    <w:rPr>
      <w:rFonts w:ascii="Arial Narrow" w:eastAsia="Cambria" w:hAnsi="Arial Narrow" w:cs="Times New Roman"/>
      <w:sz w:val="28"/>
    </w:rPr>
  </w:style>
  <w:style w:type="character" w:customStyle="1" w:styleId="CaptiontextChar">
    <w:name w:val="Caption text Char"/>
    <w:basedOn w:val="DefaultParagraphFont"/>
    <w:link w:val="Captiontext"/>
    <w:rsid w:val="00244AF4"/>
    <w:rPr>
      <w:rFonts w:ascii="Arial Narrow" w:eastAsia="Cambria" w:hAnsi="Arial Narrow"/>
      <w:sz w:val="28"/>
      <w:szCs w:val="24"/>
    </w:rPr>
  </w:style>
  <w:style w:type="paragraph" w:customStyle="1" w:styleId="Dhead">
    <w:name w:val="D head"/>
    <w:basedOn w:val="Chead"/>
    <w:next w:val="BodyText1"/>
    <w:link w:val="DheadChar"/>
    <w:rsid w:val="00873481"/>
    <w:rPr>
      <w:rFonts w:cs="Times New Roman"/>
      <w:b w:val="0"/>
    </w:rPr>
  </w:style>
  <w:style w:type="character" w:customStyle="1" w:styleId="DheadChar">
    <w:name w:val="D head Char"/>
    <w:basedOn w:val="DefaultParagraphFont"/>
    <w:link w:val="Dhead"/>
    <w:rsid w:val="00873481"/>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rsid w:val="00244AF4"/>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rsid w:val="00244AF4"/>
    <w:pPr>
      <w:numPr>
        <w:numId w:val="2"/>
      </w:numPr>
    </w:pPr>
  </w:style>
  <w:style w:type="paragraph" w:customStyle="1" w:styleId="Quotetext">
    <w:name w:val="Quote text"/>
    <w:basedOn w:val="BodyText1"/>
    <w:rsid w:val="00681205"/>
    <w:pPr>
      <w:ind w:left="480"/>
    </w:pPr>
    <w:rPr>
      <w:sz w:val="26"/>
    </w:rPr>
  </w:style>
  <w:style w:type="paragraph" w:customStyle="1" w:styleId="Quotesource">
    <w:name w:val="Quote source"/>
    <w:basedOn w:val="Quotetext"/>
    <w:next w:val="BodyText1"/>
    <w:rsid w:val="00681205"/>
    <w:rPr>
      <w:rFonts w:ascii="Arial Narrow" w:hAnsi="Arial Narrow"/>
      <w:sz w:val="24"/>
    </w:rPr>
  </w:style>
  <w:style w:type="paragraph" w:customStyle="1" w:styleId="Sub-bulletbodytext">
    <w:name w:val="Sub-bullet body text"/>
    <w:basedOn w:val="Bulletbodytext"/>
    <w:uiPriority w:val="99"/>
    <w:rsid w:val="00244AF4"/>
    <w:pPr>
      <w:numPr>
        <w:numId w:val="3"/>
      </w:numPr>
    </w:pPr>
  </w:style>
  <w:style w:type="paragraph" w:customStyle="1" w:styleId="Sub-numberedbodytext">
    <w:name w:val="Sub-numbered body text"/>
    <w:basedOn w:val="Numberedbodytext"/>
    <w:uiPriority w:val="99"/>
    <w:rsid w:val="00244AF4"/>
    <w:pPr>
      <w:numPr>
        <w:numId w:val="4"/>
      </w:numPr>
    </w:pPr>
  </w:style>
  <w:style w:type="paragraph" w:customStyle="1" w:styleId="TableAhead">
    <w:name w:val="Table A head"/>
    <w:basedOn w:val="Bhead"/>
    <w:uiPriority w:val="99"/>
    <w:rsid w:val="00244AF4"/>
    <w:pPr>
      <w:spacing w:before="440"/>
    </w:pPr>
    <w:rPr>
      <w:b w:val="0"/>
    </w:rPr>
  </w:style>
  <w:style w:type="paragraph" w:customStyle="1" w:styleId="Tablebodytext">
    <w:name w:val="Table body text"/>
    <w:basedOn w:val="BodyText1"/>
    <w:uiPriority w:val="99"/>
    <w:rsid w:val="00681205"/>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rsid w:val="00244AF4"/>
    <w:pPr>
      <w:numPr>
        <w:numId w:val="5"/>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rsid w:val="00244AF4"/>
    <w:pPr>
      <w:numPr>
        <w:numId w:val="6"/>
      </w:numPr>
    </w:pPr>
  </w:style>
  <w:style w:type="paragraph" w:customStyle="1" w:styleId="Tablesub-bullettext">
    <w:name w:val="Table sub-bullet text"/>
    <w:basedOn w:val="Tablebullettext"/>
    <w:uiPriority w:val="99"/>
    <w:rsid w:val="00244AF4"/>
    <w:pPr>
      <w:numPr>
        <w:numId w:val="7"/>
      </w:numPr>
    </w:pPr>
  </w:style>
  <w:style w:type="paragraph" w:customStyle="1" w:styleId="Tablesub-numberedtext">
    <w:name w:val="Table sub-numbered text"/>
    <w:basedOn w:val="Tablenumberedtext"/>
    <w:uiPriority w:val="99"/>
    <w:rsid w:val="00244AF4"/>
    <w:pPr>
      <w:numPr>
        <w:numId w:val="8"/>
      </w:numPr>
    </w:pPr>
  </w:style>
  <w:style w:type="character" w:customStyle="1" w:styleId="Heading1Char">
    <w:name w:val="Heading 1 Char"/>
    <w:basedOn w:val="DefaultParagraphFont"/>
    <w:link w:val="Heading1"/>
    <w:uiPriority w:val="9"/>
    <w:rsid w:val="00C42E62"/>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C42E62"/>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C42E62"/>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C42E62"/>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C42E62"/>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C42E62"/>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C42E62"/>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C42E62"/>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C42E62"/>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C42E62"/>
    <w:pPr>
      <w:spacing w:line="240" w:lineRule="auto"/>
    </w:pPr>
    <w:rPr>
      <w:b/>
      <w:bCs/>
      <w:smallCaps/>
      <w:color w:val="595959" w:themeColor="text1" w:themeTint="A6"/>
    </w:rPr>
  </w:style>
  <w:style w:type="paragraph" w:styleId="Title">
    <w:name w:val="Title"/>
    <w:basedOn w:val="Normal"/>
    <w:next w:val="Normal"/>
    <w:link w:val="TitleChar"/>
    <w:uiPriority w:val="10"/>
    <w:qFormat/>
    <w:rsid w:val="00C42E6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42E6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42E6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42E62"/>
    <w:rPr>
      <w:rFonts w:asciiTheme="majorHAnsi" w:eastAsiaTheme="majorEastAsia" w:hAnsiTheme="majorHAnsi" w:cstheme="majorBidi"/>
      <w:sz w:val="30"/>
      <w:szCs w:val="30"/>
    </w:rPr>
  </w:style>
  <w:style w:type="character" w:styleId="Strong">
    <w:name w:val="Strong"/>
    <w:basedOn w:val="DefaultParagraphFont"/>
    <w:uiPriority w:val="22"/>
    <w:qFormat/>
    <w:rsid w:val="00C42E62"/>
    <w:rPr>
      <w:b/>
      <w:bCs/>
    </w:rPr>
  </w:style>
  <w:style w:type="character" w:styleId="Emphasis">
    <w:name w:val="Emphasis"/>
    <w:basedOn w:val="DefaultParagraphFont"/>
    <w:uiPriority w:val="20"/>
    <w:qFormat/>
    <w:rsid w:val="00C42E62"/>
    <w:rPr>
      <w:i/>
      <w:iCs/>
      <w:color w:val="F79646" w:themeColor="accent6"/>
    </w:rPr>
  </w:style>
  <w:style w:type="paragraph" w:styleId="NoSpacing">
    <w:name w:val="No Spacing"/>
    <w:uiPriority w:val="1"/>
    <w:qFormat/>
    <w:rsid w:val="00C42E62"/>
    <w:pPr>
      <w:spacing w:after="0" w:line="240" w:lineRule="auto"/>
    </w:pPr>
  </w:style>
  <w:style w:type="paragraph" w:styleId="Quote">
    <w:name w:val="Quote"/>
    <w:basedOn w:val="Normal"/>
    <w:next w:val="Normal"/>
    <w:link w:val="QuoteChar"/>
    <w:uiPriority w:val="29"/>
    <w:qFormat/>
    <w:rsid w:val="00C42E6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42E62"/>
    <w:rPr>
      <w:i/>
      <w:iCs/>
      <w:color w:val="262626" w:themeColor="text1" w:themeTint="D9"/>
    </w:rPr>
  </w:style>
  <w:style w:type="paragraph" w:styleId="IntenseQuote">
    <w:name w:val="Intense Quote"/>
    <w:basedOn w:val="Normal"/>
    <w:next w:val="Normal"/>
    <w:link w:val="IntenseQuoteChar"/>
    <w:uiPriority w:val="30"/>
    <w:qFormat/>
    <w:rsid w:val="00C42E62"/>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C42E62"/>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C42E62"/>
    <w:rPr>
      <w:i/>
      <w:iCs/>
    </w:rPr>
  </w:style>
  <w:style w:type="character" w:styleId="IntenseEmphasis">
    <w:name w:val="Intense Emphasis"/>
    <w:basedOn w:val="DefaultParagraphFont"/>
    <w:uiPriority w:val="21"/>
    <w:qFormat/>
    <w:rsid w:val="00C42E62"/>
    <w:rPr>
      <w:b/>
      <w:bCs/>
      <w:i/>
      <w:iCs/>
    </w:rPr>
  </w:style>
  <w:style w:type="character" w:styleId="SubtleReference">
    <w:name w:val="Subtle Reference"/>
    <w:basedOn w:val="DefaultParagraphFont"/>
    <w:uiPriority w:val="31"/>
    <w:qFormat/>
    <w:rsid w:val="00C42E62"/>
    <w:rPr>
      <w:smallCaps/>
      <w:color w:val="595959" w:themeColor="text1" w:themeTint="A6"/>
    </w:rPr>
  </w:style>
  <w:style w:type="character" w:styleId="IntenseReference">
    <w:name w:val="Intense Reference"/>
    <w:basedOn w:val="DefaultParagraphFont"/>
    <w:uiPriority w:val="32"/>
    <w:qFormat/>
    <w:rsid w:val="00C42E62"/>
    <w:rPr>
      <w:b/>
      <w:bCs/>
      <w:smallCaps/>
      <w:color w:val="F79646" w:themeColor="accent6"/>
    </w:rPr>
  </w:style>
  <w:style w:type="character" w:styleId="BookTitle">
    <w:name w:val="Book Title"/>
    <w:basedOn w:val="DefaultParagraphFont"/>
    <w:uiPriority w:val="33"/>
    <w:qFormat/>
    <w:rsid w:val="00C42E62"/>
    <w:rPr>
      <w:b/>
      <w:bCs/>
      <w:caps w:val="0"/>
      <w:smallCaps/>
      <w:spacing w:val="7"/>
      <w:sz w:val="21"/>
      <w:szCs w:val="21"/>
    </w:rPr>
  </w:style>
  <w:style w:type="paragraph" w:styleId="TOCHeading">
    <w:name w:val="TOC Heading"/>
    <w:basedOn w:val="Heading1"/>
    <w:next w:val="Normal"/>
    <w:uiPriority w:val="39"/>
    <w:semiHidden/>
    <w:unhideWhenUsed/>
    <w:qFormat/>
    <w:rsid w:val="00C42E62"/>
    <w:pPr>
      <w:outlineLvl w:val="9"/>
    </w:pPr>
  </w:style>
  <w:style w:type="paragraph" w:styleId="ListParagraph">
    <w:name w:val="List Paragraph"/>
    <w:basedOn w:val="Normal"/>
    <w:uiPriority w:val="34"/>
    <w:qFormat/>
    <w:rsid w:val="000B0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896810">
      <w:bodyDiv w:val="1"/>
      <w:marLeft w:val="0"/>
      <w:marRight w:val="0"/>
      <w:marTop w:val="0"/>
      <w:marBottom w:val="0"/>
      <w:divBdr>
        <w:top w:val="none" w:sz="0" w:space="0" w:color="auto"/>
        <w:left w:val="none" w:sz="0" w:space="0" w:color="auto"/>
        <w:bottom w:val="none" w:sz="0" w:space="0" w:color="auto"/>
        <w:right w:val="none" w:sz="0" w:space="0" w:color="auto"/>
      </w:divBdr>
    </w:div>
    <w:div w:id="211851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x.plos.org/10.1371/journal.pone.019690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v.scot/publications/long-term-monitoring-health-inequalities-december-2017/" TargetMode="External"/><Relationship Id="rId17" Type="http://schemas.openxmlformats.org/officeDocument/2006/relationships/hyperlink" Target="https://www.health-ni.gov.uk/publications/health-inequalities-life-expectancy-decomposition-2017" TargetMode="External"/><Relationship Id="rId2" Type="http://schemas.openxmlformats.org/officeDocument/2006/relationships/customXml" Target="../customXml/item2.xml"/><Relationship Id="rId16" Type="http://schemas.openxmlformats.org/officeDocument/2006/relationships/hyperlink" Target="https://www.sciencedirect.com/science/article/pii/S24682667183021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althscotland.scot/media/2147/working-and-hurting-sep-2018-english.pdf" TargetMode="External"/><Relationship Id="rId5" Type="http://schemas.openxmlformats.org/officeDocument/2006/relationships/numbering" Target="numbering.xml"/><Relationship Id="rId15" Type="http://schemas.openxmlformats.org/officeDocument/2006/relationships/hyperlink" Target="https://www.gov.uk/government/publications/health-profile-for-england-2018/chapter-5-inequalities-in-health#contribution-of-age-groups-and-causes-of-death-to-the-gap-in-life-expectancy" TargetMode="External"/><Relationship Id="rId10" Type="http://schemas.openxmlformats.org/officeDocument/2006/relationships/hyperlink" Target="https://www.nrscotland.gov.uk/statistics-and-data/statistics/statistics-by-theme/vital-events/deaths/age-standardised-death-rates-calculated-using-the-esp"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nrscotland.gov.uk/statistics-and-data/statistics/statistics-by-theme/life-expectancy/life-expectancy-in-scottish-areas/time-series-data" TargetMode="External"/><Relationship Id="rId14" Type="http://schemas.openxmlformats.org/officeDocument/2006/relationships/hyperlink" Target="https://jech.bmj.com/content/71/Suppl_1/A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HS PHO Output" ma:contentTypeID="0x010100AB71BC9B4D1D724495B6D89DE9CAF1833E010049AF150FC1FBD54FB3865DBD6374D858" ma:contentTypeVersion="5" ma:contentTypeDescription="Standard Health Scotland document" ma:contentTypeScope="" ma:versionID="2347fcc05ab6fbcb08cf212d9a09d971">
  <xsd:schema xmlns:xsd="http://www.w3.org/2001/XMLSchema" xmlns:xs="http://www.w3.org/2001/XMLSchema" xmlns:p="http://schemas.microsoft.com/office/2006/metadata/properties" xmlns:ns1="http://schemas.microsoft.com/sharepoint/v3" xmlns:ns2="79392c51-0192-4e0e-b858-3a8b41b0fb8c" xmlns:ns3="1f9c2a4e-c33c-4586-94ce-504a756e9502" xmlns:ns4="fe5f4087-ee4e-473d-9fd7-38afcd6be3a0" targetNamespace="http://schemas.microsoft.com/office/2006/metadata/properties" ma:root="true" ma:fieldsID="91dfbbe5140ce0592bb2925929c3aa22" ns1:_="" ns2:_="" ns3:_="" ns4:_="">
    <xsd:import namespace="http://schemas.microsoft.com/sharepoint/v3"/>
    <xsd:import namespace="79392c51-0192-4e0e-b858-3a8b41b0fb8c"/>
    <xsd:import namespace="1f9c2a4e-c33c-4586-94ce-504a756e9502"/>
    <xsd:import namespace="fe5f4087-ee4e-473d-9fd7-38afcd6be3a0"/>
    <xsd:element name="properties">
      <xsd:complexType>
        <xsd:sequence>
          <xsd:element name="documentManagement">
            <xsd:complexType>
              <xsd:all>
                <xsd:element ref="ns2:TaxCatchAll" minOccurs="0"/>
                <xsd:element ref="ns2:TaxCatchAllLabel" minOccurs="0"/>
                <xsd:element ref="ns3:daa1262b318242d28987a366a1d743c9" minOccurs="0"/>
                <xsd:element ref="ns3:f15ab22896834ccda9dd19a0d9fb96a7" minOccurs="0"/>
                <xsd:element ref="ns3:pec585762dee4a4ea7f3d0f1b611b462" minOccurs="0"/>
                <xsd:element ref="ns3:ld300b2b0b794dcab1c61f72098850b3" minOccurs="0"/>
                <xsd:element ref="ns3:dc8bdd57f6044d68ba2ad0d355b4e94f" minOccurs="0"/>
                <xsd:element ref="ns4:_x0063_ei0" minOccurs="0"/>
                <xsd:element ref="ns1:DocumentSe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21" nillable="true" ma:displayName="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392c51-0192-4e0e-b858-3a8b41b0fb8c"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c6bb179b-2e3d-4740-bae1-cd660314586c}" ma:internalName="TaxCatchAll" ma:showField="CatchAllData" ma:web="1f9c2a4e-c33c-4586-94ce-504a756e950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6bb179b-2e3d-4740-bae1-cd660314586c}" ma:internalName="TaxCatchAllLabel" ma:readOnly="true" ma:showField="CatchAllDataLabel" ma:web="1f9c2a4e-c33c-4586-94ce-504a756e950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f9c2a4e-c33c-4586-94ce-504a756e9502" elementFormDefault="qualified">
    <xsd:import namespace="http://schemas.microsoft.com/office/2006/documentManagement/types"/>
    <xsd:import namespace="http://schemas.microsoft.com/office/infopath/2007/PartnerControls"/>
    <xsd:element name="daa1262b318242d28987a366a1d743c9" ma:index="10" ma:taxonomy="true" ma:internalName="daa1262b318242d28987a366a1d743c9" ma:taxonomyFieldName="HSDocumentTag" ma:displayName="HS Document Tag" ma:readOnly="false" ma:default="" ma:fieldId="{daa1262b-3182-42d2-8987-a366a1d743c9}" ma:taxonomyMulti="true" ma:sspId="c0f6cbc1-8b72-4b83-9c85-1dd2ec6ede9a" ma:termSetId="de4b84b4-8f63-4e23-8c8c-3fef434f4083" ma:anchorId="00000000-0000-0000-0000-000000000000" ma:open="false" ma:isKeyword="false">
      <xsd:complexType>
        <xsd:sequence>
          <xsd:element ref="pc:Terms" minOccurs="0" maxOccurs="1"/>
        </xsd:sequence>
      </xsd:complexType>
    </xsd:element>
    <xsd:element name="f15ab22896834ccda9dd19a0d9fb96a7" ma:index="12" nillable="true" ma:taxonomy="true" ma:internalName="f15ab22896834ccda9dd19a0d9fb96a7" ma:taxonomyFieldName="HSYear" ma:displayName="HS Year" ma:indexed="true" ma:fieldId="{f15ab228-9683-4ccd-a9dd-19a0d9fb96a7}" ma:sspId="c0f6cbc1-8b72-4b83-9c85-1dd2ec6ede9a" ma:termSetId="9144fb4a-73f0-4b6e-aed3-3dd2466e0982" ma:anchorId="00000000-0000-0000-0000-000000000000" ma:open="false" ma:isKeyword="false">
      <xsd:complexType>
        <xsd:sequence>
          <xsd:element ref="pc:Terms" minOccurs="0" maxOccurs="1"/>
        </xsd:sequence>
      </xsd:complexType>
    </xsd:element>
    <xsd:element name="pec585762dee4a4ea7f3d0f1b611b462" ma:index="14" nillable="true" ma:taxonomy="true" ma:internalName="pec585762dee4a4ea7f3d0f1b611b462" ma:taxonomyFieldName="HSMonth" ma:displayName="HS Month" ma:indexed="true" ma:fieldId="{9ec58576-2dee-4a4e-a7f3-d0f1b611b462}" ma:sspId="c0f6cbc1-8b72-4b83-9c85-1dd2ec6ede9a" ma:termSetId="ac3c59ba-1895-4a12-af7b-2d04ef4651d3" ma:anchorId="00000000-0000-0000-0000-000000000000" ma:open="false" ma:isKeyword="false">
      <xsd:complexType>
        <xsd:sequence>
          <xsd:element ref="pc:Terms" minOccurs="0" maxOccurs="1"/>
        </xsd:sequence>
      </xsd:complexType>
    </xsd:element>
    <xsd:element name="ld300b2b0b794dcab1c61f72098850b3" ma:index="16" ma:taxonomy="true" ma:internalName="ld300b2b0b794dcab1c61f72098850b3" ma:taxonomyFieldName="HSPHOOutput" ma:displayName="HS PHO Output" ma:indexed="true" ma:readOnly="false" ma:fieldId="{5d300b2b-0b79-4dca-b1c6-1f72098850b3}" ma:sspId="c0f6cbc1-8b72-4b83-9c85-1dd2ec6ede9a" ma:termSetId="49238e4c-4e25-4ce0-a22e-ca055ee3e32b" ma:anchorId="00000000-0000-0000-0000-000000000000" ma:open="false" ma:isKeyword="false">
      <xsd:complexType>
        <xsd:sequence>
          <xsd:element ref="pc:Terms" minOccurs="0" maxOccurs="1"/>
        </xsd:sequence>
      </xsd:complexType>
    </xsd:element>
    <xsd:element name="dc8bdd57f6044d68ba2ad0d355b4e94f" ma:index="18" ma:taxonomy="true" ma:internalName="dc8bdd57f6044d68ba2ad0d355b4e94f" ma:taxonomyFieldName="HSPHOOutputFileType" ma:displayName="HS PHO Output File Type" ma:indexed="true" ma:readOnly="false" ma:fieldId="{dc8bdd57-f604-4d68-ba2a-d0d355b4e94f}" ma:sspId="c0f6cbc1-8b72-4b83-9c85-1dd2ec6ede9a" ma:termSetId="72c4f0a3-9d8b-4a44-911b-d7e3aa81e31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e5f4087-ee4e-473d-9fd7-38afcd6be3a0" elementFormDefault="qualified">
    <xsd:import namespace="http://schemas.microsoft.com/office/2006/documentManagement/types"/>
    <xsd:import namespace="http://schemas.microsoft.com/office/infopath/2007/PartnerControls"/>
    <xsd:element name="_x0063_ei0" ma:index="20" nillable="true" ma:displayName="Text" ma:internalName="_x0063_ei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c0f6cbc1-8b72-4b83-9c85-1dd2ec6ede9a" ContentTypeId="0x010100AB71BC9B4D1D724495B6D89DE9CAF183"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d300b2b0b794dcab1c61f72098850b3 xmlns="1f9c2a4e-c33c-4586-94ce-504a756e9502">
      <Terms xmlns="http://schemas.microsoft.com/office/infopath/2007/PartnerControls">
        <TermInfo xmlns="http://schemas.microsoft.com/office/infopath/2007/PartnerControls">
          <TermName>Mortality trends</TermName>
          <TermId>95c21edd-a8d9-4cb2-898e-e98fc24643e5</TermId>
        </TermInfo>
      </Terms>
    </ld300b2b0b794dcab1c61f72098850b3>
    <DocumentSetDescription xmlns="http://schemas.microsoft.com/sharepoint/v3" xsi:nil="true"/>
    <TaxCatchAll xmlns="79392c51-0192-4e0e-b858-3a8b41b0fb8c">
      <Value>1526</Value>
      <Value>1508</Value>
      <Value>5723</Value>
      <Value>4325</Value>
      <Value>6426</Value>
      <Value>4710</Value>
      <Value>1666</Value>
    </TaxCatchAll>
    <_x0063_ei0 xmlns="fe5f4087-ee4e-473d-9fd7-38afcd6be3a0" xsi:nil="true"/>
    <daa1262b318242d28987a366a1d743c9 xmlns="1f9c2a4e-c33c-4586-94ce-504a756e9502">
      <Terms xmlns="http://schemas.microsoft.com/office/infopath/2007/PartnerControls">
        <TermInfo xmlns="http://schemas.microsoft.com/office/infopath/2007/PartnerControls">
          <TermName xmlns="http://schemas.microsoft.com/office/infopath/2007/PartnerControls">Public Health Science</TermName>
          <TermId xmlns="http://schemas.microsoft.com/office/infopath/2007/PartnerControls">b2b77e3c-2681-456c-b814-5de530825b32</TermId>
        </TermInfo>
        <TermInfo xmlns="http://schemas.microsoft.com/office/infopath/2007/PartnerControls">
          <TermName xmlns="http://schemas.microsoft.com/office/infopath/2007/PartnerControls">Public Health Observatory</TermName>
          <TermId xmlns="http://schemas.microsoft.com/office/infopath/2007/PartnerControls">93aae3ef-e663-4f27-9869-119d88d797dd</TermId>
        </TermInfo>
        <TermInfo xmlns="http://schemas.microsoft.com/office/infopath/2007/PartnerControls">
          <TermName xmlns="http://schemas.microsoft.com/office/infopath/2007/PartnerControls">Output</TermName>
          <TermId xmlns="http://schemas.microsoft.com/office/infopath/2007/PartnerControls">e7b7f30c-8859-4ebb-99e3-0d77a47f6e11</TermId>
        </TermInfo>
      </Terms>
    </daa1262b318242d28987a366a1d743c9>
    <dc8bdd57f6044d68ba2ad0d355b4e94f xmlns="1f9c2a4e-c33c-4586-94ce-504a756e9502">
      <Terms xmlns="http://schemas.microsoft.com/office/infopath/2007/PartnerControls">
        <TermInfo xmlns="http://schemas.microsoft.com/office/infopath/2007/PartnerControls">
          <TermName>Drafts</TermName>
          <TermId>7cc443af-3d91-4aef-a832-ee606aedacf0</TermId>
        </TermInfo>
      </Terms>
    </dc8bdd57f6044d68ba2ad0d355b4e94f>
    <f15ab22896834ccda9dd19a0d9fb96a7 xmlns="1f9c2a4e-c33c-4586-94ce-504a756e9502">
      <Terms xmlns="http://schemas.microsoft.com/office/infopath/2007/PartnerControls">
        <TermInfo xmlns="http://schemas.microsoft.com/office/infopath/2007/PartnerControls">
          <TermName>2018</TermName>
          <TermId>4b0c185b-194e-4c4b-9212-d13c66febe68</TermId>
        </TermInfo>
      </Terms>
    </f15ab22896834ccda9dd19a0d9fb96a7>
    <pec585762dee4a4ea7f3d0f1b611b462 xmlns="1f9c2a4e-c33c-4586-94ce-504a756e9502">
      <Terms xmlns="http://schemas.microsoft.com/office/infopath/2007/PartnerControls">
        <TermInfo xmlns="http://schemas.microsoft.com/office/infopath/2007/PartnerControls">
          <TermName>December</TermName>
          <TermId>310e5c98-e973-4b98-8ed9-b31c7ce047f9</TermId>
        </TermInfo>
      </Terms>
    </pec585762dee4a4ea7f3d0f1b611b462>
  </documentManagement>
</p:properties>
</file>

<file path=customXml/itemProps1.xml><?xml version="1.0" encoding="utf-8"?>
<ds:datastoreItem xmlns:ds="http://schemas.openxmlformats.org/officeDocument/2006/customXml" ds:itemID="{30999F56-B606-4908-A647-07D6A46B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392c51-0192-4e0e-b858-3a8b41b0fb8c"/>
    <ds:schemaRef ds:uri="1f9c2a4e-c33c-4586-94ce-504a756e9502"/>
    <ds:schemaRef ds:uri="fe5f4087-ee4e-473d-9fd7-38afcd6be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C8C-D8DD-418D-A5E9-BAC37F1989C1}">
  <ds:schemaRefs>
    <ds:schemaRef ds:uri="Microsoft.SharePoint.Taxonomy.ContentTypeSync"/>
  </ds:schemaRefs>
</ds:datastoreItem>
</file>

<file path=customXml/itemProps3.xml><?xml version="1.0" encoding="utf-8"?>
<ds:datastoreItem xmlns:ds="http://schemas.openxmlformats.org/officeDocument/2006/customXml" ds:itemID="{02C33984-6148-4B2A-940D-6EA1869AE6B8}">
  <ds:schemaRefs>
    <ds:schemaRef ds:uri="http://schemas.microsoft.com/sharepoint/v3/contenttype/forms"/>
  </ds:schemaRefs>
</ds:datastoreItem>
</file>

<file path=customXml/itemProps4.xml><?xml version="1.0" encoding="utf-8"?>
<ds:datastoreItem xmlns:ds="http://schemas.openxmlformats.org/officeDocument/2006/customXml" ds:itemID="{9AD0E35F-F5DA-4981-A178-CFC975E6CF3E}">
  <ds:schemaRefs>
    <ds:schemaRef ds:uri="http://purl.org/dc/terms/"/>
    <ds:schemaRef ds:uri="79392c51-0192-4e0e-b858-3a8b41b0fb8c"/>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fe5f4087-ee4e-473d-9fd7-38afcd6be3a0"/>
    <ds:schemaRef ds:uri="http://purl.org/dc/dcmitype/"/>
    <ds:schemaRef ds:uri="1f9c2a4e-c33c-4586-94ce-504a756e9502"/>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NHSHealthScotland</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Fenton</dc:creator>
  <cp:keywords/>
  <dc:description/>
  <cp:lastModifiedBy>Lynda Fenton</cp:lastModifiedBy>
  <cp:revision>3</cp:revision>
  <dcterms:created xsi:type="dcterms:W3CDTF">2018-12-05T11:23:00Z</dcterms:created>
  <dcterms:modified xsi:type="dcterms:W3CDTF">2018-12-05T16:53:00Z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0x010100AB71BC9B4D1D724495B6D89DE9CAF1833E010049AF150FC1FBD54FB3865DBD6374D858</vt:lpwstr>
  </property>
  <property fmtid="{D5CDD505-2E9C-101B-9397-08002B2CF9AE}" pid="3" name="HSYear">
    <vt:lpwstr>4710;#2018|4b0c185b-194e-4c4b-9212-d13c66febe68</vt:lpwstr>
  </property>
  <property fmtid="{D5CDD505-2E9C-101B-9397-08002B2CF9AE}" pid="4" name="HSDocumentTag">
    <vt:lpwstr>1508;#Public Health Science|b2b77e3c-2681-456c-b814-5de530825b32;#1526;#Public Health Observatory|93aae3ef-e663-4f27-9869-119d88d797dd;#4325;#Output|e7b7f30c-8859-4ebb-99e3-0d77a47f6e11</vt:lpwstr>
  </property>
  <property fmtid="{D5CDD505-2E9C-101B-9397-08002B2CF9AE}" pid="5" name="HSPHOOutput">
    <vt:lpwstr>6426;#Mortality trends|95c21edd-a8d9-4cb2-898e-e98fc24643e5</vt:lpwstr>
  </property>
  <property fmtid="{D5CDD505-2E9C-101B-9397-08002B2CF9AE}" pid="6" name="HSMonth">
    <vt:lpwstr>1666;#December|310e5c98-e973-4b98-8ed9-b31c7ce047f9</vt:lpwstr>
  </property>
  <property fmtid="{D5CDD505-2E9C-101B-9397-08002B2CF9AE}" pid="7" name="HSPHOOutputFileType">
    <vt:lpwstr>5723;#Drafts|7cc443af-3d91-4aef-a832-ee606aedacf0</vt:lpwstr>
  </property>
</Properties>
</file>