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96" w:rsidRDefault="00F46896" w:rsidP="00C058CE">
      <w:pPr>
        <w:pStyle w:val="Heading1"/>
        <w:rPr>
          <w:color w:val="808080" w:themeColor="background1" w:themeShade="80"/>
        </w:rPr>
      </w:pPr>
      <w:r>
        <w:rPr>
          <w:color w:val="808080" w:themeColor="background1" w:themeShade="80"/>
        </w:rPr>
        <w:t xml:space="preserve">Change in life expectancy, UK compared with other high income nations </w:t>
      </w:r>
    </w:p>
    <w:p w:rsidR="00F46896" w:rsidRDefault="00C058CE" w:rsidP="00F46896">
      <w:pPr>
        <w:pStyle w:val="BodyText1"/>
        <w:rPr>
          <w:color w:val="808080" w:themeColor="background1" w:themeShade="80"/>
        </w:rPr>
      </w:pPr>
      <w:r w:rsidRPr="00847241">
        <w:rPr>
          <w:rFonts w:ascii="Helvetica" w:eastAsia="Times New Roman" w:hAnsi="Helvetica" w:cs="Helvetica"/>
          <w:color w:val="333333"/>
          <w:sz w:val="21"/>
          <w:szCs w:val="21"/>
        </w:rPr>
        <w:t xml:space="preserve">Table R1.1 shows the average annual change in life expectancy by decade for XX HMD nations including the UK. Figure R1.1A in the </w:t>
      </w:r>
      <w:proofErr w:type="spellStart"/>
      <w:r w:rsidR="005B74F1" w:rsidRPr="00847241">
        <w:rPr>
          <w:rFonts w:ascii="Helvetica" w:eastAsia="Times New Roman" w:hAnsi="Helvetica" w:cs="Helvetica"/>
          <w:color w:val="333333"/>
          <w:sz w:val="21"/>
          <w:szCs w:val="21"/>
        </w:rPr>
        <w:t>webappendix</w:t>
      </w:r>
      <w:proofErr w:type="spellEnd"/>
      <w:r w:rsidR="005B74F1" w:rsidRPr="00847241">
        <w:rPr>
          <w:rFonts w:ascii="Helvetica" w:eastAsia="Times New Roman" w:hAnsi="Helvetica" w:cs="Helvetica"/>
          <w:color w:val="333333"/>
          <w:sz w:val="21"/>
          <w:szCs w:val="21"/>
        </w:rPr>
        <w:t xml:space="preserve"> R1.A shows the same results graphically</w:t>
      </w:r>
      <w:r w:rsidR="00E71F51" w:rsidRPr="00847241">
        <w:rPr>
          <w:rFonts w:ascii="Helvetica" w:eastAsia="Times New Roman" w:hAnsi="Helvetica" w:cs="Helvetica"/>
          <w:color w:val="333333"/>
          <w:sz w:val="21"/>
          <w:szCs w:val="21"/>
        </w:rPr>
        <w:t>, with countries arranged by average annual improvement in the 2010s</w:t>
      </w:r>
      <w:r w:rsidR="005B74F1">
        <w:rPr>
          <w:color w:val="808080" w:themeColor="background1" w:themeShade="80"/>
        </w:rPr>
        <w:t xml:space="preserve">. </w:t>
      </w:r>
    </w:p>
    <w:p w:rsidR="0010246A" w:rsidRDefault="005B74F1" w:rsidP="00847241">
      <w:pPr>
        <w:pStyle w:val="BodyText1"/>
        <w:rPr>
          <w:rFonts w:ascii="Helvetica" w:eastAsia="Times New Roman" w:hAnsi="Helvetica" w:cs="Helvetica"/>
          <w:color w:val="333333"/>
          <w:sz w:val="21"/>
          <w:szCs w:val="21"/>
        </w:rPr>
      </w:pPr>
      <w:r w:rsidRPr="00847241">
        <w:rPr>
          <w:rFonts w:ascii="Helvetica" w:eastAsia="Times New Roman" w:hAnsi="Helvetica" w:cs="Helvetica"/>
          <w:color w:val="333333"/>
          <w:sz w:val="21"/>
          <w:szCs w:val="21"/>
        </w:rPr>
        <w:t>The countries with the fastest average improvement in </w:t>
      </w:r>
      <w:r w:rsidRPr="00847241">
        <w:rPr>
          <w:rFonts w:ascii="Helvetica" w:eastAsia="Times New Roman" w:hAnsi="Helvetica"/>
          <w:sz w:val="21"/>
          <w:szCs w:val="21"/>
        </w:rPr>
        <w:t>life expectancies</w:t>
      </w:r>
      <w:r w:rsidRPr="00847241">
        <w:rPr>
          <w:rFonts w:ascii="Helvetica" w:eastAsia="Times New Roman" w:hAnsi="Helvetica" w:cs="Helvetica"/>
          <w:color w:val="333333"/>
          <w:sz w:val="21"/>
          <w:szCs w:val="21"/>
        </w:rPr>
        <w:t xml:space="preserve">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rsidR="005B74F1" w:rsidRPr="00847241" w:rsidRDefault="00121C06" w:rsidP="00847241">
      <w:pPr>
        <w:pStyle w:val="BodyText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general, there appears a tendency for those countries with the worst changes in the 1980s and 1990s to have the fastest rates of improvement in the 2010s, and vice-versa, with </w:t>
      </w:r>
      <w:r w:rsidR="0010246A">
        <w:rPr>
          <w:rFonts w:ascii="Helvetica" w:eastAsia="Times New Roman" w:hAnsi="Helvetica" w:cs="Helvetica"/>
          <w:color w:val="333333"/>
          <w:sz w:val="21"/>
          <w:szCs w:val="21"/>
        </w:rPr>
        <w:t>the fastest recent gains seen in Russia and Eastern European nations, and the slowest gains in the USA, the UK, and other rich Western European nations. For many countries - including the USA, 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rsidR="005B74F1" w:rsidRPr="00847241" w:rsidRDefault="005B74F1" w:rsidP="00847241">
      <w:pPr>
        <w:pStyle w:val="BodyText1"/>
        <w:rPr>
          <w:rFonts w:ascii="Helvetica" w:eastAsia="Times New Roman" w:hAnsi="Helvetica" w:cs="Helvetica"/>
          <w:color w:val="333333"/>
          <w:sz w:val="21"/>
          <w:szCs w:val="21"/>
        </w:rPr>
      </w:pPr>
      <w:r w:rsidRPr="00847241">
        <w:rPr>
          <w:rFonts w:ascii="Helvetica" w:eastAsia="Times New Roman" w:hAnsi="Helvetica" w:cs="Helvetica"/>
          <w:color w:val="333333"/>
          <w:sz w:val="21"/>
          <w:szCs w:val="21"/>
        </w:rPr>
        <w:t>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USA, the UK, the Netherlands and Germany is presented in appendix R1.B.</w:t>
      </w:r>
    </w:p>
    <w:p w:rsidR="00E71F51" w:rsidRDefault="00E71F51">
      <w:pPr>
        <w:spacing w:after="0" w:line="240" w:lineRule="auto"/>
        <w:rPr>
          <w:rFonts w:ascii="Helvetica" w:eastAsia="Times New Roman" w:hAnsi="Helvetica" w:cs="Helvetica"/>
          <w:color w:val="333333"/>
          <w:sz w:val="21"/>
          <w:szCs w:val="21"/>
          <w:lang w:eastAsia="en-GB"/>
        </w:rPr>
      </w:pPr>
      <w:bookmarkStart w:id="0" w:name="_GoBack"/>
      <w:bookmarkEnd w:id="0"/>
      <w:r>
        <w:rPr>
          <w:rFonts w:ascii="Helvetica" w:hAnsi="Helvetica" w:cs="Helvetica"/>
          <w:color w:val="333333"/>
          <w:sz w:val="21"/>
          <w:szCs w:val="21"/>
        </w:rPr>
        <w:br w:type="page"/>
      </w:r>
    </w:p>
    <w:p w:rsidR="00E71F51" w:rsidRDefault="00E71F51" w:rsidP="005B74F1">
      <w:pPr>
        <w:pStyle w:val="NormalWeb"/>
        <w:shd w:val="clear" w:color="auto" w:fill="FFFFFF"/>
        <w:spacing w:before="0" w:beforeAutospacing="0" w:after="150" w:afterAutospacing="0"/>
        <w:rPr>
          <w:rFonts w:ascii="Helvetica" w:hAnsi="Helvetica" w:cs="Helvetica"/>
          <w:color w:val="333333"/>
          <w:sz w:val="21"/>
          <w:szCs w:val="21"/>
        </w:rPr>
      </w:pP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center"/>
              <w:rPr>
                <w:rFonts w:ascii="Calibri" w:eastAsia="Times New Roman" w:hAnsi="Calibri"/>
                <w:b/>
                <w:bCs/>
                <w:color w:val="000000"/>
                <w:sz w:val="22"/>
                <w:lang w:eastAsia="en-GB"/>
              </w:rPr>
            </w:pPr>
          </w:p>
        </w:tc>
        <w:tc>
          <w:tcPr>
            <w:tcW w:w="3679" w:type="dxa"/>
            <w:gridSpan w:val="4"/>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Male</w:t>
            </w:r>
          </w:p>
        </w:tc>
      </w:tr>
      <w:tr w:rsidR="00E71F51" w:rsidRPr="00E71F51" w:rsidTr="00847241">
        <w:trPr>
          <w:trHeight w:val="300"/>
        </w:trPr>
        <w:tc>
          <w:tcPr>
            <w:tcW w:w="1701" w:type="dxa"/>
            <w:tcBorders>
              <w:top w:val="nil"/>
              <w:left w:val="nil"/>
              <w:bottom w:val="single" w:sz="4" w:space="0" w:color="000000"/>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1005" w:type="dxa"/>
            <w:tcBorders>
              <w:top w:val="nil"/>
              <w:left w:val="nil"/>
              <w:bottom w:val="single" w:sz="4" w:space="0" w:color="000000"/>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45" w:type="dxa"/>
            <w:tcBorders>
              <w:top w:val="nil"/>
              <w:left w:val="nil"/>
              <w:bottom w:val="single" w:sz="4" w:space="0" w:color="000000"/>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45" w:type="dxa"/>
            <w:tcBorders>
              <w:top w:val="nil"/>
              <w:left w:val="nil"/>
              <w:bottom w:val="single" w:sz="4" w:space="0" w:color="000000"/>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c>
          <w:tcPr>
            <w:tcW w:w="990" w:type="dxa"/>
            <w:tcBorders>
              <w:top w:val="nil"/>
              <w:left w:val="nil"/>
              <w:bottom w:val="single" w:sz="4" w:space="0" w:color="000000"/>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990" w:type="dxa"/>
            <w:tcBorders>
              <w:top w:val="nil"/>
              <w:left w:val="nil"/>
              <w:bottom w:val="single" w:sz="4" w:space="0" w:color="000000"/>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30" w:type="dxa"/>
            <w:tcBorders>
              <w:top w:val="nil"/>
              <w:left w:val="nil"/>
              <w:bottom w:val="single" w:sz="4" w:space="0" w:color="000000"/>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30" w:type="dxa"/>
            <w:tcBorders>
              <w:top w:val="nil"/>
              <w:left w:val="nil"/>
              <w:bottom w:val="single" w:sz="4" w:space="0" w:color="000000"/>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USA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0.047</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0.029</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Iceland</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0.003</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United Kingdom</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0.316</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Netherlands</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0.086</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0.067</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0.167</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Germany</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 </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0.259</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0.297</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0.266</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Sweden</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0.144</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0.099</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0.227</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Bulgaria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0.112</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0.019</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-0.018</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0.197</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Israel</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0.310</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0.134</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0.147</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Luxembourg</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0.306</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0.386</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Canada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0.118</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0.225</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0.270</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0.176</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Taiwan</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0.138</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Japan</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0.337</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0.119</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0.121</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Australia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0.129</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0.267</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0.224</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France</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0.256</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0.211</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Greece</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0.149</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0.135</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0.240</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Austria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0.202</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0.328</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0.235</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Belgium</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0.139</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Spain</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0.239</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Finland</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0.116</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0.208</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0.287</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Switzerland</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0.285</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0.271</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Norway</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0.074</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0.128</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0.268</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proofErr w:type="spellStart"/>
            <w:r w:rsidRPr="00E71F51">
              <w:rPr>
                <w:rFonts w:ascii="Calibri" w:eastAsia="Times New Roman" w:hAnsi="Calibri"/>
                <w:color w:val="000000"/>
                <w:sz w:val="22"/>
                <w:lang w:eastAsia="en-GB"/>
              </w:rPr>
              <w:t>Czechia</w:t>
            </w:r>
            <w:proofErr w:type="spellEnd"/>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0.146</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Hungary</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0.107</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0.178</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-0.031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0.345</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Slovenia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0.393</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0.175</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0.410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0.402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Italy</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0.324</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0.247</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0.311</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0.276</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Portugal</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0.333</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0.374</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0.258</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Ireland</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0.166</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0.423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Slovakia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0.204</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0.254</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0.296</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Latvia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0.111</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0.177</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-0.114</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New Zealand</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0.238</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0.198</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0.357</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0.320</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Denmark</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Poland</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0.078</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0.319</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Lithuania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0.160</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-0.051</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0.447</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Estonia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0.069</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0.392</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0.481</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0.460</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Russia</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-0.207</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0.340</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0.312</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-0.433</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0.482</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Ukraine</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-0.158</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0.124</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0.338</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-0.352</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0.490</w:t>
            </w:r>
          </w:p>
        </w:tc>
      </w:tr>
      <w:tr w:rsidR="00E71F51" w:rsidRPr="00E71F51" w:rsidTr="00847241">
        <w:trPr>
          <w:trHeight w:val="300"/>
        </w:trPr>
        <w:tc>
          <w:tcPr>
            <w:tcW w:w="1701"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Belarus</w:t>
            </w:r>
          </w:p>
        </w:tc>
        <w:tc>
          <w:tcPr>
            <w:tcW w:w="784" w:type="dxa"/>
            <w:tcBorders>
              <w:top w:val="nil"/>
              <w:left w:val="single" w:sz="4" w:space="0" w:color="000000"/>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0.083</w:t>
            </w:r>
          </w:p>
        </w:tc>
        <w:tc>
          <w:tcPr>
            <w:tcW w:w="100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0.245</w:t>
            </w:r>
          </w:p>
        </w:tc>
        <w:tc>
          <w:tcPr>
            <w:tcW w:w="945"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0.379</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0.087</w:t>
            </w:r>
          </w:p>
        </w:tc>
        <w:tc>
          <w:tcPr>
            <w:tcW w:w="99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-0.454</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0.248</w:t>
            </w:r>
          </w:p>
        </w:tc>
        <w:tc>
          <w:tcPr>
            <w:tcW w:w="930" w:type="dxa"/>
            <w:tcBorders>
              <w:top w:val="nil"/>
              <w:left w:val="nil"/>
              <w:bottom w:val="nil"/>
              <w:right w:val="nil"/>
            </w:tcBorders>
            <w:shd w:val="clear" w:color="auto" w:fill="auto"/>
            <w:noWrap/>
            <w:vAlign w:val="bottom"/>
            <w:hideMark/>
          </w:tcPr>
          <w:p w:rsidR="00E71F51" w:rsidRPr="00E71F51" w:rsidRDefault="00E71F51" w:rsidP="00E71F51">
            <w:pPr>
              <w:keepNext/>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0.613</w:t>
            </w:r>
          </w:p>
        </w:tc>
      </w:tr>
    </w:tbl>
    <w:p w:rsidR="00F46896" w:rsidRDefault="00E71F51" w:rsidP="00E71F51">
      <w:pPr>
        <w:pStyle w:val="Caption"/>
        <w:rPr>
          <w:rFonts w:ascii="Helvetica" w:hAnsi="Helvetica" w:cs="Helvetica"/>
          <w:color w:val="333333"/>
          <w:sz w:val="21"/>
          <w:szCs w:val="21"/>
        </w:rPr>
      </w:pPr>
      <w:r>
        <w:t xml:space="preserve">Table </w:t>
      </w:r>
      <w:r w:rsidR="00847241">
        <w:t>R</w:t>
      </w:r>
      <w:fldSimple w:instr=" SEQ Table \* ARABIC ">
        <w:r>
          <w:rPr>
            <w:noProof/>
          </w:rPr>
          <w:t>1</w:t>
        </w:r>
      </w:fldSimple>
      <w:r w:rsidR="00847241">
        <w:t>.1</w:t>
      </w:r>
      <w:r>
        <w:t xml:space="preserve"> Average annual life expectancy changes by decade, arranged by average gain in 2010s. (Lowest at top.) Source: Human Mortality Database</w:t>
      </w:r>
    </w:p>
    <w:p w:rsidR="00B94561" w:rsidRPr="008A477A" w:rsidRDefault="00B94561" w:rsidP="005B74F1"/>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53"/>
    <w:rsid w:val="0003231D"/>
    <w:rsid w:val="000B5054"/>
    <w:rsid w:val="000B7B14"/>
    <w:rsid w:val="000C6EB6"/>
    <w:rsid w:val="0010246A"/>
    <w:rsid w:val="0010680F"/>
    <w:rsid w:val="00106EF1"/>
    <w:rsid w:val="00112265"/>
    <w:rsid w:val="00120525"/>
    <w:rsid w:val="00121C06"/>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2F4353"/>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B74F1"/>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47241"/>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8CE"/>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1F51"/>
    <w:rsid w:val="00E73D3B"/>
    <w:rsid w:val="00E91614"/>
    <w:rsid w:val="00E91D77"/>
    <w:rsid w:val="00F17A93"/>
    <w:rsid w:val="00F42410"/>
    <w:rsid w:val="00F42FC0"/>
    <w:rsid w:val="00F46896"/>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0B00E4-7E31-4EBB-87CF-4FD5332F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6896"/>
    <w:pPr>
      <w:spacing w:after="160" w:line="259" w:lineRule="auto"/>
    </w:pPr>
    <w:rPr>
      <w:rFonts w:ascii="Arial" w:hAnsi="Arial"/>
      <w:sz w:val="24"/>
      <w:szCs w:val="22"/>
      <w:lang w:eastAsia="en-US"/>
    </w:rPr>
  </w:style>
  <w:style w:type="paragraph" w:styleId="Heading1">
    <w:name w:val="heading 1"/>
    <w:basedOn w:val="Normal"/>
    <w:next w:val="Normal"/>
    <w:link w:val="Heading1Char"/>
    <w:rsid w:val="00C05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F468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F46896"/>
    <w:rPr>
      <w:rFonts w:asciiTheme="majorHAnsi" w:eastAsiaTheme="majorEastAsia" w:hAnsiTheme="majorHAnsi" w:cstheme="majorBidi"/>
      <w:color w:val="365F91" w:themeColor="accent1" w:themeShade="BF"/>
      <w:sz w:val="26"/>
      <w:szCs w:val="26"/>
      <w:lang w:eastAsia="en-US"/>
    </w:rPr>
  </w:style>
  <w:style w:type="character" w:customStyle="1" w:styleId="mi">
    <w:name w:val="mi"/>
    <w:basedOn w:val="DefaultParagraphFont"/>
    <w:rsid w:val="00F46896"/>
  </w:style>
  <w:style w:type="character" w:customStyle="1" w:styleId="mn">
    <w:name w:val="mn"/>
    <w:basedOn w:val="DefaultParagraphFont"/>
    <w:rsid w:val="00F46896"/>
  </w:style>
  <w:style w:type="character" w:customStyle="1" w:styleId="mjxassistivemathml">
    <w:name w:val="mjx_assistive_mathml"/>
    <w:basedOn w:val="DefaultParagraphFont"/>
    <w:rsid w:val="00F46896"/>
  </w:style>
  <w:style w:type="paragraph" w:styleId="NormalWeb">
    <w:name w:val="Normal (Web)"/>
    <w:basedOn w:val="Normal"/>
    <w:uiPriority w:val="99"/>
    <w:unhideWhenUsed/>
    <w:rsid w:val="00F46896"/>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rsid w:val="00C058CE"/>
    <w:rPr>
      <w:rFonts w:asciiTheme="majorHAnsi" w:eastAsiaTheme="majorEastAsia" w:hAnsiTheme="majorHAnsi" w:cstheme="majorBidi"/>
      <w:color w:val="365F91" w:themeColor="accent1" w:themeShade="BF"/>
      <w:sz w:val="32"/>
      <w:szCs w:val="32"/>
      <w:lang w:eastAsia="en-US"/>
    </w:rPr>
  </w:style>
  <w:style w:type="paragraph" w:styleId="Caption">
    <w:name w:val="caption"/>
    <w:basedOn w:val="Normal"/>
    <w:next w:val="Normal"/>
    <w:unhideWhenUsed/>
    <w:qFormat/>
    <w:rsid w:val="00E71F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603833">
      <w:bodyDiv w:val="1"/>
      <w:marLeft w:val="0"/>
      <w:marRight w:val="0"/>
      <w:marTop w:val="0"/>
      <w:marBottom w:val="0"/>
      <w:divBdr>
        <w:top w:val="none" w:sz="0" w:space="0" w:color="auto"/>
        <w:left w:val="none" w:sz="0" w:space="0" w:color="auto"/>
        <w:bottom w:val="none" w:sz="0" w:space="0" w:color="auto"/>
        <w:right w:val="none" w:sz="0" w:space="0" w:color="auto"/>
      </w:divBdr>
    </w:div>
    <w:div w:id="178430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5</cp:revision>
  <dcterms:created xsi:type="dcterms:W3CDTF">2020-01-08T14:08:00Z</dcterms:created>
  <dcterms:modified xsi:type="dcterms:W3CDTF">2020-01-09T08:52:00Z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895405</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