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3D" w:rsidRDefault="0067203D" w:rsidP="00370159">
      <w:pPr>
        <w:pStyle w:val="Heading1"/>
        <w:rPr>
          <w:lang w:eastAsia="en-GB"/>
        </w:rPr>
      </w:pPr>
      <w:r>
        <w:t>ONS life expectancy projections</w:t>
      </w:r>
    </w:p>
    <w:p w:rsidR="00C32CD3" w:rsidRDefault="00C32CD3" w:rsidP="0067203D">
      <w:pPr>
        <w:pStyle w:val="NormalWeb"/>
        <w:shd w:val="clear" w:color="auto" w:fill="FFFFFF"/>
        <w:spacing w:before="0" w:beforeAutospacing="0" w:after="150" w:afterAutospacing="0"/>
        <w:rPr>
          <w:rFonts w:ascii="Helvetica" w:hAnsi="Helvetica" w:cs="Helvetica"/>
          <w:color w:val="333333"/>
          <w:sz w:val="21"/>
          <w:szCs w:val="21"/>
        </w:rPr>
      </w:pPr>
    </w:p>
    <w:p w:rsidR="00CD4C20" w:rsidRDefault="00CD4C20" w:rsidP="006720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Figure R4.1 shows </w:t>
      </w:r>
      <w:r>
        <w:rPr>
          <w:rFonts w:ascii="Helvetica" w:hAnsi="Helvetica" w:cs="Helvetica"/>
          <w:color w:val="333333"/>
          <w:sz w:val="21"/>
          <w:szCs w:val="21"/>
        </w:rPr>
        <w:t xml:space="preserve">ONS life expectancy projections from 1971 to 2018, compared with observed life expectancy at birth in a black line. </w:t>
      </w:r>
      <w:r w:rsidR="00C32CD3">
        <w:rPr>
          <w:rFonts w:ascii="Helvetica" w:hAnsi="Helvetica" w:cs="Helvetica"/>
          <w:color w:val="333333"/>
          <w:sz w:val="21"/>
          <w:szCs w:val="21"/>
        </w:rPr>
        <w:t xml:space="preserve">ONS life expectancies have, since 1971, tended to consistently under-predict the life expectancies that were achieved up until around 2010. </w:t>
      </w:r>
      <w:r>
        <w:rPr>
          <w:rFonts w:ascii="Helvetica" w:hAnsi="Helvetica" w:cs="Helvetica"/>
          <w:color w:val="333333"/>
          <w:sz w:val="21"/>
          <w:szCs w:val="21"/>
        </w:rPr>
        <w:t xml:space="preserve">After 2012, there are increasing indications that life expectancy projections may now be over-predicting life expectancy gains instead, with the most recent projections returning to around those levels assumed in projections from the early 2000s. </w:t>
      </w:r>
    </w:p>
    <w:p w:rsidR="00CD4C20" w:rsidRDefault="00CD4C20" w:rsidP="00CD4C20">
      <w:pPr>
        <w:pStyle w:val="NormalWeb"/>
        <w:keepNext/>
        <w:shd w:val="clear" w:color="auto" w:fill="FFFFFF"/>
        <w:spacing w:before="0" w:beforeAutospacing="0" w:after="150" w:afterAutospacing="0"/>
      </w:pPr>
      <w:r>
        <w:rPr>
          <w:rFonts w:ascii="Helvetica" w:hAnsi="Helvetica" w:cs="Helvetica"/>
          <w:noProof/>
          <w:color w:val="333333"/>
          <w:sz w:val="21"/>
          <w:szCs w:val="21"/>
        </w:rPr>
        <w:drawing>
          <wp:inline distT="0" distB="0" distL="0" distR="0">
            <wp:extent cx="5273675" cy="3955415"/>
            <wp:effectExtent l="0" t="0" r="3175" b="6985"/>
            <wp:docPr id="2" name="Picture 2"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rtality_trends\repos\Bayes_Factor_Slowdown\bayes_paper\figures\R4_01_projections1971_201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675" cy="3955415"/>
                    </a:xfrm>
                    <a:prstGeom prst="rect">
                      <a:avLst/>
                    </a:prstGeom>
                    <a:noFill/>
                    <a:ln>
                      <a:noFill/>
                    </a:ln>
                  </pic:spPr>
                </pic:pic>
              </a:graphicData>
            </a:graphic>
          </wp:inline>
        </w:drawing>
      </w:r>
    </w:p>
    <w:p w:rsidR="00CD4C20" w:rsidRDefault="00CD4C20" w:rsidP="00CD4C20">
      <w:pPr>
        <w:pStyle w:val="Caption"/>
        <w:rPr>
          <w:rFonts w:ascii="Helvetica" w:hAnsi="Helvetica" w:cs="Helvetica"/>
          <w:color w:val="333333"/>
          <w:sz w:val="21"/>
          <w:szCs w:val="21"/>
        </w:rPr>
      </w:pPr>
      <w:r>
        <w:t xml:space="preserve">Figure </w:t>
      </w:r>
      <w:fldSimple w:instr=" SEQ Figure \* ARABIC ">
        <w:r>
          <w:rPr>
            <w:noProof/>
          </w:rPr>
          <w:t>1</w:t>
        </w:r>
      </w:fldSimple>
      <w:r>
        <w:t xml:space="preserve"> ONS UK life expectancy projections compared with observed life expectancy (black line)</w:t>
      </w:r>
    </w:p>
    <w:p w:rsidR="0067203D" w:rsidRDefault="00370159" w:rsidP="0067203D">
      <w:pPr>
        <w:pStyle w:val="NormalWeb"/>
        <w:shd w:val="clear" w:color="auto" w:fill="FFFFFF"/>
        <w:spacing w:before="0" w:beforeAutospacing="0" w:after="150" w:afterAutospacing="0"/>
        <w:rPr>
          <w:rFonts w:ascii="Helvetica" w:hAnsi="Helvetica" w:cs="Helvetica"/>
          <w:color w:val="333333"/>
          <w:sz w:val="21"/>
          <w:szCs w:val="21"/>
        </w:rPr>
      </w:pPr>
      <w:bookmarkStart w:id="0" w:name="_GoBack"/>
      <w:bookmarkEnd w:id="0"/>
      <w:r>
        <w:rPr>
          <w:rFonts w:ascii="Helvetica" w:hAnsi="Helvetica" w:cs="Helvetica"/>
          <w:color w:val="333333"/>
          <w:sz w:val="21"/>
          <w:szCs w:val="21"/>
        </w:rPr>
        <w:t xml:space="preserve">A less common way of representing such assumptions is in terms of projected conditional life expectancy over time, which is presented as a Lexis surface in Figure R4.2A in the web appendix, along with changes between conditional life expectancy between successive revision, as shown in Figure R4.3A as a Lexis surface in the web appendix. Figure R4.3A </w:t>
      </w:r>
      <w:r w:rsidR="0067203D">
        <w:rPr>
          <w:rFonts w:ascii="Helvetica" w:hAnsi="Helvetica" w:cs="Helvetica"/>
          <w:color w:val="333333"/>
          <w:sz w:val="21"/>
          <w:szCs w:val="21"/>
        </w:rPr>
        <w:t>The ONS modifies their estimates of life expectancy every couple of years as part of their population projections exercise. For the last four projections the life expectancy projections have been downgraded. This section will show how projections have changed over time, and how they compare against observed life expectancy.</w:t>
      </w:r>
    </w:p>
    <w:p w:rsidR="0067203D" w:rsidRDefault="0067203D" w:rsidP="0067203D"/>
    <w:p w:rsidR="008A0554" w:rsidRDefault="008A0554" w:rsidP="008A05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 the projections have all assumed that the rates of improvement observed in the 2000s are not sustainable in the long term, but have been </w:t>
      </w:r>
      <w:proofErr w:type="spellStart"/>
      <w:r>
        <w:rPr>
          <w:rFonts w:ascii="Helvetica" w:hAnsi="Helvetica" w:cs="Helvetica"/>
          <w:color w:val="333333"/>
          <w:sz w:val="21"/>
          <w:szCs w:val="21"/>
        </w:rPr>
        <w:t>downrated</w:t>
      </w:r>
      <w:proofErr w:type="spellEnd"/>
      <w:r>
        <w:rPr>
          <w:rFonts w:ascii="Helvetica" w:hAnsi="Helvetica" w:cs="Helvetica"/>
          <w:color w:val="333333"/>
          <w:sz w:val="21"/>
          <w:szCs w:val="21"/>
        </w:rPr>
        <w:t xml:space="preserve"> by around a third from 2012 to 2018 for females, and by around a fifth from 2012 to 2018 for males. Assumed rates of improvement are around 17.5% higher than observed in the 2010s for females, and around 13% higher than observed in the 2010s for males.</w:t>
      </w:r>
    </w:p>
    <w:p w:rsidR="008A0554" w:rsidRDefault="008A0554" w:rsidP="008A05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To put more simply: the 2012 ONS projection assumed the rate of improvement would be the midpoint between the 1990 and 2010-11 rates, and subsequent projections have </w:t>
      </w:r>
      <w:r>
        <w:rPr>
          <w:rFonts w:ascii="Helvetica" w:hAnsi="Helvetica" w:cs="Helvetica"/>
          <w:color w:val="333333"/>
          <w:sz w:val="21"/>
          <w:szCs w:val="21"/>
        </w:rPr>
        <w:lastRenderedPageBreak/>
        <w:t>tended increasingly towards the post 2010 improvement levels. They have largely been responsive to the new and much slowed life expectancy gains.</w:t>
      </w:r>
    </w:p>
    <w:p w:rsidR="0067203D" w:rsidRPr="004B370A" w:rsidRDefault="0067203D" w:rsidP="0067203D"/>
    <w:tbl>
      <w:tblPr>
        <w:tblW w:w="6248" w:type="dxa"/>
        <w:tblCellMar>
          <w:top w:w="15" w:type="dxa"/>
          <w:left w:w="15" w:type="dxa"/>
          <w:bottom w:w="15" w:type="dxa"/>
          <w:right w:w="15" w:type="dxa"/>
        </w:tblCellMar>
        <w:tblLook w:val="04A0" w:firstRow="1" w:lastRow="0" w:firstColumn="1" w:lastColumn="0" w:noHBand="0" w:noVBand="1"/>
      </w:tblPr>
      <w:tblGrid>
        <w:gridCol w:w="968"/>
        <w:gridCol w:w="1320"/>
        <w:gridCol w:w="1320"/>
        <w:gridCol w:w="1320"/>
        <w:gridCol w:w="1320"/>
      </w:tblGrid>
      <w:tr w:rsidR="008A0554" w:rsidTr="000342AF">
        <w:trPr>
          <w:trHeight w:val="513"/>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A0554" w:rsidRDefault="008A0554" w:rsidP="000342AF">
            <w:pPr>
              <w:spacing w:after="300"/>
              <w:rPr>
                <w:rFonts w:ascii="Times New Roman" w:hAnsi="Times New Roman"/>
                <w:b/>
                <w:bCs/>
                <w:szCs w:val="24"/>
              </w:rPr>
            </w:pPr>
            <w:r>
              <w:rPr>
                <w:b/>
                <w:bCs/>
              </w:rPr>
              <w:t>sex</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A0554" w:rsidRDefault="008A0554" w:rsidP="000342AF">
            <w:pPr>
              <w:spacing w:after="300"/>
              <w:rPr>
                <w:b/>
                <w:bCs/>
              </w:rPr>
            </w:pPr>
            <w:r>
              <w:rPr>
                <w:b/>
                <w:bCs/>
              </w:rPr>
              <w:t>2012</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A0554" w:rsidRDefault="008A0554" w:rsidP="000342AF">
            <w:pPr>
              <w:spacing w:after="300"/>
              <w:rPr>
                <w:b/>
                <w:bCs/>
              </w:rPr>
            </w:pPr>
            <w:r>
              <w:rPr>
                <w:b/>
                <w:bCs/>
              </w:rPr>
              <w:t>2014</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A0554" w:rsidRDefault="008A0554" w:rsidP="000342AF">
            <w:pPr>
              <w:spacing w:after="300"/>
              <w:rPr>
                <w:b/>
                <w:bCs/>
              </w:rPr>
            </w:pPr>
            <w:r>
              <w:rPr>
                <w:b/>
                <w:bCs/>
              </w:rPr>
              <w:t>2016</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8A0554" w:rsidRDefault="008A0554" w:rsidP="000342AF">
            <w:pPr>
              <w:spacing w:after="300"/>
              <w:rPr>
                <w:b/>
                <w:bCs/>
              </w:rPr>
            </w:pPr>
            <w:r>
              <w:rPr>
                <w:b/>
                <w:bCs/>
              </w:rPr>
              <w:t>2018</w:t>
            </w:r>
          </w:p>
        </w:tc>
      </w:tr>
      <w:tr w:rsidR="008A0554" w:rsidTr="000342AF">
        <w:trPr>
          <w:trHeight w:val="531"/>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spacing w:after="300"/>
            </w:pPr>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spacing w:after="300"/>
            </w:pPr>
            <w:r>
              <w:t>0.137</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spacing w:after="300"/>
            </w:pPr>
            <w:r>
              <w:t>0.129</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spacing w:after="300"/>
            </w:pPr>
            <w:r>
              <w:t>0.115</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spacing w:after="300"/>
            </w:pPr>
            <w:r>
              <w:t>0.094</w:t>
            </w:r>
          </w:p>
        </w:tc>
      </w:tr>
      <w:tr w:rsidR="008A0554" w:rsidTr="000342AF">
        <w:trPr>
          <w:trHeight w:val="513"/>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spacing w:after="300"/>
            </w:pPr>
            <w:r>
              <w:t>m</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spacing w:after="300"/>
            </w:pPr>
            <w:r>
              <w:t>0.148</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spacing w:after="300"/>
            </w:pPr>
            <w:r>
              <w:t>0.147</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spacing w:after="300"/>
            </w:pPr>
            <w:r>
              <w:t>0.134</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spacing w:after="300"/>
            </w:pPr>
            <w:r>
              <w:t>0.114</w:t>
            </w:r>
          </w:p>
        </w:tc>
      </w:tr>
    </w:tbl>
    <w:p w:rsidR="0067203D" w:rsidRPr="004B370A" w:rsidRDefault="0067203D" w:rsidP="0067203D"/>
    <w:p w:rsidR="0067203D" w:rsidRDefault="0067203D" w:rsidP="0067203D">
      <w:pPr>
        <w:rPr>
          <w:rFonts w:ascii="inherit" w:hAnsi="inherit" w:cs="Helvetica"/>
          <w:color w:val="333333"/>
          <w:sz w:val="45"/>
          <w:szCs w:val="45"/>
        </w:rPr>
      </w:pPr>
      <w:r>
        <w:rPr>
          <w:rFonts w:ascii="inherit" w:hAnsi="inherit" w:cs="Helvetica"/>
          <w:b/>
          <w:bCs/>
          <w:color w:val="333333"/>
          <w:sz w:val="45"/>
          <w:szCs w:val="45"/>
        </w:rPr>
        <w:t>3.3 Summaries</w:t>
      </w:r>
    </w:p>
    <w:p w:rsidR="0067203D" w:rsidRDefault="0067203D" w:rsidP="0067203D">
      <w:pPr>
        <w:rPr>
          <w:rFonts w:ascii="inherit" w:hAnsi="inherit" w:cs="Helvetica"/>
          <w:b/>
          <w:bCs/>
          <w:color w:val="333333"/>
          <w:sz w:val="36"/>
          <w:szCs w:val="36"/>
        </w:rPr>
      </w:pPr>
      <w:r>
        <w:rPr>
          <w:rFonts w:ascii="inherit" w:hAnsi="inherit" w:cs="Helvetica"/>
          <w:b/>
          <w:bCs/>
          <w:color w:val="333333"/>
          <w:sz w:val="36"/>
          <w:szCs w:val="36"/>
        </w:rPr>
        <w:t>3.3.1 Average projected improvement</w:t>
      </w:r>
    </w:p>
    <w:p w:rsidR="0067203D" w:rsidRDefault="0067203D" w:rsidP="006720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Let’s summarise this:</w:t>
      </w:r>
    </w:p>
    <w:p w:rsidR="0067203D" w:rsidRDefault="0067203D" w:rsidP="0067203D">
      <w:pPr>
        <w:shd w:val="clear" w:color="auto" w:fill="FFFFFF"/>
        <w:rPr>
          <w:rFonts w:ascii="Helvetica" w:hAnsi="Helvetica" w:cs="Helvetica"/>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67203D" w:rsidTr="00152D96">
        <w:tc>
          <w:tcPr>
            <w:tcW w:w="0" w:type="auto"/>
            <w:shd w:val="clear" w:color="auto" w:fill="auto"/>
            <w:tcMar>
              <w:top w:w="0" w:type="dxa"/>
              <w:left w:w="60" w:type="dxa"/>
              <w:bottom w:w="0" w:type="dxa"/>
              <w:right w:w="60" w:type="dxa"/>
            </w:tcMar>
            <w:vAlign w:val="center"/>
            <w:hideMark/>
          </w:tcPr>
          <w:p w:rsidR="0067203D" w:rsidRDefault="0067203D" w:rsidP="00152D96">
            <w:pPr>
              <w:shd w:val="clear" w:color="auto" w:fill="FFFFFF"/>
              <w:rPr>
                <w:rFonts w:ascii="Helvetica" w:hAnsi="Helvetica" w:cs="Helvetica"/>
                <w:color w:val="333333"/>
                <w:sz w:val="21"/>
                <w:szCs w:val="21"/>
              </w:rPr>
            </w:pPr>
          </w:p>
        </w:tc>
      </w:tr>
    </w:tbl>
    <w:p w:rsidR="0067203D" w:rsidRDefault="0067203D" w:rsidP="0067203D">
      <w:pPr>
        <w:shd w:val="clear" w:color="auto" w:fill="FFFFFF"/>
        <w:rPr>
          <w:rFonts w:ascii="Helvetica" w:hAnsi="Helvetica" w:cs="Helvetica"/>
          <w:vanish/>
          <w:color w:val="333333"/>
          <w:sz w:val="21"/>
          <w:szCs w:val="21"/>
        </w:rPr>
      </w:pPr>
    </w:p>
    <w:p w:rsidR="0067203D" w:rsidRDefault="0067203D" w:rsidP="0067203D">
      <w:pPr>
        <w:rPr>
          <w:rFonts w:ascii="inherit" w:hAnsi="inherit" w:cs="Helvetica"/>
          <w:color w:val="333333"/>
          <w:sz w:val="27"/>
          <w:szCs w:val="27"/>
        </w:rPr>
      </w:pPr>
      <w:r>
        <w:rPr>
          <w:rFonts w:ascii="inherit" w:hAnsi="inherit" w:cs="Helvetica"/>
          <w:b/>
          <w:bCs/>
          <w:color w:val="333333"/>
          <w:sz w:val="27"/>
          <w:szCs w:val="27"/>
        </w:rPr>
        <w:t>3.3.1.1 Average projected improvement - visualised</w:t>
      </w:r>
    </w:p>
    <w:p w:rsidR="0067203D" w:rsidRDefault="0067203D" w:rsidP="0067203D">
      <w:pPr>
        <w:pStyle w:val="BodyText1"/>
        <w:rPr>
          <w:color w:val="808080" w:themeColor="background1" w:themeShade="80"/>
        </w:rPr>
      </w:pPr>
      <w:r>
        <w:rPr>
          <w:noProof/>
          <w:color w:val="808080" w:themeColor="background1" w:themeShade="80"/>
        </w:rPr>
        <w:drawing>
          <wp:inline distT="0" distB="0" distL="0" distR="0" wp14:anchorId="2060D98E" wp14:editId="3E86EE09">
            <wp:extent cx="5274310" cy="37674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39-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67203D" w:rsidRDefault="0067203D" w:rsidP="0067203D">
      <w:pPr>
        <w:pStyle w:val="BodyText1"/>
        <w:rPr>
          <w:color w:val="808080" w:themeColor="background1" w:themeShade="80"/>
        </w:rPr>
      </w:pPr>
    </w:p>
    <w:tbl>
      <w:tblPr>
        <w:tblW w:w="7647" w:type="dxa"/>
        <w:tblCellMar>
          <w:top w:w="15" w:type="dxa"/>
          <w:left w:w="15" w:type="dxa"/>
          <w:bottom w:w="15" w:type="dxa"/>
          <w:right w:w="15" w:type="dxa"/>
        </w:tblCellMar>
        <w:tblLook w:val="04A0" w:firstRow="1" w:lastRow="0" w:firstColumn="1" w:lastColumn="0" w:noHBand="0" w:noVBand="1"/>
      </w:tblPr>
      <w:tblGrid>
        <w:gridCol w:w="849"/>
        <w:gridCol w:w="2092"/>
        <w:gridCol w:w="1366"/>
        <w:gridCol w:w="1766"/>
        <w:gridCol w:w="1574"/>
      </w:tblGrid>
      <w:tr w:rsidR="008A0554" w:rsidTr="000342AF">
        <w:trPr>
          <w:trHeight w:val="914"/>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8A0554" w:rsidRDefault="008A0554" w:rsidP="000342AF">
            <w:pPr>
              <w:rPr>
                <w:rFonts w:ascii="Times New Roman" w:hAnsi="Times New Roman"/>
                <w:b/>
                <w:bCs/>
                <w:szCs w:val="24"/>
              </w:rPr>
            </w:pPr>
            <w:r>
              <w:rPr>
                <w:b/>
                <w:bCs/>
              </w:rPr>
              <w:lastRenderedPageBreak/>
              <w:t>sex</w:t>
            </w:r>
          </w:p>
          <w:p w:rsidR="008A0554" w:rsidRDefault="008A0554"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8A0554" w:rsidRDefault="008A0554" w:rsidP="000342AF">
            <w:pPr>
              <w:rPr>
                <w:b/>
                <w:bCs/>
              </w:rPr>
            </w:pPr>
            <w:r>
              <w:rPr>
                <w:b/>
                <w:bCs/>
              </w:rPr>
              <w:t>country</w:t>
            </w:r>
          </w:p>
          <w:p w:rsidR="008A0554" w:rsidRDefault="008A0554"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8A0554" w:rsidRDefault="008A0554" w:rsidP="000342AF">
            <w:pPr>
              <w:jc w:val="right"/>
              <w:rPr>
                <w:b/>
                <w:bCs/>
              </w:rPr>
            </w:pPr>
            <w:proofErr w:type="spellStart"/>
            <w:r>
              <w:rPr>
                <w:b/>
                <w:bCs/>
              </w:rPr>
              <w:t>proj_year</w:t>
            </w:r>
            <w:proofErr w:type="spellEnd"/>
          </w:p>
          <w:p w:rsidR="008A0554" w:rsidRDefault="008A0554"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8A0554" w:rsidRDefault="008A0554" w:rsidP="000342AF">
            <w:pPr>
              <w:jc w:val="right"/>
              <w:rPr>
                <w:b/>
                <w:bCs/>
              </w:rPr>
            </w:pPr>
            <w:r>
              <w:rPr>
                <w:b/>
                <w:bCs/>
              </w:rPr>
              <w:t>mean_ch_e0</w:t>
            </w:r>
          </w:p>
          <w:p w:rsidR="008A0554" w:rsidRDefault="008A0554"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8A0554" w:rsidRDefault="008A0554" w:rsidP="000342AF">
            <w:pPr>
              <w:jc w:val="right"/>
              <w:rPr>
                <w:b/>
                <w:bCs/>
              </w:rPr>
            </w:pPr>
            <w:r>
              <w:rPr>
                <w:b/>
                <w:bCs/>
              </w:rPr>
              <w:t>sd_ch_e0</w:t>
            </w:r>
          </w:p>
          <w:p w:rsidR="008A0554" w:rsidRDefault="008A0554" w:rsidP="000342AF">
            <w:pPr>
              <w:jc w:val="right"/>
              <w:rPr>
                <w:color w:val="999999"/>
              </w:rPr>
            </w:pPr>
            <w:r>
              <w:rPr>
                <w:color w:val="999999"/>
              </w:rPr>
              <w:t>&lt;</w:t>
            </w:r>
            <w:proofErr w:type="spellStart"/>
            <w:r>
              <w:rPr>
                <w:color w:val="999999"/>
              </w:rPr>
              <w:t>dbl</w:t>
            </w:r>
            <w:proofErr w:type="spellEnd"/>
            <w:r>
              <w:rPr>
                <w:color w:val="999999"/>
              </w:rPr>
              <w:t>&gt;</w:t>
            </w:r>
          </w:p>
        </w:tc>
      </w:tr>
      <w:tr w:rsidR="008A0554" w:rsidTr="000342AF">
        <w:trPr>
          <w:trHeight w:val="447"/>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2012</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0.13488372</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0.04822428</w:t>
            </w:r>
          </w:p>
        </w:tc>
      </w:tr>
      <w:tr w:rsidR="008A0554" w:rsidTr="000342AF">
        <w:trPr>
          <w:trHeight w:val="467"/>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2014</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0.12666667</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0.04472136</w:t>
            </w:r>
          </w:p>
        </w:tc>
      </w:tr>
      <w:tr w:rsidR="008A0554" w:rsidTr="000342AF">
        <w:trPr>
          <w:trHeight w:val="447"/>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2016</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0.11276596</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0.03373181</w:t>
            </w:r>
          </w:p>
        </w:tc>
      </w:tr>
      <w:tr w:rsidR="008A0554" w:rsidTr="000342AF">
        <w:trPr>
          <w:trHeight w:val="447"/>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2018</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0.09183673</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0.03437983</w:t>
            </w:r>
          </w:p>
        </w:tc>
      </w:tr>
      <w:tr w:rsidR="008A0554" w:rsidTr="000342AF">
        <w:trPr>
          <w:trHeight w:val="447"/>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2012</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0.13720930</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0.05355574</w:t>
            </w:r>
          </w:p>
        </w:tc>
      </w:tr>
      <w:tr w:rsidR="008A0554" w:rsidTr="000342AF">
        <w:trPr>
          <w:trHeight w:val="447"/>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2014</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0.12888889</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0.04583678</w:t>
            </w:r>
          </w:p>
        </w:tc>
      </w:tr>
      <w:tr w:rsidR="008A0554" w:rsidTr="000342AF">
        <w:trPr>
          <w:trHeight w:val="447"/>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2016</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0.11702128</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0.03798826</w:t>
            </w:r>
          </w:p>
        </w:tc>
      </w:tr>
      <w:tr w:rsidR="008A0554" w:rsidTr="000342AF">
        <w:trPr>
          <w:trHeight w:val="447"/>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2018</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0.09591837</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0.03511400</w:t>
            </w:r>
          </w:p>
        </w:tc>
      </w:tr>
      <w:tr w:rsidR="008A0554" w:rsidTr="000342AF">
        <w:trPr>
          <w:trHeight w:val="467"/>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Scotland</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2012</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0.13953488</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0.04947118</w:t>
            </w:r>
          </w:p>
        </w:tc>
      </w:tr>
      <w:tr w:rsidR="008A0554" w:rsidTr="000342AF">
        <w:trPr>
          <w:trHeight w:val="447"/>
        </w:trPr>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f</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r>
              <w:t>Scotland</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2014</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0.13111111</w:t>
            </w:r>
          </w:p>
        </w:tc>
        <w:tc>
          <w:tcPr>
            <w:tcW w:w="0" w:type="auto"/>
            <w:tcBorders>
              <w:top w:val="single" w:sz="6" w:space="0" w:color="DDDDDD"/>
            </w:tcBorders>
            <w:shd w:val="clear" w:color="auto" w:fill="auto"/>
            <w:tcMar>
              <w:top w:w="75" w:type="dxa"/>
              <w:left w:w="75" w:type="dxa"/>
              <w:bottom w:w="75" w:type="dxa"/>
              <w:right w:w="75" w:type="dxa"/>
            </w:tcMar>
            <w:hideMark/>
          </w:tcPr>
          <w:p w:rsidR="008A0554" w:rsidRDefault="008A0554" w:rsidP="000342AF">
            <w:pPr>
              <w:jc w:val="right"/>
            </w:pPr>
            <w:r>
              <w:t>0.04681794</w:t>
            </w:r>
          </w:p>
        </w:tc>
      </w:tr>
    </w:tbl>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F37"/>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0159"/>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7203D"/>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0554"/>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D1F37"/>
    <w:rsid w:val="00BF3F19"/>
    <w:rsid w:val="00C059A2"/>
    <w:rsid w:val="00C27630"/>
    <w:rsid w:val="00C3025E"/>
    <w:rsid w:val="00C32CD3"/>
    <w:rsid w:val="00C564DC"/>
    <w:rsid w:val="00C60191"/>
    <w:rsid w:val="00C81746"/>
    <w:rsid w:val="00CC4236"/>
    <w:rsid w:val="00CD1081"/>
    <w:rsid w:val="00CD4C20"/>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CAF1A8-09FF-4018-907E-22D7646F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203D"/>
    <w:pPr>
      <w:spacing w:after="160" w:line="259" w:lineRule="auto"/>
    </w:pPr>
    <w:rPr>
      <w:rFonts w:ascii="Arial" w:hAnsi="Arial"/>
      <w:sz w:val="24"/>
      <w:szCs w:val="22"/>
      <w:lang w:eastAsia="en-US"/>
    </w:rPr>
  </w:style>
  <w:style w:type="paragraph" w:styleId="Heading1">
    <w:name w:val="heading 1"/>
    <w:basedOn w:val="Normal"/>
    <w:next w:val="Normal"/>
    <w:link w:val="Heading1Char"/>
    <w:rsid w:val="003701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6720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67203D"/>
    <w:rPr>
      <w:rFonts w:asciiTheme="majorHAnsi" w:eastAsiaTheme="majorEastAsia" w:hAnsiTheme="majorHAnsi" w:cstheme="majorBidi"/>
      <w:color w:val="365F91" w:themeColor="accent1" w:themeShade="BF"/>
      <w:sz w:val="26"/>
      <w:szCs w:val="26"/>
      <w:lang w:eastAsia="en-US"/>
    </w:rPr>
  </w:style>
  <w:style w:type="paragraph" w:styleId="NormalWeb">
    <w:name w:val="Normal (Web)"/>
    <w:basedOn w:val="Normal"/>
    <w:uiPriority w:val="99"/>
    <w:unhideWhenUsed/>
    <w:rsid w:val="0067203D"/>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rsid w:val="00370159"/>
    <w:rPr>
      <w:rFonts w:asciiTheme="majorHAnsi" w:eastAsiaTheme="majorEastAsia" w:hAnsiTheme="majorHAnsi" w:cstheme="majorBidi"/>
      <w:color w:val="365F91" w:themeColor="accent1" w:themeShade="BF"/>
      <w:sz w:val="32"/>
      <w:szCs w:val="32"/>
      <w:lang w:eastAsia="en-US"/>
    </w:rPr>
  </w:style>
  <w:style w:type="paragraph" w:styleId="Caption">
    <w:name w:val="caption"/>
    <w:basedOn w:val="Normal"/>
    <w:next w:val="Normal"/>
    <w:unhideWhenUsed/>
    <w:qFormat/>
    <w:rsid w:val="00CD4C2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4</cp:revision>
  <dcterms:created xsi:type="dcterms:W3CDTF">2020-01-09T14:13:00Z</dcterms:created>
  <dcterms:modified xsi:type="dcterms:W3CDTF">2020-01-09T17:17:00Z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896677</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