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587" w:rsidRDefault="00A60587" w:rsidP="00A60587">
      <w:pPr>
        <w:shd w:val="clear" w:color="auto" w:fill="FFFFFF"/>
        <w:rPr>
          <w:rFonts w:ascii="Helvetica" w:hAnsi="Helvetica" w:cs="Helvetica"/>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A60587" w:rsidTr="000342AF">
        <w:tc>
          <w:tcPr>
            <w:tcW w:w="0" w:type="auto"/>
            <w:shd w:val="clear" w:color="auto" w:fill="auto"/>
            <w:tcMar>
              <w:top w:w="0" w:type="dxa"/>
              <w:left w:w="60" w:type="dxa"/>
              <w:bottom w:w="0" w:type="dxa"/>
              <w:right w:w="60" w:type="dxa"/>
            </w:tcMar>
            <w:vAlign w:val="center"/>
            <w:hideMark/>
          </w:tcPr>
          <w:p w:rsidR="00A60587" w:rsidRDefault="00A60587" w:rsidP="000342AF">
            <w:pPr>
              <w:shd w:val="clear" w:color="auto" w:fill="FFFFFF"/>
              <w:rPr>
                <w:rFonts w:ascii="Helvetica" w:hAnsi="Helvetica" w:cs="Helvetica"/>
                <w:color w:val="333333"/>
                <w:sz w:val="21"/>
                <w:szCs w:val="21"/>
              </w:rPr>
            </w:pPr>
          </w:p>
        </w:tc>
      </w:tr>
    </w:tbl>
    <w:p w:rsidR="00A60587" w:rsidRDefault="00A60587" w:rsidP="00A60587">
      <w:pPr>
        <w:shd w:val="clear" w:color="auto" w:fill="FFFFFF"/>
        <w:rPr>
          <w:rFonts w:ascii="Helvetica" w:hAnsi="Helvetica" w:cs="Helvetica"/>
          <w:vanish/>
          <w:color w:val="333333"/>
          <w:sz w:val="21"/>
          <w:szCs w:val="21"/>
        </w:rPr>
      </w:pPr>
    </w:p>
    <w:tbl>
      <w:tblPr>
        <w:tblW w:w="9387" w:type="dxa"/>
        <w:tblCellMar>
          <w:top w:w="15" w:type="dxa"/>
          <w:left w:w="15" w:type="dxa"/>
          <w:bottom w:w="15" w:type="dxa"/>
          <w:right w:w="15" w:type="dxa"/>
        </w:tblCellMar>
        <w:tblLook w:val="04A0" w:firstRow="1" w:lastRow="0" w:firstColumn="1" w:lastColumn="0" w:noHBand="0" w:noVBand="1"/>
      </w:tblPr>
      <w:tblGrid>
        <w:gridCol w:w="1386"/>
        <w:gridCol w:w="876"/>
        <w:gridCol w:w="1239"/>
        <w:gridCol w:w="756"/>
        <w:gridCol w:w="1159"/>
        <w:gridCol w:w="1293"/>
        <w:gridCol w:w="1641"/>
        <w:gridCol w:w="1037"/>
      </w:tblGrid>
      <w:tr w:rsidR="00A60587" w:rsidTr="000342AF">
        <w:trPr>
          <w:trHeight w:val="869"/>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rFonts w:ascii="Times New Roman" w:hAnsi="Times New Roman"/>
                <w:b/>
                <w:bCs/>
                <w:szCs w:val="24"/>
              </w:rPr>
            </w:pPr>
            <w:r>
              <w:rPr>
                <w:b/>
                <w:bCs/>
              </w:rPr>
              <w:t>population</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b/>
                <w:bCs/>
              </w:rPr>
            </w:pPr>
            <w:r>
              <w:rPr>
                <w:b/>
                <w:bCs/>
              </w:rPr>
              <w:t>sex</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after_end</w:t>
            </w:r>
            <w:proofErr w:type="spellEnd"/>
          </w:p>
          <w:p w:rsidR="00A60587" w:rsidRDefault="00A60587" w:rsidP="000342AF">
            <w:pPr>
              <w:jc w:val="right"/>
              <w:rPr>
                <w:color w:val="999999"/>
              </w:rPr>
            </w:pPr>
            <w:r>
              <w:rPr>
                <w:color w:val="999999"/>
              </w:rPr>
              <w:t>&lt;</w:t>
            </w:r>
            <w:proofErr w:type="spellStart"/>
            <w:r>
              <w:rPr>
                <w:color w:val="999999"/>
              </w:rPr>
              <w:t>int</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r>
              <w:rPr>
                <w:b/>
                <w:bCs/>
              </w:rPr>
              <w:t>perc</w:t>
            </w:r>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r>
              <w:rPr>
                <w:b/>
                <w:bCs/>
              </w:rPr>
              <w:t>mu</w:t>
            </w:r>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ll</w:t>
            </w:r>
            <w:proofErr w:type="spellEnd"/>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bayes_factor</w:t>
            </w:r>
            <w:proofErr w:type="spellEnd"/>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b/>
                <w:bCs/>
              </w:rPr>
            </w:pPr>
            <w:r>
              <w:rPr>
                <w:b/>
                <w:bCs/>
              </w:rPr>
              <w:t>period</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0.194500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0.7173006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1.0000000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44"/>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0.192555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0.7172876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0.9999870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0.98</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0.190610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0.7172745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0.9999739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0.97</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0.188665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0.7172612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0.9999606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0.186720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0.7172478</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0.9999472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0.184775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0.7172342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0.9999336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bookmarkStart w:id="0" w:name="_GoBack"/>
        <w:bookmarkEnd w:id="0"/>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0.94</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0.182830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0.7172205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0.9999199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0.93</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0.180885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0.7172066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0.9999060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44"/>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0.178940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0.7171926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0.9998920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0.176995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0.7171785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0.9998779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bl>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1374449" wp14:editId="304362F0">
            <wp:extent cx="5273675" cy="5273675"/>
            <wp:effectExtent l="0" t="0" r="317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5273675"/>
                    </a:xfrm>
                    <a:prstGeom prst="rect">
                      <a:avLst/>
                    </a:prstGeom>
                    <a:noFill/>
                  </pic:spPr>
                </pic:pic>
              </a:graphicData>
            </a:graphic>
          </wp:inline>
        </w:drawing>
      </w:r>
    </w:p>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all populations except males in Northern Ireland, the addition of the 2018 single year life expectancy data led to sizeable increases in the empirical support for the belief that there has been a slowdown in life expectancy after 2010; this is seen by noting how much higher the bold line, which incorporates the 2018 data, is than the fainter lines representing cumulative data based on shorter series of observations. For most of these populations, the peak of the bold line is to the left of peaks based on earlier series, meaning not only did the 2018 observations increase the strength of evidence supporting belief in a slowdown in life expectancy improvements, but also suggested more severe magnitudes of slowdown than the series excluding this most recent observation had indicated. For the UK as a whole, the addition of the life expectancy data for 2018 suggested an overall slowdown of around 60% was most likely, compared with a most likely magnitude of slowdown of around 50% based on data up to 2017. For each of these populations, what does the Bayes Factor maximise at?</w:t>
      </w:r>
    </w:p>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437506E" wp14:editId="79154B1F">
            <wp:extent cx="5274310" cy="37674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named-chunk-44-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as a table</w:t>
      </w:r>
    </w:p>
    <w:p w:rsidR="00A60587" w:rsidRDefault="00A60587" w:rsidP="00A60587">
      <w:pPr>
        <w:shd w:val="clear" w:color="auto" w:fill="FFFFFF"/>
        <w:rPr>
          <w:rFonts w:ascii="Helvetica" w:hAnsi="Helvetica" w:cs="Helvetica"/>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A60587" w:rsidTr="000342AF">
        <w:tc>
          <w:tcPr>
            <w:tcW w:w="0" w:type="auto"/>
            <w:shd w:val="clear" w:color="auto" w:fill="auto"/>
            <w:tcMar>
              <w:top w:w="0" w:type="dxa"/>
              <w:left w:w="60" w:type="dxa"/>
              <w:bottom w:w="0" w:type="dxa"/>
              <w:right w:w="60" w:type="dxa"/>
            </w:tcMar>
            <w:vAlign w:val="center"/>
            <w:hideMark/>
          </w:tcPr>
          <w:p w:rsidR="00A60587" w:rsidRDefault="00A60587" w:rsidP="000342AF">
            <w:pPr>
              <w:shd w:val="clear" w:color="auto" w:fill="FFFFFF"/>
              <w:rPr>
                <w:rFonts w:ascii="Helvetica" w:hAnsi="Helvetica" w:cs="Helvetica"/>
                <w:color w:val="333333"/>
                <w:sz w:val="21"/>
                <w:szCs w:val="21"/>
              </w:rPr>
            </w:pPr>
          </w:p>
        </w:tc>
      </w:tr>
    </w:tbl>
    <w:p w:rsidR="00A60587" w:rsidRDefault="00A60587" w:rsidP="00A60587">
      <w:pPr>
        <w:shd w:val="clear" w:color="auto" w:fill="FFFFFF"/>
        <w:rPr>
          <w:rFonts w:ascii="Helvetica" w:hAnsi="Helvetica" w:cs="Helvetica"/>
          <w:vanish/>
          <w:color w:val="333333"/>
          <w:sz w:val="21"/>
          <w:szCs w:val="21"/>
        </w:rPr>
      </w:pPr>
    </w:p>
    <w:tbl>
      <w:tblPr>
        <w:tblW w:w="8348" w:type="dxa"/>
        <w:tblCellMar>
          <w:top w:w="15" w:type="dxa"/>
          <w:left w:w="15" w:type="dxa"/>
          <w:bottom w:w="15" w:type="dxa"/>
          <w:right w:w="15" w:type="dxa"/>
        </w:tblCellMar>
        <w:tblLook w:val="04A0" w:firstRow="1" w:lastRow="0" w:firstColumn="1" w:lastColumn="0" w:noHBand="0" w:noVBand="1"/>
      </w:tblPr>
      <w:tblGrid>
        <w:gridCol w:w="3171"/>
        <w:gridCol w:w="1386"/>
        <w:gridCol w:w="1195"/>
        <w:gridCol w:w="2596"/>
      </w:tblGrid>
      <w:tr w:rsidR="00A60587" w:rsidTr="000342AF">
        <w:trPr>
          <w:trHeight w:val="892"/>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rFonts w:ascii="Times New Roman" w:hAnsi="Times New Roman"/>
                <w:b/>
                <w:bCs/>
                <w:szCs w:val="24"/>
              </w:rPr>
            </w:pPr>
            <w:r>
              <w:rPr>
                <w:b/>
                <w:bCs/>
              </w:rPr>
              <w:t>population</w:t>
            </w:r>
          </w:p>
          <w:p w:rsidR="00A60587" w:rsidRDefault="00A60587" w:rsidP="000342AF">
            <w:pPr>
              <w:rPr>
                <w:color w:val="999999"/>
              </w:rPr>
            </w:pPr>
            <w:r>
              <w:rPr>
                <w:color w:val="999999"/>
              </w:rPr>
              <w:t>&lt;</w:t>
            </w:r>
            <w:proofErr w:type="spellStart"/>
            <w:r>
              <w:rPr>
                <w:color w:val="999999"/>
              </w:rPr>
              <w:t>fctr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b/>
                <w:bCs/>
              </w:rPr>
            </w:pPr>
            <w:r>
              <w:rPr>
                <w:b/>
                <w:bCs/>
              </w:rPr>
              <w:t>sex</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r>
              <w:rPr>
                <w:b/>
                <w:bCs/>
              </w:rPr>
              <w:t>perc</w:t>
            </w:r>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bayes_factor</w:t>
            </w:r>
            <w:proofErr w:type="spellEnd"/>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1.002120</w:t>
            </w:r>
          </w:p>
        </w:tc>
      </w:tr>
      <w:tr w:rsidR="00A60587" w:rsidTr="000342AF">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1.002958</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1.002173</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1.003081</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Great Britain</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1.002221</w:t>
            </w:r>
          </w:p>
        </w:tc>
      </w:tr>
      <w:tr w:rsidR="00A60587" w:rsidTr="000342AF">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Great Britain</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1.003173</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52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1.004581</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1.000435</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Scotland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73</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1.003834</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lastRenderedPageBreak/>
              <w:t>Scotland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59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1.005845</w:t>
            </w:r>
          </w:p>
        </w:tc>
      </w:tr>
    </w:tbl>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p>
    <w:p w:rsidR="00A60587" w:rsidRDefault="00A60587" w:rsidP="00A60587">
      <w:pPr>
        <w:rPr>
          <w:rFonts w:ascii="Helvetica" w:hAnsi="Helvetica" w:cs="Helvetica"/>
          <w:color w:val="333333"/>
          <w:sz w:val="51"/>
          <w:szCs w:val="51"/>
          <w:lang w:eastAsia="en-GB"/>
        </w:rPr>
      </w:pPr>
      <w:r>
        <w:rPr>
          <w:rFonts w:ascii="Helvetica" w:hAnsi="Helvetica" w:cs="Helvetica"/>
          <w:b/>
          <w:bCs/>
          <w:color w:val="333333"/>
          <w:sz w:val="51"/>
          <w:szCs w:val="51"/>
        </w:rPr>
        <w:t>Technical appendix</w:t>
      </w:r>
    </w:p>
    <w:p w:rsidR="00A60587" w:rsidRDefault="00A60587" w:rsidP="00A60587">
      <w:pPr>
        <w:rPr>
          <w:rFonts w:ascii="inherit" w:hAnsi="inherit" w:cs="Helvetica"/>
          <w:b/>
          <w:bCs/>
          <w:color w:val="333333"/>
          <w:sz w:val="45"/>
          <w:szCs w:val="45"/>
        </w:rPr>
      </w:pPr>
      <w:r>
        <w:rPr>
          <w:rFonts w:ascii="inherit" w:hAnsi="inherit" w:cs="Helvetica"/>
          <w:b/>
          <w:bCs/>
          <w:color w:val="333333"/>
          <w:sz w:val="45"/>
          <w:szCs w:val="45"/>
        </w:rPr>
        <w:t>Likelihood and Log Likelihood of the Normal Distribution</w:t>
      </w:r>
    </w:p>
    <w:p w:rsidR="00A60587" w:rsidRDefault="00A60587" w:rsidP="00A6058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For computational reasons it is more common to calculate the log likelihood of a function rather than the likelihood itself. Defining </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1</w:t>
      </w:r>
      <w:proofErr w:type="gramStart"/>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2</w:t>
      </w:r>
      <w:proofErr w:type="gramEnd"/>
      <w:r>
        <w:rPr>
          <w:rStyle w:val="mo"/>
          <w:rFonts w:ascii="MathJax_Main" w:hAnsi="MathJax_Main" w:cs="Helvetica"/>
          <w:color w:val="333333"/>
          <w:sz w:val="25"/>
          <w:szCs w:val="25"/>
          <w:bdr w:val="none" w:sz="0" w:space="0" w:color="auto" w:frame="1"/>
        </w:rPr>
        <w:t>,...,</w:t>
      </w:r>
      <w:proofErr w:type="spellStart"/>
      <w:r>
        <w:rPr>
          <w:rStyle w:val="mi"/>
          <w:rFonts w:ascii="MathJax_Math-italic" w:hAnsi="MathJax_Math-italic" w:cs="Helvetica"/>
          <w:color w:val="333333"/>
          <w:sz w:val="25"/>
          <w:szCs w:val="25"/>
          <w:bdr w:val="none" w:sz="0" w:space="0" w:color="auto" w:frame="1"/>
        </w:rPr>
        <w:t>x</w:t>
      </w:r>
      <w:r>
        <w:rPr>
          <w:rStyle w:val="mi"/>
          <w:rFonts w:ascii="MathJax_Math-italic" w:hAnsi="MathJax_Math-italic" w:cs="Helvetica"/>
          <w:color w:val="333333"/>
          <w:sz w:val="18"/>
          <w:szCs w:val="18"/>
          <w:bdr w:val="none" w:sz="0" w:space="0" w:color="auto" w:frame="1"/>
        </w:rPr>
        <w:t>n</w:t>
      </w:r>
      <w:proofErr w:type="spellEnd"/>
      <w:r>
        <w:rPr>
          <w:rStyle w:val="mo"/>
          <w:rFonts w:ascii="MathJax_Main" w:hAnsi="MathJax_Main" w:cs="Helvetica"/>
          <w:color w:val="333333"/>
          <w:sz w:val="25"/>
          <w:szCs w:val="25"/>
          <w:bdr w:val="none" w:sz="0" w:space="0" w:color="auto" w:frame="1"/>
        </w:rPr>
        <w:t>}</w:t>
      </w:r>
      <w:r>
        <w:rPr>
          <w:rStyle w:val="mjxassistivemathml"/>
          <w:rFonts w:ascii="Helvetica" w:eastAsia="Cambria" w:hAnsi="Helvetica" w:cs="Helvetica"/>
          <w:color w:val="333333"/>
          <w:sz w:val="21"/>
          <w:szCs w:val="21"/>
          <w:bdr w:val="none" w:sz="0" w:space="0" w:color="auto" w:frame="1"/>
        </w:rPr>
        <w:t>X={x1,x2,...,</w:t>
      </w:r>
      <w:proofErr w:type="spellStart"/>
      <w:r>
        <w:rPr>
          <w:rStyle w:val="mjxassistivemathml"/>
          <w:rFonts w:ascii="Helvetica" w:eastAsia="Cambria" w:hAnsi="Helvetica" w:cs="Helvetica"/>
          <w:color w:val="333333"/>
          <w:sz w:val="21"/>
          <w:szCs w:val="21"/>
          <w:bdr w:val="none" w:sz="0" w:space="0" w:color="auto" w:frame="1"/>
        </w:rPr>
        <w:t>xn</w:t>
      </w:r>
      <w:proofErr w:type="spellEnd"/>
      <w:r>
        <w:rPr>
          <w:rStyle w:val="mjxassistivemathml"/>
          <w:rFonts w:ascii="Helvetica" w:eastAsia="Cambria" w:hAnsi="Helvetica" w:cs="Helvetica"/>
          <w:color w:val="333333"/>
          <w:sz w:val="21"/>
          <w:szCs w:val="21"/>
          <w:bdr w:val="none" w:sz="0" w:space="0" w:color="auto" w:frame="1"/>
        </w:rPr>
        <w:t>}</w:t>
      </w:r>
      <w:r>
        <w:rPr>
          <w:rFonts w:ascii="Helvetica" w:hAnsi="Helvetica" w:cs="Helvetica"/>
          <w:color w:val="333333"/>
          <w:sz w:val="21"/>
          <w:szCs w:val="21"/>
        </w:rPr>
        <w:t> as a series of </w:t>
      </w:r>
      <w:proofErr w:type="spellStart"/>
      <w:r>
        <w:rPr>
          <w:rStyle w:val="mi"/>
          <w:rFonts w:ascii="MathJax_Math-italic" w:hAnsi="MathJax_Math-italic" w:cs="Helvetica"/>
          <w:color w:val="333333"/>
          <w:sz w:val="25"/>
          <w:szCs w:val="25"/>
          <w:bdr w:val="none" w:sz="0" w:space="0" w:color="auto" w:frame="1"/>
        </w:rPr>
        <w:t>n</w:t>
      </w:r>
      <w:r>
        <w:rPr>
          <w:rStyle w:val="mjxassistivemathml"/>
          <w:rFonts w:ascii="Helvetica" w:eastAsia="Cambria" w:hAnsi="Helvetica" w:cs="Helvetica"/>
          <w:color w:val="333333"/>
          <w:sz w:val="21"/>
          <w:szCs w:val="21"/>
          <w:bdr w:val="none" w:sz="0" w:space="0" w:color="auto" w:frame="1"/>
        </w:rPr>
        <w:t>n</w:t>
      </w:r>
      <w:proofErr w:type="spellEnd"/>
      <w:r>
        <w:rPr>
          <w:rFonts w:ascii="Helvetica" w:hAnsi="Helvetica" w:cs="Helvetica"/>
          <w:color w:val="333333"/>
          <w:sz w:val="21"/>
          <w:szCs w:val="21"/>
        </w:rPr>
        <w:t> observations, the Log Likelihood of the Normal Distribution is as follows:</w:t>
      </w:r>
    </w:p>
    <w:p w:rsidR="00A60587" w:rsidRDefault="00A60587" w:rsidP="00A60587">
      <w:pPr>
        <w:shd w:val="clear" w:color="auto" w:fill="FFFFFF"/>
        <w:jc w:val="center"/>
        <w:rPr>
          <w:rFonts w:ascii="Helvetica" w:hAnsi="Helvetica" w:cs="Helvetica"/>
          <w:color w:val="333333"/>
          <w:sz w:val="21"/>
          <w:szCs w:val="21"/>
        </w:rPr>
      </w:pPr>
      <w:r>
        <w:rPr>
          <w:rStyle w:val="mi"/>
          <w:rFonts w:ascii="MathJax_Math-italic" w:hAnsi="MathJax_Math-italic" w:cs="Helvetica"/>
          <w:color w:val="333333"/>
          <w:sz w:val="25"/>
          <w:szCs w:val="25"/>
          <w:bdr w:val="none" w:sz="0" w:space="0" w:color="auto" w:frame="1"/>
        </w:rPr>
        <w:t>logL</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μ</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σ</w:t>
      </w:r>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i"/>
          <w:rFonts w:ascii="MathJax_Math-italic" w:hAnsi="MathJax_Math-italic" w:cs="Helvetica"/>
          <w:color w:val="333333"/>
          <w:sz w:val="18"/>
          <w:szCs w:val="18"/>
          <w:bdr w:val="none" w:sz="0" w:space="0" w:color="auto" w:frame="1"/>
        </w:rPr>
        <w:t>n</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n</w:t>
      </w:r>
      <w:r>
        <w:rPr>
          <w:rStyle w:val="mn"/>
          <w:rFonts w:ascii="MathJax_Main" w:hAnsi="MathJax_Main" w:cs="Helvetica"/>
          <w:color w:val="333333"/>
          <w:sz w:val="25"/>
          <w:szCs w:val="25"/>
          <w:bdr w:val="none" w:sz="0" w:space="0" w:color="auto" w:frame="1"/>
        </w:rPr>
        <w:t>2</w:t>
      </w:r>
      <w:r>
        <w:rPr>
          <w:rStyle w:val="mi"/>
          <w:rFonts w:ascii="MathJax_Math-italic" w:hAnsi="MathJax_Math-italic" w:cs="Helvetica"/>
          <w:color w:val="333333"/>
          <w:sz w:val="25"/>
          <w:szCs w:val="25"/>
          <w:bdr w:val="none" w:sz="0" w:space="0" w:color="auto" w:frame="1"/>
        </w:rPr>
        <w:t>log</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w:t>
      </w:r>
      <w:r>
        <w:rPr>
          <w:rStyle w:val="mi"/>
          <w:rFonts w:ascii="MathJax_Math-italic" w:hAnsi="MathJax_Math-italic" w:cs="Helvetica"/>
          <w:color w:val="333333"/>
          <w:sz w:val="25"/>
          <w:szCs w:val="25"/>
          <w:bdr w:val="none" w:sz="0" w:space="0" w:color="auto" w:frame="1"/>
        </w:rPr>
        <w:t>π</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nlog</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σ</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12</w:t>
      </w:r>
      <w:r>
        <w:rPr>
          <w:rStyle w:val="mi"/>
          <w:rFonts w:ascii="MathJax_Math-italic" w:hAnsi="MathJax_Math-italic" w:cs="Helvetica"/>
          <w:color w:val="333333"/>
          <w:sz w:val="25"/>
          <w:szCs w:val="25"/>
          <w:bdr w:val="none" w:sz="0" w:space="0" w:color="auto" w:frame="1"/>
        </w:rPr>
        <w:t>σ</w:t>
      </w:r>
      <w:r>
        <w:rPr>
          <w:rStyle w:val="mn"/>
          <w:rFonts w:ascii="MathJax_Main" w:hAnsi="MathJax_Main" w:cs="Helvetica"/>
          <w:color w:val="333333"/>
          <w:sz w:val="18"/>
          <w:szCs w:val="18"/>
          <w:bdr w:val="none" w:sz="0" w:space="0" w:color="auto" w:frame="1"/>
        </w:rPr>
        <w:t>2</w:t>
      </w:r>
      <w:r>
        <w:rPr>
          <w:rStyle w:val="mo"/>
          <w:rFonts w:ascii="MathJax_Size2" w:hAnsi="MathJax_Size2" w:cs="Helvetica"/>
          <w:color w:val="333333"/>
          <w:sz w:val="25"/>
          <w:szCs w:val="25"/>
          <w:bdr w:val="none" w:sz="0" w:space="0" w:color="auto" w:frame="1"/>
        </w:rPr>
        <w:t>∑</w:t>
      </w:r>
      <w:r>
        <w:rPr>
          <w:rStyle w:val="mi"/>
          <w:rFonts w:ascii="MathJax_Math-italic" w:hAnsi="MathJax_Math-italic" w:cs="Helvetica"/>
          <w:color w:val="333333"/>
          <w:sz w:val="18"/>
          <w:szCs w:val="18"/>
          <w:bdr w:val="none" w:sz="0" w:space="0" w:color="auto" w:frame="1"/>
        </w:rPr>
        <w:t>i</w:t>
      </w:r>
      <w:r>
        <w:rPr>
          <w:rStyle w:val="mo"/>
          <w:rFonts w:ascii="MathJax_Main" w:hAnsi="MathJax_Main" w:cs="Helvetica"/>
          <w:color w:val="333333"/>
          <w:sz w:val="18"/>
          <w:szCs w:val="18"/>
          <w:bdr w:val="none" w:sz="0" w:space="0" w:color="auto" w:frame="1"/>
        </w:rPr>
        <w:t>=</w:t>
      </w:r>
      <w:r>
        <w:rPr>
          <w:rStyle w:val="mn"/>
          <w:rFonts w:ascii="MathJax_Main" w:hAnsi="MathJax_Main" w:cs="Helvetica"/>
          <w:color w:val="333333"/>
          <w:sz w:val="18"/>
          <w:szCs w:val="18"/>
          <w:bdr w:val="none" w:sz="0" w:space="0" w:color="auto" w:frame="1"/>
        </w:rPr>
        <w:t>1</w:t>
      </w:r>
      <w:r>
        <w:rPr>
          <w:rStyle w:val="mi"/>
          <w:rFonts w:ascii="MathJax_Math-italic" w:hAnsi="MathJax_Math-italic" w:cs="Helvetica"/>
          <w:color w:val="333333"/>
          <w:sz w:val="18"/>
          <w:szCs w:val="18"/>
          <w:bdr w:val="none" w:sz="0" w:space="0" w:color="auto" w:frame="1"/>
        </w:rPr>
        <w:t>n</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i"/>
          <w:rFonts w:ascii="MathJax_Math-italic" w:hAnsi="MathJax_Math-italic" w:cs="Helvetica"/>
          <w:color w:val="333333"/>
          <w:sz w:val="18"/>
          <w:szCs w:val="18"/>
          <w:bdr w:val="none" w:sz="0" w:space="0" w:color="auto" w:frame="1"/>
        </w:rPr>
        <w:t>i</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μ</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18"/>
          <w:szCs w:val="18"/>
          <w:bdr w:val="none" w:sz="0" w:space="0" w:color="auto" w:frame="1"/>
        </w:rPr>
        <w:t>2</w:t>
      </w:r>
      <w:r>
        <w:rPr>
          <w:rStyle w:val="mjxassistivemathml"/>
          <w:rFonts w:ascii="Helvetica" w:hAnsi="Helvetica" w:cs="Helvetica"/>
          <w:color w:val="333333"/>
          <w:sz w:val="21"/>
          <w:szCs w:val="21"/>
          <w:bdr w:val="none" w:sz="0" w:space="0" w:color="auto" w:frame="1"/>
        </w:rPr>
        <w:t>logL(μ,σ2|X={x1,x2,...,xn})=−n2log(2π)−nlog(σ)−12σ2∑i=1n(xi−μ)2</w:t>
      </w:r>
    </w:p>
    <w:p w:rsidR="00A60587" w:rsidRDefault="00A60587" w:rsidP="00A60587">
      <w:pPr>
        <w:shd w:val="clear" w:color="auto" w:fill="FFFFFF"/>
        <w:rPr>
          <w:rFonts w:ascii="Helvetica" w:hAnsi="Helvetica" w:cs="Helvetica"/>
          <w:color w:val="333333"/>
          <w:sz w:val="21"/>
          <w:szCs w:val="21"/>
        </w:rPr>
      </w:pPr>
      <w:r>
        <w:rPr>
          <w:rFonts w:ascii="Helvetica" w:hAnsi="Helvetica" w:cs="Helvetica"/>
          <w:color w:val="333333"/>
          <w:sz w:val="21"/>
          <w:szCs w:val="21"/>
        </w:rPr>
        <w:t>This is implemented as a function in R as follows:</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proofErr w:type="spellStart"/>
      <w:r>
        <w:rPr>
          <w:rStyle w:val="HTMLCode"/>
          <w:rFonts w:eastAsia="Cambria"/>
          <w:color w:val="333333"/>
        </w:rPr>
        <w:t>get_ll</w:t>
      </w:r>
      <w:proofErr w:type="spellEnd"/>
      <w:r>
        <w:rPr>
          <w:rStyle w:val="HTMLCode"/>
          <w:rFonts w:eastAsia="Cambria"/>
          <w:color w:val="333333"/>
        </w:rPr>
        <w:t xml:space="preserve"> &lt;- </w:t>
      </w:r>
      <w:r>
        <w:rPr>
          <w:rStyle w:val="hljs-keyword"/>
          <w:b/>
          <w:bCs/>
          <w:color w:val="990000"/>
        </w:rPr>
        <w:t>function</w:t>
      </w:r>
      <w:r>
        <w:rPr>
          <w:rStyle w:val="HTMLCode"/>
          <w:rFonts w:eastAsia="Cambria"/>
          <w:color w:val="333333"/>
        </w:rPr>
        <w:t xml:space="preserve">(x, mu, </w:t>
      </w:r>
      <w:proofErr w:type="spellStart"/>
      <w:r>
        <w:rPr>
          <w:rStyle w:val="HTMLCode"/>
          <w:rFonts w:eastAsia="Cambria"/>
          <w:color w:val="333333"/>
        </w:rPr>
        <w:t>sig_sq</w:t>
      </w:r>
      <w:proofErr w:type="spellEnd"/>
      <w:proofErr w:type="gramStart"/>
      <w:r>
        <w:rPr>
          <w:rStyle w:val="HTMLCode"/>
          <w:rFonts w:eastAsia="Cambria"/>
          <w:color w:val="333333"/>
        </w:rPr>
        <w:t>){</w:t>
      </w:r>
      <w:proofErr w:type="gramEnd"/>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w:t>
      </w:r>
      <w:proofErr w:type="gramStart"/>
      <w:r>
        <w:rPr>
          <w:rStyle w:val="HTMLCode"/>
          <w:rFonts w:eastAsia="Cambria"/>
          <w:color w:val="333333"/>
        </w:rPr>
        <w:t>sig</w:t>
      </w:r>
      <w:proofErr w:type="gramEnd"/>
      <w:r>
        <w:rPr>
          <w:rStyle w:val="HTMLCode"/>
          <w:rFonts w:eastAsia="Cambria"/>
          <w:color w:val="333333"/>
        </w:rPr>
        <w:t xml:space="preserve"> &lt;- </w:t>
      </w:r>
      <w:proofErr w:type="spellStart"/>
      <w:r>
        <w:rPr>
          <w:rStyle w:val="HTMLCode"/>
          <w:rFonts w:eastAsia="Cambria"/>
          <w:color w:val="333333"/>
        </w:rPr>
        <w:t>sqrt</w:t>
      </w:r>
      <w:proofErr w:type="spellEnd"/>
      <w:r>
        <w:rPr>
          <w:rStyle w:val="HTMLCode"/>
          <w:rFonts w:eastAsia="Cambria"/>
          <w:color w:val="333333"/>
        </w:rPr>
        <w:t>(</w:t>
      </w:r>
      <w:proofErr w:type="spellStart"/>
      <w:r>
        <w:rPr>
          <w:rStyle w:val="HTMLCode"/>
          <w:rFonts w:eastAsia="Cambria"/>
          <w:color w:val="333333"/>
        </w:rPr>
        <w:t>sig_sq</w:t>
      </w:r>
      <w:proofErr w:type="spellEnd"/>
      <w:r>
        <w:rPr>
          <w:rStyle w:val="HTMLCode"/>
          <w:rFonts w:eastAsia="Cambria"/>
          <w:color w:val="333333"/>
        </w:rPr>
        <w:t>)</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n &lt;- length(x)</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 </w:t>
      </w:r>
      <w:proofErr w:type="gramStart"/>
      <w:r>
        <w:rPr>
          <w:rStyle w:val="HTMLCode"/>
          <w:rFonts w:eastAsia="Cambria"/>
          <w:color w:val="333333"/>
        </w:rPr>
        <w:t>n</w:t>
      </w:r>
      <w:proofErr w:type="gramEnd"/>
      <w:r>
        <w:rPr>
          <w:rStyle w:val="HTMLCode"/>
          <w:rFonts w:eastAsia="Cambria"/>
          <w:color w:val="333333"/>
        </w:rPr>
        <w:t xml:space="preserve"> * log(sig)  - (n/</w:t>
      </w:r>
      <w:r>
        <w:rPr>
          <w:rStyle w:val="hljs-number"/>
          <w:rFonts w:eastAsiaTheme="minorHAnsi"/>
          <w:color w:val="009999"/>
        </w:rPr>
        <w:t>2</w:t>
      </w:r>
      <w:r>
        <w:rPr>
          <w:rStyle w:val="HTMLCode"/>
          <w:rFonts w:eastAsia="Cambria"/>
          <w:color w:val="333333"/>
        </w:rPr>
        <w:t>) * log(</w:t>
      </w:r>
      <w:r>
        <w:rPr>
          <w:rStyle w:val="hljs-number"/>
          <w:rFonts w:eastAsiaTheme="minorHAnsi"/>
          <w:color w:val="009999"/>
        </w:rPr>
        <w:t>2</w:t>
      </w:r>
      <w:r>
        <w:rPr>
          <w:rStyle w:val="HTMLCode"/>
          <w:rFonts w:eastAsia="Cambria"/>
          <w:color w:val="333333"/>
        </w:rPr>
        <w:t xml:space="preserve"> * pi) - (</w:t>
      </w:r>
      <w:r>
        <w:rPr>
          <w:rStyle w:val="hljs-number"/>
          <w:rFonts w:eastAsiaTheme="minorHAnsi"/>
          <w:color w:val="009999"/>
        </w:rPr>
        <w:t>1</w:t>
      </w:r>
      <w:r>
        <w:rPr>
          <w:rStyle w:val="HTMLCode"/>
          <w:rFonts w:eastAsia="Cambria"/>
          <w:color w:val="333333"/>
        </w:rPr>
        <w:t xml:space="preserve"> / </w:t>
      </w:r>
      <w:r>
        <w:rPr>
          <w:rStyle w:val="hljs-number"/>
          <w:rFonts w:eastAsiaTheme="minorHAnsi"/>
          <w:color w:val="009999"/>
        </w:rPr>
        <w:t>2</w:t>
      </w:r>
      <w:r>
        <w:rPr>
          <w:rStyle w:val="HTMLCode"/>
          <w:rFonts w:eastAsia="Cambria"/>
          <w:color w:val="333333"/>
        </w:rPr>
        <w:t xml:space="preserve"> * </w:t>
      </w:r>
      <w:proofErr w:type="spellStart"/>
      <w:r>
        <w:rPr>
          <w:rStyle w:val="HTMLCode"/>
          <w:rFonts w:eastAsia="Cambria"/>
          <w:color w:val="333333"/>
        </w:rPr>
        <w:t>sig_sq</w:t>
      </w:r>
      <w:proofErr w:type="spellEnd"/>
      <w:r>
        <w:rPr>
          <w:rStyle w:val="HTMLCode"/>
          <w:rFonts w:eastAsia="Cambria"/>
          <w:color w:val="333333"/>
        </w:rPr>
        <w:t>) * sum((x - mu)^</w:t>
      </w:r>
      <w:r>
        <w:rPr>
          <w:rStyle w:val="hljs-number"/>
          <w:rFonts w:eastAsiaTheme="minorHAnsi"/>
          <w:color w:val="009999"/>
        </w:rPr>
        <w:t>2</w:t>
      </w:r>
      <w:r>
        <w:rPr>
          <w:rStyle w:val="HTMLCode"/>
          <w:rFonts w:eastAsia="Cambria"/>
          <w:color w:val="333333"/>
        </w:rPr>
        <w:t>)</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Cambria"/>
          <w:color w:val="333333"/>
        </w:rPr>
        <w:t>}</w:t>
      </w:r>
    </w:p>
    <w:p w:rsidR="00A60587" w:rsidRDefault="00A60587" w:rsidP="00A6058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Bayes Factor is defined as ratio of Likelihoods of two models. In the general case, if </w:t>
      </w:r>
      <w:proofErr w:type="gramStart"/>
      <w:r>
        <w:rPr>
          <w:rStyle w:val="mi"/>
          <w:rFonts w:ascii="MathJax_Math-italic" w:hAnsi="MathJax_Math-italic" w:cs="Helvetica"/>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proofErr w:type="gramEnd"/>
      <w:r>
        <w:rPr>
          <w:rStyle w:val="mi"/>
          <w:rFonts w:ascii="MathJax_Math-italic" w:hAnsi="MathJax_Math-italic" w:cs="Helvetica"/>
          <w:color w:val="333333"/>
          <w:sz w:val="25"/>
          <w:szCs w:val="25"/>
          <w:bdr w:val="none" w:sz="0" w:space="0" w:color="auto" w:frame="1"/>
        </w:rPr>
        <w:t>θ</w:t>
      </w:r>
      <w:r>
        <w:rPr>
          <w:rStyle w:val="mo"/>
          <w:rFonts w:ascii="MathJax_Main" w:hAnsi="MathJax_Main" w:cs="Helvetica"/>
          <w:color w:val="333333"/>
          <w:sz w:val="25"/>
          <w:szCs w:val="25"/>
          <w:bdr w:val="none" w:sz="0" w:space="0" w:color="auto" w:frame="1"/>
        </w:rPr>
        <w:t>)</w:t>
      </w:r>
      <w:r>
        <w:rPr>
          <w:rStyle w:val="mjxassistivemathml"/>
          <w:rFonts w:ascii="Helvetica" w:eastAsia="Cambria" w:hAnsi="Helvetica" w:cs="Helvetica"/>
          <w:color w:val="333333"/>
          <w:sz w:val="21"/>
          <w:szCs w:val="21"/>
          <w:bdr w:val="none" w:sz="0" w:space="0" w:color="auto" w:frame="1"/>
        </w:rPr>
        <w:t>g(θ)</w:t>
      </w:r>
      <w:r>
        <w:rPr>
          <w:rFonts w:ascii="Helvetica" w:hAnsi="Helvetica" w:cs="Helvetica"/>
          <w:color w:val="333333"/>
          <w:sz w:val="21"/>
          <w:szCs w:val="21"/>
        </w:rPr>
        <w:t> refers to a model with parameters </w:t>
      </w:r>
      <w:proofErr w:type="spellStart"/>
      <w:r>
        <w:rPr>
          <w:rStyle w:val="mi"/>
          <w:rFonts w:ascii="MathJax_Math-italic" w:hAnsi="MathJax_Math-italic" w:cs="Helvetica"/>
          <w:color w:val="333333"/>
          <w:sz w:val="25"/>
          <w:szCs w:val="25"/>
          <w:bdr w:val="none" w:sz="0" w:space="0" w:color="auto" w:frame="1"/>
        </w:rPr>
        <w:t>θ</w:t>
      </w:r>
      <w:r>
        <w:rPr>
          <w:rStyle w:val="mjxassistivemathml"/>
          <w:rFonts w:ascii="Helvetica" w:eastAsia="Cambria" w:hAnsi="Helvetica" w:cs="Helvetica"/>
          <w:color w:val="333333"/>
          <w:sz w:val="21"/>
          <w:szCs w:val="21"/>
          <w:bdr w:val="none" w:sz="0" w:space="0" w:color="auto" w:frame="1"/>
        </w:rPr>
        <w:t>θ</w:t>
      </w:r>
      <w:proofErr w:type="spellEnd"/>
      <w:r>
        <w:rPr>
          <w:rFonts w:ascii="Helvetica" w:hAnsi="Helvetica" w:cs="Helvetica"/>
          <w:color w:val="333333"/>
          <w:sz w:val="21"/>
          <w:szCs w:val="21"/>
        </w:rPr>
        <w:t>, and </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null</w:t>
      </w:r>
      <w:r>
        <w:rPr>
          <w:rStyle w:val="mjxassistivemathml"/>
          <w:rFonts w:ascii="Helvetica" w:eastAsia="Cambria" w:hAnsi="Helvetica" w:cs="Helvetica"/>
          <w:color w:val="333333"/>
          <w:sz w:val="21"/>
          <w:szCs w:val="21"/>
          <w:bdr w:val="none" w:sz="0" w:space="0" w:color="auto" w:frame="1"/>
        </w:rPr>
        <w:t>θnull</w:t>
      </w:r>
      <w:proofErr w:type="spellEnd"/>
      <w:r>
        <w:rPr>
          <w:rFonts w:ascii="Helvetica" w:hAnsi="Helvetica" w:cs="Helvetica"/>
          <w:color w:val="333333"/>
          <w:sz w:val="21"/>
          <w:szCs w:val="21"/>
        </w:rPr>
        <w:t> and </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alt</w:t>
      </w:r>
      <w:r>
        <w:rPr>
          <w:rStyle w:val="mjxassistivemathml"/>
          <w:rFonts w:ascii="Helvetica" w:eastAsia="Cambria" w:hAnsi="Helvetica" w:cs="Helvetica"/>
          <w:color w:val="333333"/>
          <w:sz w:val="21"/>
          <w:szCs w:val="21"/>
          <w:bdr w:val="none" w:sz="0" w:space="0" w:color="auto" w:frame="1"/>
        </w:rPr>
        <w:t>θalt</w:t>
      </w:r>
      <w:proofErr w:type="spellEnd"/>
      <w:r>
        <w:rPr>
          <w:rFonts w:ascii="Helvetica" w:hAnsi="Helvetica" w:cs="Helvetica"/>
          <w:color w:val="333333"/>
          <w:sz w:val="21"/>
          <w:szCs w:val="21"/>
        </w:rPr>
        <w:t> to two different candidate parameters, then the Bayes Factor is</w:t>
      </w:r>
    </w:p>
    <w:p w:rsidR="00A60587" w:rsidRDefault="00A60587" w:rsidP="00A60587">
      <w:pPr>
        <w:shd w:val="clear" w:color="auto" w:fill="FFFFFF"/>
        <w:jc w:val="center"/>
        <w:rPr>
          <w:rFonts w:ascii="Helvetica" w:hAnsi="Helvetica" w:cs="Helvetica"/>
          <w:color w:val="333333"/>
          <w:sz w:val="21"/>
          <w:szCs w:val="21"/>
        </w:rPr>
      </w:pPr>
      <w:r>
        <w:rPr>
          <w:rStyle w:val="mi"/>
          <w:rFonts w:ascii="MathJax_Math-italic" w:hAnsi="MathJax_Math-italic" w:cs="Helvetica"/>
          <w:color w:val="333333"/>
          <w:sz w:val="25"/>
          <w:szCs w:val="25"/>
          <w:bdr w:val="none" w:sz="0" w:space="0" w:color="auto" w:frame="1"/>
        </w:rPr>
        <w:t>L</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alt</w:t>
      </w:r>
      <w:proofErr w:type="spellEnd"/>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L</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null</w:t>
      </w:r>
      <w:proofErr w:type="spellEnd"/>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jxassistivemathml"/>
          <w:rFonts w:ascii="Helvetica" w:hAnsi="Helvetica" w:cs="Helvetica"/>
          <w:color w:val="333333"/>
          <w:sz w:val="21"/>
          <w:szCs w:val="21"/>
          <w:bdr w:val="none" w:sz="0" w:space="0" w:color="auto" w:frame="1"/>
        </w:rPr>
        <w:t>L(g(</w:t>
      </w:r>
      <w:proofErr w:type="spellStart"/>
      <w:r>
        <w:rPr>
          <w:rStyle w:val="mjxassistivemathml"/>
          <w:rFonts w:ascii="Helvetica" w:hAnsi="Helvetica" w:cs="Helvetica"/>
          <w:color w:val="333333"/>
          <w:sz w:val="21"/>
          <w:szCs w:val="21"/>
          <w:bdr w:val="none" w:sz="0" w:space="0" w:color="auto" w:frame="1"/>
        </w:rPr>
        <w:t>θalt</w:t>
      </w:r>
      <w:proofErr w:type="spellEnd"/>
      <w:r>
        <w:rPr>
          <w:rStyle w:val="mjxassistivemathml"/>
          <w:rFonts w:ascii="Helvetica" w:hAnsi="Helvetica" w:cs="Helvetica"/>
          <w:color w:val="333333"/>
          <w:sz w:val="21"/>
          <w:szCs w:val="21"/>
          <w:bdr w:val="none" w:sz="0" w:space="0" w:color="auto" w:frame="1"/>
        </w:rPr>
        <w:t>)|X)L(g(</w:t>
      </w:r>
      <w:proofErr w:type="spellStart"/>
      <w:r>
        <w:rPr>
          <w:rStyle w:val="mjxassistivemathml"/>
          <w:rFonts w:ascii="Helvetica" w:hAnsi="Helvetica" w:cs="Helvetica"/>
          <w:color w:val="333333"/>
          <w:sz w:val="21"/>
          <w:szCs w:val="21"/>
          <w:bdr w:val="none" w:sz="0" w:space="0" w:color="auto" w:frame="1"/>
        </w:rPr>
        <w:t>θnull</w:t>
      </w:r>
      <w:proofErr w:type="spellEnd"/>
      <w:r>
        <w:rPr>
          <w:rStyle w:val="mjxassistivemathml"/>
          <w:rFonts w:ascii="Helvetica" w:hAnsi="Helvetica" w:cs="Helvetica"/>
          <w:color w:val="333333"/>
          <w:sz w:val="21"/>
          <w:szCs w:val="21"/>
          <w:bdr w:val="none" w:sz="0" w:space="0" w:color="auto" w:frame="1"/>
        </w:rPr>
        <w:t>)|X)</w:t>
      </w:r>
    </w:p>
    <w:p w:rsidR="00A60587" w:rsidRDefault="00A60587" w:rsidP="00A6058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Note that the alternative and null model specifications both contain a number of parameters in the Log likelihood that are identical. This includes </w:t>
      </w:r>
      <w:proofErr w:type="gramStart"/>
      <w:r>
        <w:rPr>
          <w:rStyle w:val="mi"/>
          <w:rFonts w:ascii="MathJax_Math-italic" w:hAnsi="MathJax_Math-italic" w:cs="Helvetica"/>
          <w:color w:val="333333"/>
          <w:sz w:val="18"/>
          <w:szCs w:val="18"/>
          <w:bdr w:val="none" w:sz="0" w:space="0" w:color="auto" w:frame="1"/>
        </w:rPr>
        <w:t>n</w:t>
      </w:r>
      <w:r>
        <w:rPr>
          <w:rStyle w:val="mn"/>
          <w:rFonts w:ascii="MathJax_Main" w:hAnsi="MathJax_Main" w:cs="Helvetica"/>
          <w:color w:val="333333"/>
          <w:sz w:val="18"/>
          <w:szCs w:val="18"/>
          <w:bdr w:val="none" w:sz="0" w:space="0" w:color="auto" w:frame="1"/>
        </w:rPr>
        <w:t>2</w:t>
      </w:r>
      <w:r>
        <w:rPr>
          <w:rStyle w:val="mi"/>
          <w:rFonts w:ascii="MathJax_Math-italic" w:hAnsi="MathJax_Math-italic" w:cs="Helvetica"/>
          <w:color w:val="333333"/>
          <w:sz w:val="25"/>
          <w:szCs w:val="25"/>
          <w:bdr w:val="none" w:sz="0" w:space="0" w:color="auto" w:frame="1"/>
        </w:rPr>
        <w:t>log</w:t>
      </w:r>
      <w:r>
        <w:rPr>
          <w:rStyle w:val="mo"/>
          <w:rFonts w:ascii="MathJax_Main" w:hAnsi="MathJax_Main" w:cs="Helvetica"/>
          <w:color w:val="333333"/>
          <w:sz w:val="25"/>
          <w:szCs w:val="25"/>
          <w:bdr w:val="none" w:sz="0" w:space="0" w:color="auto" w:frame="1"/>
        </w:rPr>
        <w:t>(</w:t>
      </w:r>
      <w:proofErr w:type="gramEnd"/>
      <w:r>
        <w:rPr>
          <w:rStyle w:val="mn"/>
          <w:rFonts w:ascii="MathJax_Main" w:hAnsi="MathJax_Main" w:cs="Helvetica"/>
          <w:color w:val="333333"/>
          <w:sz w:val="25"/>
          <w:szCs w:val="25"/>
          <w:bdr w:val="none" w:sz="0" w:space="0" w:color="auto" w:frame="1"/>
        </w:rPr>
        <w:t>2</w:t>
      </w:r>
      <w:r>
        <w:rPr>
          <w:rStyle w:val="mi"/>
          <w:rFonts w:ascii="MathJax_Math-italic" w:hAnsi="MathJax_Math-italic" w:cs="Helvetica"/>
          <w:color w:val="333333"/>
          <w:sz w:val="25"/>
          <w:szCs w:val="25"/>
          <w:bdr w:val="none" w:sz="0" w:space="0" w:color="auto" w:frame="1"/>
        </w:rPr>
        <w:t>π</w:t>
      </w:r>
      <w:r>
        <w:rPr>
          <w:rStyle w:val="mo"/>
          <w:rFonts w:ascii="MathJax_Main" w:hAnsi="MathJax_Main" w:cs="Helvetica"/>
          <w:color w:val="333333"/>
          <w:sz w:val="25"/>
          <w:szCs w:val="25"/>
          <w:bdr w:val="none" w:sz="0" w:space="0" w:color="auto" w:frame="1"/>
        </w:rPr>
        <w:t>)</w:t>
      </w:r>
      <w:r>
        <w:rPr>
          <w:rStyle w:val="mjxassistivemathml"/>
          <w:rFonts w:ascii="Helvetica" w:eastAsia="Cambria" w:hAnsi="Helvetica" w:cs="Helvetica"/>
          <w:color w:val="333333"/>
          <w:sz w:val="21"/>
          <w:szCs w:val="21"/>
          <w:bdr w:val="none" w:sz="0" w:space="0" w:color="auto" w:frame="1"/>
        </w:rPr>
        <w:t>n2log(2π)</w:t>
      </w:r>
      <w:r>
        <w:rPr>
          <w:rFonts w:ascii="Helvetica" w:hAnsi="Helvetica" w:cs="Helvetica"/>
          <w:color w:val="333333"/>
          <w:sz w:val="21"/>
          <w:szCs w:val="21"/>
        </w:rPr>
        <w:t> and </w:t>
      </w:r>
      <w:proofErr w:type="spellStart"/>
      <w:r>
        <w:rPr>
          <w:rStyle w:val="mi"/>
          <w:rFonts w:ascii="MathJax_Math-italic" w:hAnsi="MathJax_Math-italic" w:cs="Helvetica"/>
          <w:color w:val="333333"/>
          <w:sz w:val="25"/>
          <w:szCs w:val="25"/>
          <w:bdr w:val="none" w:sz="0" w:space="0" w:color="auto" w:frame="1"/>
        </w:rPr>
        <w:t>nlog</w:t>
      </w:r>
      <w:proofErr w:type="spellEnd"/>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σ</w:t>
      </w:r>
      <w:r>
        <w:rPr>
          <w:rStyle w:val="mo"/>
          <w:rFonts w:ascii="MathJax_Main" w:hAnsi="MathJax_Main" w:cs="Helvetica"/>
          <w:color w:val="333333"/>
          <w:sz w:val="25"/>
          <w:szCs w:val="25"/>
          <w:bdr w:val="none" w:sz="0" w:space="0" w:color="auto" w:frame="1"/>
        </w:rPr>
        <w:t>)</w:t>
      </w:r>
      <w:proofErr w:type="spellStart"/>
      <w:r>
        <w:rPr>
          <w:rStyle w:val="mjxassistivemathml"/>
          <w:rFonts w:ascii="Helvetica" w:eastAsia="Cambria" w:hAnsi="Helvetica" w:cs="Helvetica"/>
          <w:color w:val="333333"/>
          <w:sz w:val="21"/>
          <w:szCs w:val="21"/>
          <w:bdr w:val="none" w:sz="0" w:space="0" w:color="auto" w:frame="1"/>
        </w:rPr>
        <w:t>nlog</w:t>
      </w:r>
      <w:proofErr w:type="spellEnd"/>
      <w:r>
        <w:rPr>
          <w:rStyle w:val="mjxassistivemathml"/>
          <w:rFonts w:ascii="Helvetica" w:eastAsia="Cambria" w:hAnsi="Helvetica" w:cs="Helvetica"/>
          <w:color w:val="333333"/>
          <w:sz w:val="21"/>
          <w:szCs w:val="21"/>
          <w:bdr w:val="none" w:sz="0" w:space="0" w:color="auto" w:frame="1"/>
        </w:rPr>
        <w:t>(σ)</w:t>
      </w:r>
      <w:r>
        <w:rPr>
          <w:rFonts w:ascii="Helvetica" w:hAnsi="Helvetica" w:cs="Helvetica"/>
          <w:color w:val="333333"/>
          <w:sz w:val="21"/>
          <w:szCs w:val="21"/>
        </w:rPr>
        <w:t> (because we are not concerned about testing proposed difference in the variance before and after). This means Bayes Factor could be calculated without including these parameters. However, they have been included for completeness.</w:t>
      </w:r>
    </w:p>
    <w:p w:rsidR="00A60587" w:rsidRDefault="00A60587" w:rsidP="00A60587"/>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C3"/>
    <w:rsid w:val="0003231D"/>
    <w:rsid w:val="000B5054"/>
    <w:rsid w:val="000B7B14"/>
    <w:rsid w:val="000C6EB6"/>
    <w:rsid w:val="000E1EE7"/>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60587"/>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13C3"/>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C68C02-3973-42F8-AC8D-A86ADDF4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0587"/>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A60587"/>
    <w:pPr>
      <w:spacing w:before="100" w:beforeAutospacing="1" w:after="100" w:afterAutospacing="1" w:line="240" w:lineRule="auto"/>
    </w:pPr>
    <w:rPr>
      <w:rFonts w:ascii="Times New Roman" w:eastAsia="Times New Roman" w:hAnsi="Times New Roman"/>
      <w:szCs w:val="24"/>
      <w:lang w:eastAsia="en-GB"/>
    </w:rPr>
  </w:style>
  <w:style w:type="character" w:customStyle="1" w:styleId="mi">
    <w:name w:val="mi"/>
    <w:basedOn w:val="DefaultParagraphFont"/>
    <w:rsid w:val="00A60587"/>
  </w:style>
  <w:style w:type="character" w:customStyle="1" w:styleId="mn">
    <w:name w:val="mn"/>
    <w:basedOn w:val="DefaultParagraphFont"/>
    <w:rsid w:val="00A60587"/>
  </w:style>
  <w:style w:type="character" w:customStyle="1" w:styleId="mjxassistivemathml">
    <w:name w:val="mjx_assistive_mathml"/>
    <w:basedOn w:val="DefaultParagraphFont"/>
    <w:rsid w:val="00A60587"/>
  </w:style>
  <w:style w:type="paragraph" w:styleId="HTMLPreformatted">
    <w:name w:val="HTML Preformatted"/>
    <w:basedOn w:val="Normal"/>
    <w:link w:val="HTMLPreformattedChar"/>
    <w:uiPriority w:val="99"/>
    <w:semiHidden/>
    <w:unhideWhenUsed/>
    <w:rsid w:val="00A6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0587"/>
    <w:rPr>
      <w:rFonts w:ascii="Courier New" w:eastAsia="Times New Roman" w:hAnsi="Courier New" w:cs="Courier New"/>
    </w:rPr>
  </w:style>
  <w:style w:type="character" w:styleId="HTMLCode">
    <w:name w:val="HTML Code"/>
    <w:basedOn w:val="DefaultParagraphFont"/>
    <w:uiPriority w:val="99"/>
    <w:semiHidden/>
    <w:unhideWhenUsed/>
    <w:rsid w:val="00A60587"/>
    <w:rPr>
      <w:rFonts w:ascii="Courier New" w:eastAsia="Times New Roman" w:hAnsi="Courier New" w:cs="Courier New"/>
      <w:sz w:val="20"/>
      <w:szCs w:val="20"/>
    </w:rPr>
  </w:style>
  <w:style w:type="character" w:customStyle="1" w:styleId="mo">
    <w:name w:val="mo"/>
    <w:basedOn w:val="DefaultParagraphFont"/>
    <w:rsid w:val="00A60587"/>
  </w:style>
  <w:style w:type="character" w:customStyle="1" w:styleId="hljs-keyword">
    <w:name w:val="hljs-keyword"/>
    <w:basedOn w:val="DefaultParagraphFont"/>
    <w:rsid w:val="00A60587"/>
  </w:style>
  <w:style w:type="character" w:customStyle="1" w:styleId="hljs-number">
    <w:name w:val="hljs-number"/>
    <w:basedOn w:val="DefaultParagraphFont"/>
    <w:rsid w:val="00A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537</Words>
  <Characters>3063</Characters>
  <Application>Microsoft Office Word</Application>
  <DocSecurity>0</DocSecurity>
  <Lines>25</Lines>
  <Paragraphs>7</Paragraphs>
  <ScaleCrop>false</ScaleCrop>
  <Company>NHS HealthScotland</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dcterms:created xsi:type="dcterms:W3CDTF">2020-01-09T15:08:00Z</dcterms:created>
  <dcterms:modified xsi:type="dcterms:W3CDTF">2020-01-10T16:13:00Z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896787</vt:lpwstr>
  </property>
  <property fmtid="{D5CDD505-2E9C-101B-9397-08002B2CF9AE}" pid="3" name="InsertAsFootnote">
    <vt:lpwstr>False</vt:lpwstr>
  </property>
  <property fmtid="{D5CDD505-2E9C-101B-9397-08002B2CF9AE}" pid="4" name="ProjectId">
    <vt:lpwstr>0</vt:lpwstr>
  </property>
  <property fmtid="{D5CDD505-2E9C-101B-9397-08002B2CF9AE}" pid="5" name="StyleId">
    <vt:lpwstr>http://www.zotero.org/styles/vancouver</vt:lpwstr>
  </property>
</Properties>
</file>