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402C1" w14:textId="77777777" w:rsidR="00F1673E" w:rsidRDefault="00F1673E" w:rsidP="00F1673E">
      <w:pPr>
        <w:pStyle w:val="Heading1"/>
      </w:pPr>
      <w:r>
        <w:t>Bayes Factor estimation of the extent of the slowdown</w:t>
      </w:r>
    </w:p>
    <w:p w14:paraId="2E6A8B0B" w14:textId="77777777" w:rsidR="00F1673E" w:rsidRDefault="00F1673E" w:rsidP="00F1673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previous </w:t>
      </w:r>
      <w:r w:rsidR="00ED20B4">
        <w:rPr>
          <w:rFonts w:ascii="Helvetica" w:hAnsi="Helvetica" w:cs="Helvetica"/>
          <w:color w:val="333333"/>
          <w:sz w:val="21"/>
          <w:szCs w:val="21"/>
        </w:rPr>
        <w:t xml:space="preserve">section showed that since 2012 life expectancy projections have tended to overestimate the improvements in life expectancy so far observed, and that forecasts have since tended to be successively downgraded with each new biennial projection. A breakpoint analysis for UK life expectancy trends was also performed (See section XX and appendix YYY) confirming a change in life expectancy improvement rates around 2010, broadly consistent with previous published research. </w:t>
      </w:r>
      <w:r w:rsidR="00ED20B4">
        <w:rPr>
          <w:rFonts w:ascii="Helvetica" w:hAnsi="Helvetica" w:cs="Helvetica"/>
          <w:color w:val="333333"/>
          <w:sz w:val="21"/>
          <w:szCs w:val="21"/>
        </w:rPr>
        <w:fldChar w:fldCharType="begin"/>
      </w:r>
      <w:r w:rsidR="00ED20B4">
        <w:rPr>
          <w:rFonts w:ascii="Helvetica" w:hAnsi="Helvetica" w:cs="Helvetica"/>
          <w:color w:val="333333"/>
          <w:sz w:val="21"/>
          <w:szCs w:val="21"/>
        </w:rPr>
        <w:instrText>ADDIN F1000_CSL_CITATION&lt;~#@#~&gt;[{"title":"Recent adverse mortality trends in Scotland: comparison with other high-income countries.","id":"7720982","page":"e029936","type":"article-journal","volume":"9","issue":"10","author":[{"family":"Fenton","given":"Lynda"},{"family":"Minton","given":"Jon"},{"family":"Ramsay","given":"Julie"},{"family":"Kaye-Bardgett","given":"Maria"},{"family":"Fischbacher","given":"Colin"},{"family":"Wyper","given":"Grant M A"},{"family":"McCartney","given":"Gerry"}],"issued":{"date-parts":[["2019","10","31"]]},"container-title":"BMJ Open","container-title-short":"BMJ Open","journalAbbreviation":"BMJ Open","DOI":"10.1136/bmjopen-2019-029936","PMID":"31676648","PMCID":"PMC6830653","citation-label":"7720982","Abstract":"&lt;strong&gt;OBJECTIVE:&lt;/strong&gt;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Scotland.&lt;br&gt;&lt;br&gt;&lt;strong&gt;SETTING:&lt;/strong&gt; Austria, Croatia, Czech Republic, Denmark, England and Wales, Estonia, France, Germany, Hungary, Iceland, Israel, Japan, Korea, Latvia, Lithuania, Netherlands, Northern Ireland, Poland, Scotland, Slovakia, Spain, Sweden, Switzerland and USA.&lt;br&gt;&lt;br&gt;&lt;strong&gt;METHODS:&lt;/strong&gt;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2018.&lt;br&gt;&lt;br&gt;&lt;strong&gt;RESULTS:&lt;/strong&gt; Mean improvements in life expectancy in 2012-2016 were smallest among women (&lt; 2 weeks/year) in Northern Ireland, Iceland, England and Wales, and the USA and among men (&lt; 5 weeks/year) in Iceland, USA, England and Wales, and Scotland. Japan, Korea and countries of Eastern Europe had substantial gains in life expectancy over the same period. The best estimate of when mortality rates changed to a slower rate of improvement in Scotland was the year to 2012 quarter 4 for men and the year to 2014 quarter 2 for women.&lt;br&gt;&lt;br&gt;&lt;strong&gt;CONCLUSIONS:&lt;/strong&gt;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contributors.&lt;br&gt;&lt;br&gt;© Author(s) (or their employer(s)) 2019. Re-use permitted under CC BY-NC. No commercial re-use. See rights and permissions. Published by BMJ.","CleanAbstract":"OBJECTIVE: Gains in life expectancy have faltered in several high-income countries in recent years. Scotland has consistently had a lower life expectancy than many other high-income countries over the past 70 years. We aim to compare life expectancy trends in Scotland to those seen internationally and to assess the timing and importance of any recent changes in mortality trends for Scotland.SETTING: Austria, Croatia, Czech Republic, Denmark, England and Wales, Estonia, France, Germany, Hungary, Iceland, Israel, Japan, Korea, Latvia, Lithuania, Netherlands, Northern Ireland, Poland, Scotland, Slovakia, Spain, Sweden, Switzerland and USA.METHODS: We used life expectancy data from the Human Mortality Database (HMD) to calculate the mean annual life expectancy change for 24 high-income countries over 5-year periods from 1992 to 2016. Linear regression was used to assess the association between life expectancy in 2011 and mean life expectancy change over the subsequent 5 years. One-break and two-break segmented regression models were used to test the timing of mortality rate changes in Scotland between 1990 and 2018.RESULTS: Mean improvements in life expectancy in 2012-2016 were smallest among women (CONCLUSIONS: Life expectancy improvement has stalled across many, but not all, high-income countries. The recent change in the mortality trend in Scotland occurred within the period 2012-2014. Further research is required to understand these trends, but governments must also take timely action on plausible contributors.© Author(s) (or their employer(s)) 2019. Re-use permitted under CC BY-NC. No commercial re-use. See rights and permissions. Published by BMJ."}]</w:instrText>
      </w:r>
      <w:r w:rsidR="00ED20B4">
        <w:rPr>
          <w:rFonts w:ascii="Helvetica" w:hAnsi="Helvetica" w:cs="Helvetica"/>
          <w:color w:val="333333"/>
          <w:sz w:val="21"/>
          <w:szCs w:val="21"/>
        </w:rPr>
        <w:fldChar w:fldCharType="separate"/>
      </w:r>
      <w:r w:rsidR="00ED20B4">
        <w:rPr>
          <w:rFonts w:ascii="Helvetica" w:hAnsi="Helvetica" w:cs="Helvetica"/>
          <w:color w:val="333333"/>
          <w:sz w:val="21"/>
          <w:szCs w:val="21"/>
        </w:rPr>
        <w:t>(1)</w:t>
      </w:r>
      <w:r w:rsidR="00ED20B4">
        <w:rPr>
          <w:rFonts w:ascii="Helvetica" w:hAnsi="Helvetica" w:cs="Helvetica"/>
          <w:color w:val="333333"/>
          <w:sz w:val="21"/>
          <w:szCs w:val="21"/>
        </w:rPr>
        <w:fldChar w:fldCharType="end"/>
      </w:r>
      <w:r w:rsidR="00ED20B4">
        <w:rPr>
          <w:rFonts w:ascii="Helvetica" w:hAnsi="Helvetica" w:cs="Helvetica"/>
          <w:color w:val="333333"/>
          <w:sz w:val="21"/>
          <w:szCs w:val="21"/>
        </w:rPr>
        <w:t xml:space="preserve"> This section presents the results of a relatively simple approach for quantifying the extent to which recent life expectancy improvement rates within the UK have fallen short of pre-201</w:t>
      </w:r>
      <w:r w:rsidR="00D16D9A">
        <w:rPr>
          <w:rFonts w:ascii="Helvetica" w:hAnsi="Helvetica" w:cs="Helvetica"/>
          <w:color w:val="333333"/>
          <w:sz w:val="21"/>
          <w:szCs w:val="21"/>
        </w:rPr>
        <w:t xml:space="preserve">0 trends, as well as the additional information produced by each successive annual life expectancy estimate produced by the ONS in informing researchers and policy makers as to the extent and persistence of the post 2010 slowdown. </w:t>
      </w:r>
    </w:p>
    <w:p w14:paraId="4864F22C" w14:textId="47174380" w:rsidR="00D16D9A" w:rsidRDefault="00D16D9A" w:rsidP="00F1673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approach involves comparing the likelihood of a model which assumes life expectancies will continue to improve at the long-term pre-2010 rate</w:t>
      </w:r>
      <w:r w:rsidR="002C33B8">
        <w:rPr>
          <w:rFonts w:ascii="Helvetica" w:hAnsi="Helvetica" w:cs="Helvetica"/>
          <w:color w:val="333333"/>
          <w:sz w:val="21"/>
          <w:szCs w:val="21"/>
        </w:rPr>
        <w:t>, defined here as the average annual change in life expectancy between 1991 and 2010 inclusive</w:t>
      </w:r>
      <w:r>
        <w:rPr>
          <w:rFonts w:ascii="Helvetica" w:hAnsi="Helvetica" w:cs="Helvetica"/>
          <w:color w:val="333333"/>
          <w:sz w:val="21"/>
          <w:szCs w:val="21"/>
        </w:rPr>
        <w:t xml:space="preserve">, with a series of models which assume anywhere between a 1% and 100% long-term decline from this earlier rate. </w:t>
      </w:r>
      <w:r w:rsidR="0041129F">
        <w:rPr>
          <w:rFonts w:ascii="Helvetica" w:hAnsi="Helvetica" w:cs="Helvetica"/>
          <w:color w:val="333333"/>
          <w:sz w:val="21"/>
          <w:szCs w:val="21"/>
        </w:rPr>
        <w:t xml:space="preserve">The most likely of this family of alternative models can then be identified, and with each new annual lifetable for the UK and constituent nations the preferred model and changing strength of evidence in support of this model can be updated. A graphical illustration showing the relative likelihood of each of these models, and how the inclusion of each new observation changes the likelihood surface, is shown in Figure R5.1A in the webappendix, along with a technical description of the approach. </w:t>
      </w:r>
    </w:p>
    <w:p w14:paraId="63AB5F45" w14:textId="20FD7F10" w:rsidR="00F1673E" w:rsidRDefault="00A11234" w:rsidP="00F1673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[ADD TABLE HERE]</w:t>
      </w:r>
      <w:bookmarkStart w:id="0" w:name="_GoBack"/>
      <w:bookmarkEnd w:id="0"/>
    </w:p>
    <w:p w14:paraId="4072B960" w14:textId="77777777" w:rsidR="0041129F" w:rsidRDefault="0041129F" w:rsidP="00F1673E">
      <w:pPr>
        <w:pStyle w:val="NormalWeb"/>
        <w:shd w:val="clear" w:color="auto" w:fill="FFFFFF"/>
        <w:spacing w:before="0" w:beforeAutospacing="0" w:after="150" w:afterAutospacing="0"/>
        <w:rPr>
          <w:rFonts w:ascii="Helvetica" w:hAnsi="Helvetica" w:cs="Helvetica"/>
          <w:color w:val="333333"/>
          <w:sz w:val="21"/>
          <w:szCs w:val="21"/>
        </w:rPr>
      </w:pPr>
    </w:p>
    <w:p w14:paraId="0C3E7384" w14:textId="77777777" w:rsidR="00F1673E" w:rsidRDefault="00F1673E" w:rsidP="00F1673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For all populations except males in Northern Ireland, the addition of the 2018 single year life expectancy data led to sizeable increases in the empirical support for the belief that there has been a slowdown in life expectancy after 2010; this is seen by noting how much higher the bold line, which incorporates the 2018 data, is than the fainter lines representing cumulative data based on shorter series of observations. For most of these populations, the peak of the bold line is to the left of peaks based on earlier series, meaning not only did the 2018 observations increase the strength of evidence supporting belief in a slowdown in life expectancy improvements, but also suggested more severe magnitudes of slowdown than the series excluding this most recent observation had indicated. For the UK as a whole, the addition of the life expectancy data for 2018 suggested an overall slowdown of around 60% was most likely, compared with a most likely magnitude of slowdown of around 50% based on data up to 2017. For each of these populations, what does the Bayes Factor maximise at?</w:t>
      </w:r>
    </w:p>
    <w:p w14:paraId="52E2480C" w14:textId="77777777" w:rsidR="00F1673E" w:rsidRDefault="00F1673E" w:rsidP="00F1673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14:anchorId="3AF3E8D2" wp14:editId="3A378586">
            <wp:extent cx="5274310" cy="376745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named-chunk-44-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767455"/>
                    </a:xfrm>
                    <a:prstGeom prst="rect">
                      <a:avLst/>
                    </a:prstGeom>
                  </pic:spPr>
                </pic:pic>
              </a:graphicData>
            </a:graphic>
          </wp:inline>
        </w:drawing>
      </w:r>
    </w:p>
    <w:p w14:paraId="4DF2DDEF" w14:textId="77777777" w:rsidR="00F1673E" w:rsidRDefault="00F1673E" w:rsidP="00F1673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And as a table</w:t>
      </w:r>
    </w:p>
    <w:p w14:paraId="7938F10A" w14:textId="77777777" w:rsidR="00F1673E" w:rsidRDefault="00F1673E" w:rsidP="00F1673E">
      <w:pPr>
        <w:shd w:val="clear" w:color="auto" w:fill="FFFFFF"/>
        <w:rPr>
          <w:rFonts w:ascii="Helvetica" w:hAnsi="Helvetica" w:cs="Helvetica"/>
          <w:color w:val="333333"/>
          <w:sz w:val="21"/>
          <w:szCs w:val="21"/>
        </w:rPr>
      </w:pPr>
    </w:p>
    <w:tbl>
      <w:tblPr>
        <w:tblW w:w="0" w:type="dxa"/>
        <w:tblCellMar>
          <w:top w:w="15" w:type="dxa"/>
          <w:left w:w="15" w:type="dxa"/>
          <w:bottom w:w="15" w:type="dxa"/>
          <w:right w:w="15" w:type="dxa"/>
        </w:tblCellMar>
        <w:tblLook w:val="04A0" w:firstRow="1" w:lastRow="0" w:firstColumn="1" w:lastColumn="0" w:noHBand="0" w:noVBand="1"/>
      </w:tblPr>
      <w:tblGrid>
        <w:gridCol w:w="126"/>
      </w:tblGrid>
      <w:tr w:rsidR="00F1673E" w14:paraId="19A5E541" w14:textId="77777777" w:rsidTr="00CE5110">
        <w:tc>
          <w:tcPr>
            <w:tcW w:w="0" w:type="auto"/>
            <w:shd w:val="clear" w:color="auto" w:fill="auto"/>
            <w:tcMar>
              <w:top w:w="0" w:type="dxa"/>
              <w:left w:w="60" w:type="dxa"/>
              <w:bottom w:w="0" w:type="dxa"/>
              <w:right w:w="60" w:type="dxa"/>
            </w:tcMar>
            <w:vAlign w:val="center"/>
            <w:hideMark/>
          </w:tcPr>
          <w:p w14:paraId="1883F6F5" w14:textId="77777777" w:rsidR="00F1673E" w:rsidRDefault="00F1673E" w:rsidP="00CE5110">
            <w:pPr>
              <w:shd w:val="clear" w:color="auto" w:fill="FFFFFF"/>
              <w:rPr>
                <w:rFonts w:ascii="Helvetica" w:hAnsi="Helvetica" w:cs="Helvetica"/>
                <w:color w:val="333333"/>
                <w:sz w:val="21"/>
                <w:szCs w:val="21"/>
              </w:rPr>
            </w:pPr>
          </w:p>
        </w:tc>
      </w:tr>
    </w:tbl>
    <w:p w14:paraId="0C58B6B3" w14:textId="77777777" w:rsidR="00F1673E" w:rsidRDefault="00F1673E" w:rsidP="00F1673E">
      <w:pPr>
        <w:shd w:val="clear" w:color="auto" w:fill="FFFFFF"/>
        <w:rPr>
          <w:rFonts w:ascii="Helvetica" w:hAnsi="Helvetica" w:cs="Helvetica"/>
          <w:vanish/>
          <w:color w:val="333333"/>
          <w:sz w:val="21"/>
          <w:szCs w:val="21"/>
        </w:rPr>
      </w:pPr>
    </w:p>
    <w:tbl>
      <w:tblPr>
        <w:tblW w:w="8348" w:type="dxa"/>
        <w:tblCellMar>
          <w:top w:w="15" w:type="dxa"/>
          <w:left w:w="15" w:type="dxa"/>
          <w:bottom w:w="15" w:type="dxa"/>
          <w:right w:w="15" w:type="dxa"/>
        </w:tblCellMar>
        <w:tblLook w:val="04A0" w:firstRow="1" w:lastRow="0" w:firstColumn="1" w:lastColumn="0" w:noHBand="0" w:noVBand="1"/>
      </w:tblPr>
      <w:tblGrid>
        <w:gridCol w:w="3171"/>
        <w:gridCol w:w="1386"/>
        <w:gridCol w:w="1195"/>
        <w:gridCol w:w="2596"/>
      </w:tblGrid>
      <w:tr w:rsidR="00F1673E" w14:paraId="054918DA" w14:textId="77777777" w:rsidTr="00CE5110">
        <w:trPr>
          <w:trHeight w:val="892"/>
          <w:tblHeader/>
        </w:trPr>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42659A76" w14:textId="77777777" w:rsidR="00F1673E" w:rsidRDefault="00F1673E" w:rsidP="00CE5110">
            <w:pPr>
              <w:rPr>
                <w:rFonts w:ascii="Times New Roman" w:hAnsi="Times New Roman"/>
                <w:b/>
                <w:bCs/>
                <w:szCs w:val="24"/>
              </w:rPr>
            </w:pPr>
            <w:r>
              <w:rPr>
                <w:b/>
                <w:bCs/>
              </w:rPr>
              <w:t>population</w:t>
            </w:r>
          </w:p>
          <w:p w14:paraId="4EE38BDD" w14:textId="77777777" w:rsidR="00F1673E" w:rsidRDefault="00F1673E" w:rsidP="00CE5110">
            <w:pPr>
              <w:rPr>
                <w:color w:val="999999"/>
              </w:rPr>
            </w:pPr>
            <w:r>
              <w:rPr>
                <w:color w:val="999999"/>
              </w:rPr>
              <w:t>&lt;fctr&gt;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0A7985D0" w14:textId="77777777" w:rsidR="00F1673E" w:rsidRDefault="00F1673E" w:rsidP="00CE5110">
            <w:pPr>
              <w:rPr>
                <w:b/>
                <w:bCs/>
              </w:rPr>
            </w:pPr>
            <w:r>
              <w:rPr>
                <w:b/>
                <w:bCs/>
              </w:rPr>
              <w:t>sex</w:t>
            </w:r>
          </w:p>
          <w:p w14:paraId="730F3EF2" w14:textId="77777777" w:rsidR="00F1673E" w:rsidRDefault="00F1673E" w:rsidP="00CE5110">
            <w:pPr>
              <w:rPr>
                <w:color w:val="999999"/>
              </w:rPr>
            </w:pPr>
            <w:r>
              <w:rPr>
                <w:color w:val="999999"/>
              </w:rPr>
              <w:t>&lt;chr&gt;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2AEEC792" w14:textId="77777777" w:rsidR="00F1673E" w:rsidRDefault="00F1673E" w:rsidP="00CE5110">
            <w:pPr>
              <w:jc w:val="right"/>
              <w:rPr>
                <w:b/>
                <w:bCs/>
              </w:rPr>
            </w:pPr>
            <w:r>
              <w:rPr>
                <w:b/>
                <w:bCs/>
              </w:rPr>
              <w:t>perc</w:t>
            </w:r>
          </w:p>
          <w:p w14:paraId="256AF70B" w14:textId="77777777" w:rsidR="00F1673E" w:rsidRDefault="00F1673E" w:rsidP="00CE5110">
            <w:pPr>
              <w:jc w:val="right"/>
              <w:rPr>
                <w:color w:val="999999"/>
              </w:rPr>
            </w:pPr>
            <w:r>
              <w:rPr>
                <w:color w:val="999999"/>
              </w:rPr>
              <w:t>&lt;dbl&gt;</w:t>
            </w:r>
          </w:p>
        </w:tc>
        <w:tc>
          <w:tcPr>
            <w:tcW w:w="0" w:type="auto"/>
            <w:tcBorders>
              <w:top w:val="nil"/>
              <w:left w:val="nil"/>
              <w:bottom w:val="single" w:sz="12" w:space="0" w:color="DDDDDD"/>
              <w:right w:val="nil"/>
            </w:tcBorders>
            <w:shd w:val="clear" w:color="auto" w:fill="auto"/>
            <w:tcMar>
              <w:top w:w="75" w:type="dxa"/>
              <w:left w:w="75" w:type="dxa"/>
              <w:bottom w:w="75" w:type="dxa"/>
              <w:right w:w="75" w:type="dxa"/>
            </w:tcMar>
            <w:vAlign w:val="bottom"/>
            <w:hideMark/>
          </w:tcPr>
          <w:p w14:paraId="13943405" w14:textId="77777777" w:rsidR="00F1673E" w:rsidRDefault="00F1673E" w:rsidP="00CE5110">
            <w:pPr>
              <w:jc w:val="right"/>
              <w:rPr>
                <w:b/>
                <w:bCs/>
              </w:rPr>
            </w:pPr>
            <w:r>
              <w:rPr>
                <w:b/>
                <w:bCs/>
              </w:rPr>
              <w:t>bayes_factor</w:t>
            </w:r>
          </w:p>
          <w:p w14:paraId="379C612F" w14:textId="77777777" w:rsidR="00F1673E" w:rsidRDefault="00F1673E" w:rsidP="00CE5110">
            <w:pPr>
              <w:jc w:val="right"/>
              <w:rPr>
                <w:color w:val="999999"/>
              </w:rPr>
            </w:pPr>
            <w:r>
              <w:rPr>
                <w:color w:val="999999"/>
              </w:rPr>
              <w:t>&lt;dbl&gt;</w:t>
            </w:r>
          </w:p>
        </w:tc>
      </w:tr>
      <w:tr w:rsidR="00F1673E" w14:paraId="35AE931C" w14:textId="77777777" w:rsidTr="00CE5110">
        <w:trPr>
          <w:trHeight w:val="436"/>
        </w:trPr>
        <w:tc>
          <w:tcPr>
            <w:tcW w:w="0" w:type="auto"/>
            <w:tcBorders>
              <w:top w:val="single" w:sz="6" w:space="0" w:color="DDDDDD"/>
            </w:tcBorders>
            <w:shd w:val="clear" w:color="auto" w:fill="auto"/>
            <w:tcMar>
              <w:top w:w="75" w:type="dxa"/>
              <w:left w:w="75" w:type="dxa"/>
              <w:bottom w:w="75" w:type="dxa"/>
              <w:right w:w="75" w:type="dxa"/>
            </w:tcMar>
            <w:hideMark/>
          </w:tcPr>
          <w:p w14:paraId="604B0F54" w14:textId="77777777" w:rsidR="00F1673E" w:rsidRDefault="00F1673E" w:rsidP="00CE5110">
            <w:r>
              <w:t>England</w:t>
            </w:r>
          </w:p>
        </w:tc>
        <w:tc>
          <w:tcPr>
            <w:tcW w:w="0" w:type="auto"/>
            <w:tcBorders>
              <w:top w:val="single" w:sz="6" w:space="0" w:color="DDDDDD"/>
            </w:tcBorders>
            <w:shd w:val="clear" w:color="auto" w:fill="auto"/>
            <w:tcMar>
              <w:top w:w="75" w:type="dxa"/>
              <w:left w:w="75" w:type="dxa"/>
              <w:bottom w:w="75" w:type="dxa"/>
              <w:right w:w="75" w:type="dxa"/>
            </w:tcMar>
            <w:hideMark/>
          </w:tcPr>
          <w:p w14:paraId="3A97E2D5" w14:textId="77777777" w:rsidR="00F1673E" w:rsidRDefault="00F1673E" w:rsidP="00CE5110">
            <w:r>
              <w:t>female</w:t>
            </w:r>
          </w:p>
        </w:tc>
        <w:tc>
          <w:tcPr>
            <w:tcW w:w="0" w:type="auto"/>
            <w:tcBorders>
              <w:top w:val="single" w:sz="6" w:space="0" w:color="DDDDDD"/>
            </w:tcBorders>
            <w:shd w:val="clear" w:color="auto" w:fill="auto"/>
            <w:tcMar>
              <w:top w:w="75" w:type="dxa"/>
              <w:left w:w="75" w:type="dxa"/>
              <w:bottom w:w="75" w:type="dxa"/>
              <w:right w:w="75" w:type="dxa"/>
            </w:tcMar>
            <w:hideMark/>
          </w:tcPr>
          <w:p w14:paraId="6FE5CCA2" w14:textId="77777777" w:rsidR="00F1673E" w:rsidRDefault="00F1673E" w:rsidP="00CE5110">
            <w:pPr>
              <w:jc w:val="right"/>
            </w:pPr>
            <w:r>
              <w:t>61</w:t>
            </w:r>
          </w:p>
        </w:tc>
        <w:tc>
          <w:tcPr>
            <w:tcW w:w="0" w:type="auto"/>
            <w:tcBorders>
              <w:top w:val="single" w:sz="6" w:space="0" w:color="DDDDDD"/>
            </w:tcBorders>
            <w:shd w:val="clear" w:color="auto" w:fill="auto"/>
            <w:tcMar>
              <w:top w:w="75" w:type="dxa"/>
              <w:left w:w="75" w:type="dxa"/>
              <w:bottom w:w="75" w:type="dxa"/>
              <w:right w:w="75" w:type="dxa"/>
            </w:tcMar>
            <w:hideMark/>
          </w:tcPr>
          <w:p w14:paraId="5DE85916" w14:textId="77777777" w:rsidR="00F1673E" w:rsidRDefault="00F1673E" w:rsidP="00CE5110">
            <w:pPr>
              <w:jc w:val="right"/>
            </w:pPr>
            <w:r>
              <w:t>1.002120</w:t>
            </w:r>
          </w:p>
        </w:tc>
      </w:tr>
      <w:tr w:rsidR="00F1673E" w14:paraId="654AC5E2" w14:textId="77777777" w:rsidTr="00CE5110">
        <w:trPr>
          <w:trHeight w:val="456"/>
        </w:trPr>
        <w:tc>
          <w:tcPr>
            <w:tcW w:w="0" w:type="auto"/>
            <w:tcBorders>
              <w:top w:val="single" w:sz="6" w:space="0" w:color="DDDDDD"/>
            </w:tcBorders>
            <w:shd w:val="clear" w:color="auto" w:fill="auto"/>
            <w:tcMar>
              <w:top w:w="75" w:type="dxa"/>
              <w:left w:w="75" w:type="dxa"/>
              <w:bottom w:w="75" w:type="dxa"/>
              <w:right w:w="75" w:type="dxa"/>
            </w:tcMar>
            <w:hideMark/>
          </w:tcPr>
          <w:p w14:paraId="054E6527" w14:textId="77777777" w:rsidR="00F1673E" w:rsidRDefault="00F1673E" w:rsidP="00CE5110">
            <w:r>
              <w:t>England</w:t>
            </w:r>
          </w:p>
        </w:tc>
        <w:tc>
          <w:tcPr>
            <w:tcW w:w="0" w:type="auto"/>
            <w:tcBorders>
              <w:top w:val="single" w:sz="6" w:space="0" w:color="DDDDDD"/>
            </w:tcBorders>
            <w:shd w:val="clear" w:color="auto" w:fill="auto"/>
            <w:tcMar>
              <w:top w:w="75" w:type="dxa"/>
              <w:left w:w="75" w:type="dxa"/>
              <w:bottom w:w="75" w:type="dxa"/>
              <w:right w:w="75" w:type="dxa"/>
            </w:tcMar>
            <w:hideMark/>
          </w:tcPr>
          <w:p w14:paraId="2B8B43B0" w14:textId="77777777" w:rsidR="00F1673E" w:rsidRDefault="00F1673E" w:rsidP="00CE5110">
            <w:r>
              <w:t>male</w:t>
            </w:r>
          </w:p>
        </w:tc>
        <w:tc>
          <w:tcPr>
            <w:tcW w:w="0" w:type="auto"/>
            <w:tcBorders>
              <w:top w:val="single" w:sz="6" w:space="0" w:color="DDDDDD"/>
            </w:tcBorders>
            <w:shd w:val="clear" w:color="auto" w:fill="auto"/>
            <w:tcMar>
              <w:top w:w="75" w:type="dxa"/>
              <w:left w:w="75" w:type="dxa"/>
              <w:bottom w:w="75" w:type="dxa"/>
              <w:right w:w="75" w:type="dxa"/>
            </w:tcMar>
            <w:hideMark/>
          </w:tcPr>
          <w:p w14:paraId="18B08B76" w14:textId="77777777" w:rsidR="00F1673E" w:rsidRDefault="00F1673E" w:rsidP="00CE5110">
            <w:pPr>
              <w:jc w:val="right"/>
            </w:pPr>
            <w:r>
              <w:t>61</w:t>
            </w:r>
          </w:p>
        </w:tc>
        <w:tc>
          <w:tcPr>
            <w:tcW w:w="0" w:type="auto"/>
            <w:tcBorders>
              <w:top w:val="single" w:sz="6" w:space="0" w:color="DDDDDD"/>
            </w:tcBorders>
            <w:shd w:val="clear" w:color="auto" w:fill="auto"/>
            <w:tcMar>
              <w:top w:w="75" w:type="dxa"/>
              <w:left w:w="75" w:type="dxa"/>
              <w:bottom w:w="75" w:type="dxa"/>
              <w:right w:w="75" w:type="dxa"/>
            </w:tcMar>
            <w:hideMark/>
          </w:tcPr>
          <w:p w14:paraId="47E2DD26" w14:textId="77777777" w:rsidR="00F1673E" w:rsidRDefault="00F1673E" w:rsidP="00CE5110">
            <w:pPr>
              <w:jc w:val="right"/>
            </w:pPr>
            <w:r>
              <w:t>1.002958</w:t>
            </w:r>
          </w:p>
        </w:tc>
      </w:tr>
      <w:tr w:rsidR="00F1673E" w14:paraId="4FF9BD4D" w14:textId="77777777" w:rsidTr="00CE5110">
        <w:trPr>
          <w:trHeight w:val="436"/>
        </w:trPr>
        <w:tc>
          <w:tcPr>
            <w:tcW w:w="0" w:type="auto"/>
            <w:tcBorders>
              <w:top w:val="single" w:sz="6" w:space="0" w:color="DDDDDD"/>
            </w:tcBorders>
            <w:shd w:val="clear" w:color="auto" w:fill="auto"/>
            <w:tcMar>
              <w:top w:w="75" w:type="dxa"/>
              <w:left w:w="75" w:type="dxa"/>
              <w:bottom w:w="75" w:type="dxa"/>
              <w:right w:w="75" w:type="dxa"/>
            </w:tcMar>
            <w:hideMark/>
          </w:tcPr>
          <w:p w14:paraId="00964918" w14:textId="77777777" w:rsidR="00F1673E" w:rsidRDefault="00F1673E" w:rsidP="00CE5110">
            <w:r>
              <w:t>England &amp; Wales</w:t>
            </w:r>
          </w:p>
        </w:tc>
        <w:tc>
          <w:tcPr>
            <w:tcW w:w="0" w:type="auto"/>
            <w:tcBorders>
              <w:top w:val="single" w:sz="6" w:space="0" w:color="DDDDDD"/>
            </w:tcBorders>
            <w:shd w:val="clear" w:color="auto" w:fill="auto"/>
            <w:tcMar>
              <w:top w:w="75" w:type="dxa"/>
              <w:left w:w="75" w:type="dxa"/>
              <w:bottom w:w="75" w:type="dxa"/>
              <w:right w:w="75" w:type="dxa"/>
            </w:tcMar>
            <w:hideMark/>
          </w:tcPr>
          <w:p w14:paraId="207ED6F7" w14:textId="77777777" w:rsidR="00F1673E" w:rsidRDefault="00F1673E" w:rsidP="00CE5110">
            <w:r>
              <w:t>female</w:t>
            </w:r>
          </w:p>
        </w:tc>
        <w:tc>
          <w:tcPr>
            <w:tcW w:w="0" w:type="auto"/>
            <w:tcBorders>
              <w:top w:val="single" w:sz="6" w:space="0" w:color="DDDDDD"/>
            </w:tcBorders>
            <w:shd w:val="clear" w:color="auto" w:fill="auto"/>
            <w:tcMar>
              <w:top w:w="75" w:type="dxa"/>
              <w:left w:w="75" w:type="dxa"/>
              <w:bottom w:w="75" w:type="dxa"/>
              <w:right w:w="75" w:type="dxa"/>
            </w:tcMar>
            <w:hideMark/>
          </w:tcPr>
          <w:p w14:paraId="3D0992E1" w14:textId="77777777" w:rsidR="00F1673E" w:rsidRDefault="00F1673E" w:rsidP="00CE5110">
            <w:pPr>
              <w:jc w:val="right"/>
            </w:pPr>
            <w:r>
              <w:t>62</w:t>
            </w:r>
          </w:p>
        </w:tc>
        <w:tc>
          <w:tcPr>
            <w:tcW w:w="0" w:type="auto"/>
            <w:tcBorders>
              <w:top w:val="single" w:sz="6" w:space="0" w:color="DDDDDD"/>
            </w:tcBorders>
            <w:shd w:val="clear" w:color="auto" w:fill="auto"/>
            <w:tcMar>
              <w:top w:w="75" w:type="dxa"/>
              <w:left w:w="75" w:type="dxa"/>
              <w:bottom w:w="75" w:type="dxa"/>
              <w:right w:w="75" w:type="dxa"/>
            </w:tcMar>
            <w:hideMark/>
          </w:tcPr>
          <w:p w14:paraId="33549C37" w14:textId="77777777" w:rsidR="00F1673E" w:rsidRDefault="00F1673E" w:rsidP="00CE5110">
            <w:pPr>
              <w:jc w:val="right"/>
            </w:pPr>
            <w:r>
              <w:t>1.002173</w:t>
            </w:r>
          </w:p>
        </w:tc>
      </w:tr>
      <w:tr w:rsidR="00F1673E" w14:paraId="235FB98F" w14:textId="77777777" w:rsidTr="00CE5110">
        <w:trPr>
          <w:trHeight w:val="436"/>
        </w:trPr>
        <w:tc>
          <w:tcPr>
            <w:tcW w:w="0" w:type="auto"/>
            <w:tcBorders>
              <w:top w:val="single" w:sz="6" w:space="0" w:color="DDDDDD"/>
            </w:tcBorders>
            <w:shd w:val="clear" w:color="auto" w:fill="auto"/>
            <w:tcMar>
              <w:top w:w="75" w:type="dxa"/>
              <w:left w:w="75" w:type="dxa"/>
              <w:bottom w:w="75" w:type="dxa"/>
              <w:right w:w="75" w:type="dxa"/>
            </w:tcMar>
            <w:hideMark/>
          </w:tcPr>
          <w:p w14:paraId="3AE00C36" w14:textId="77777777" w:rsidR="00F1673E" w:rsidRDefault="00F1673E" w:rsidP="00CE5110">
            <w:r>
              <w:t>England &amp; Wales</w:t>
            </w:r>
          </w:p>
        </w:tc>
        <w:tc>
          <w:tcPr>
            <w:tcW w:w="0" w:type="auto"/>
            <w:tcBorders>
              <w:top w:val="single" w:sz="6" w:space="0" w:color="DDDDDD"/>
            </w:tcBorders>
            <w:shd w:val="clear" w:color="auto" w:fill="auto"/>
            <w:tcMar>
              <w:top w:w="75" w:type="dxa"/>
              <w:left w:w="75" w:type="dxa"/>
              <w:bottom w:w="75" w:type="dxa"/>
              <w:right w:w="75" w:type="dxa"/>
            </w:tcMar>
            <w:hideMark/>
          </w:tcPr>
          <w:p w14:paraId="40415A45" w14:textId="77777777" w:rsidR="00F1673E" w:rsidRDefault="00F1673E" w:rsidP="00CE5110">
            <w:r>
              <w:t>male</w:t>
            </w:r>
          </w:p>
        </w:tc>
        <w:tc>
          <w:tcPr>
            <w:tcW w:w="0" w:type="auto"/>
            <w:tcBorders>
              <w:top w:val="single" w:sz="6" w:space="0" w:color="DDDDDD"/>
            </w:tcBorders>
            <w:shd w:val="clear" w:color="auto" w:fill="auto"/>
            <w:tcMar>
              <w:top w:w="75" w:type="dxa"/>
              <w:left w:w="75" w:type="dxa"/>
              <w:bottom w:w="75" w:type="dxa"/>
              <w:right w:w="75" w:type="dxa"/>
            </w:tcMar>
            <w:hideMark/>
          </w:tcPr>
          <w:p w14:paraId="2630DD10" w14:textId="77777777" w:rsidR="00F1673E" w:rsidRDefault="00F1673E" w:rsidP="00CE5110">
            <w:pPr>
              <w:jc w:val="right"/>
            </w:pPr>
            <w:r>
              <w:t>62</w:t>
            </w:r>
          </w:p>
        </w:tc>
        <w:tc>
          <w:tcPr>
            <w:tcW w:w="0" w:type="auto"/>
            <w:tcBorders>
              <w:top w:val="single" w:sz="6" w:space="0" w:color="DDDDDD"/>
            </w:tcBorders>
            <w:shd w:val="clear" w:color="auto" w:fill="auto"/>
            <w:tcMar>
              <w:top w:w="75" w:type="dxa"/>
              <w:left w:w="75" w:type="dxa"/>
              <w:bottom w:w="75" w:type="dxa"/>
              <w:right w:w="75" w:type="dxa"/>
            </w:tcMar>
            <w:hideMark/>
          </w:tcPr>
          <w:p w14:paraId="3B9D7A0B" w14:textId="77777777" w:rsidR="00F1673E" w:rsidRDefault="00F1673E" w:rsidP="00CE5110">
            <w:pPr>
              <w:jc w:val="right"/>
            </w:pPr>
            <w:r>
              <w:t>1.003081</w:t>
            </w:r>
          </w:p>
        </w:tc>
      </w:tr>
      <w:tr w:rsidR="00F1673E" w14:paraId="4F31B26F" w14:textId="77777777" w:rsidTr="00CE5110">
        <w:trPr>
          <w:trHeight w:val="436"/>
        </w:trPr>
        <w:tc>
          <w:tcPr>
            <w:tcW w:w="0" w:type="auto"/>
            <w:tcBorders>
              <w:top w:val="single" w:sz="6" w:space="0" w:color="DDDDDD"/>
            </w:tcBorders>
            <w:shd w:val="clear" w:color="auto" w:fill="auto"/>
            <w:tcMar>
              <w:top w:w="75" w:type="dxa"/>
              <w:left w:w="75" w:type="dxa"/>
              <w:bottom w:w="75" w:type="dxa"/>
              <w:right w:w="75" w:type="dxa"/>
            </w:tcMar>
            <w:hideMark/>
          </w:tcPr>
          <w:p w14:paraId="2A5E7A51" w14:textId="77777777" w:rsidR="00F1673E" w:rsidRDefault="00F1673E" w:rsidP="00CE5110">
            <w:r>
              <w:t>Great Britain</w:t>
            </w:r>
          </w:p>
        </w:tc>
        <w:tc>
          <w:tcPr>
            <w:tcW w:w="0" w:type="auto"/>
            <w:tcBorders>
              <w:top w:val="single" w:sz="6" w:space="0" w:color="DDDDDD"/>
            </w:tcBorders>
            <w:shd w:val="clear" w:color="auto" w:fill="auto"/>
            <w:tcMar>
              <w:top w:w="75" w:type="dxa"/>
              <w:left w:w="75" w:type="dxa"/>
              <w:bottom w:w="75" w:type="dxa"/>
              <w:right w:w="75" w:type="dxa"/>
            </w:tcMar>
            <w:hideMark/>
          </w:tcPr>
          <w:p w14:paraId="05874754" w14:textId="77777777" w:rsidR="00F1673E" w:rsidRDefault="00F1673E" w:rsidP="00CE5110">
            <w:r>
              <w:t>female</w:t>
            </w:r>
          </w:p>
        </w:tc>
        <w:tc>
          <w:tcPr>
            <w:tcW w:w="0" w:type="auto"/>
            <w:tcBorders>
              <w:top w:val="single" w:sz="6" w:space="0" w:color="DDDDDD"/>
            </w:tcBorders>
            <w:shd w:val="clear" w:color="auto" w:fill="auto"/>
            <w:tcMar>
              <w:top w:w="75" w:type="dxa"/>
              <w:left w:w="75" w:type="dxa"/>
              <w:bottom w:w="75" w:type="dxa"/>
              <w:right w:w="75" w:type="dxa"/>
            </w:tcMar>
            <w:hideMark/>
          </w:tcPr>
          <w:p w14:paraId="31C80316" w14:textId="77777777" w:rsidR="00F1673E" w:rsidRDefault="00F1673E" w:rsidP="00CE5110">
            <w:pPr>
              <w:jc w:val="right"/>
            </w:pPr>
            <w:r>
              <w:t>62</w:t>
            </w:r>
          </w:p>
        </w:tc>
        <w:tc>
          <w:tcPr>
            <w:tcW w:w="0" w:type="auto"/>
            <w:tcBorders>
              <w:top w:val="single" w:sz="6" w:space="0" w:color="DDDDDD"/>
            </w:tcBorders>
            <w:shd w:val="clear" w:color="auto" w:fill="auto"/>
            <w:tcMar>
              <w:top w:w="75" w:type="dxa"/>
              <w:left w:w="75" w:type="dxa"/>
              <w:bottom w:w="75" w:type="dxa"/>
              <w:right w:w="75" w:type="dxa"/>
            </w:tcMar>
            <w:hideMark/>
          </w:tcPr>
          <w:p w14:paraId="612B24DA" w14:textId="77777777" w:rsidR="00F1673E" w:rsidRDefault="00F1673E" w:rsidP="00CE5110">
            <w:pPr>
              <w:jc w:val="right"/>
            </w:pPr>
            <w:r>
              <w:t>1.002221</w:t>
            </w:r>
          </w:p>
        </w:tc>
      </w:tr>
      <w:tr w:rsidR="00F1673E" w14:paraId="4731D79F" w14:textId="77777777" w:rsidTr="00CE5110">
        <w:trPr>
          <w:trHeight w:val="456"/>
        </w:trPr>
        <w:tc>
          <w:tcPr>
            <w:tcW w:w="0" w:type="auto"/>
            <w:tcBorders>
              <w:top w:val="single" w:sz="6" w:space="0" w:color="DDDDDD"/>
            </w:tcBorders>
            <w:shd w:val="clear" w:color="auto" w:fill="auto"/>
            <w:tcMar>
              <w:top w:w="75" w:type="dxa"/>
              <w:left w:w="75" w:type="dxa"/>
              <w:bottom w:w="75" w:type="dxa"/>
              <w:right w:w="75" w:type="dxa"/>
            </w:tcMar>
            <w:hideMark/>
          </w:tcPr>
          <w:p w14:paraId="4097341A" w14:textId="77777777" w:rsidR="00F1673E" w:rsidRDefault="00F1673E" w:rsidP="00CE5110">
            <w:r>
              <w:t>Great Britain</w:t>
            </w:r>
          </w:p>
        </w:tc>
        <w:tc>
          <w:tcPr>
            <w:tcW w:w="0" w:type="auto"/>
            <w:tcBorders>
              <w:top w:val="single" w:sz="6" w:space="0" w:color="DDDDDD"/>
            </w:tcBorders>
            <w:shd w:val="clear" w:color="auto" w:fill="auto"/>
            <w:tcMar>
              <w:top w:w="75" w:type="dxa"/>
              <w:left w:w="75" w:type="dxa"/>
              <w:bottom w:w="75" w:type="dxa"/>
              <w:right w:w="75" w:type="dxa"/>
            </w:tcMar>
            <w:hideMark/>
          </w:tcPr>
          <w:p w14:paraId="03B692E1" w14:textId="77777777" w:rsidR="00F1673E" w:rsidRDefault="00F1673E" w:rsidP="00CE5110">
            <w:r>
              <w:t>male</w:t>
            </w:r>
          </w:p>
        </w:tc>
        <w:tc>
          <w:tcPr>
            <w:tcW w:w="0" w:type="auto"/>
            <w:tcBorders>
              <w:top w:val="single" w:sz="6" w:space="0" w:color="DDDDDD"/>
            </w:tcBorders>
            <w:shd w:val="clear" w:color="auto" w:fill="auto"/>
            <w:tcMar>
              <w:top w:w="75" w:type="dxa"/>
              <w:left w:w="75" w:type="dxa"/>
              <w:bottom w:w="75" w:type="dxa"/>
              <w:right w:w="75" w:type="dxa"/>
            </w:tcMar>
            <w:hideMark/>
          </w:tcPr>
          <w:p w14:paraId="0E2D7584" w14:textId="77777777" w:rsidR="00F1673E" w:rsidRDefault="00F1673E" w:rsidP="00CE5110">
            <w:pPr>
              <w:jc w:val="right"/>
            </w:pPr>
            <w:r>
              <w:t>62</w:t>
            </w:r>
          </w:p>
        </w:tc>
        <w:tc>
          <w:tcPr>
            <w:tcW w:w="0" w:type="auto"/>
            <w:tcBorders>
              <w:top w:val="single" w:sz="6" w:space="0" w:color="DDDDDD"/>
            </w:tcBorders>
            <w:shd w:val="clear" w:color="auto" w:fill="auto"/>
            <w:tcMar>
              <w:top w:w="75" w:type="dxa"/>
              <w:left w:w="75" w:type="dxa"/>
              <w:bottom w:w="75" w:type="dxa"/>
              <w:right w:w="75" w:type="dxa"/>
            </w:tcMar>
            <w:hideMark/>
          </w:tcPr>
          <w:p w14:paraId="01021024" w14:textId="77777777" w:rsidR="00F1673E" w:rsidRDefault="00F1673E" w:rsidP="00CE5110">
            <w:pPr>
              <w:jc w:val="right"/>
            </w:pPr>
            <w:r>
              <w:t>1.003173</w:t>
            </w:r>
          </w:p>
        </w:tc>
      </w:tr>
      <w:tr w:rsidR="00F1673E" w14:paraId="1A317DA4" w14:textId="77777777" w:rsidTr="00CE5110">
        <w:trPr>
          <w:trHeight w:val="436"/>
        </w:trPr>
        <w:tc>
          <w:tcPr>
            <w:tcW w:w="0" w:type="auto"/>
            <w:tcBorders>
              <w:top w:val="single" w:sz="6" w:space="0" w:color="DDDDDD"/>
            </w:tcBorders>
            <w:shd w:val="clear" w:color="auto" w:fill="auto"/>
            <w:tcMar>
              <w:top w:w="75" w:type="dxa"/>
              <w:left w:w="75" w:type="dxa"/>
              <w:bottom w:w="75" w:type="dxa"/>
              <w:right w:w="75" w:type="dxa"/>
            </w:tcMar>
            <w:hideMark/>
          </w:tcPr>
          <w:p w14:paraId="5E29BE7C" w14:textId="77777777" w:rsidR="00F1673E" w:rsidRDefault="00F1673E" w:rsidP="00CE5110">
            <w:r>
              <w:t>Northern Ireland</w:t>
            </w:r>
          </w:p>
        </w:tc>
        <w:tc>
          <w:tcPr>
            <w:tcW w:w="0" w:type="auto"/>
            <w:tcBorders>
              <w:top w:val="single" w:sz="6" w:space="0" w:color="DDDDDD"/>
            </w:tcBorders>
            <w:shd w:val="clear" w:color="auto" w:fill="auto"/>
            <w:tcMar>
              <w:top w:w="75" w:type="dxa"/>
              <w:left w:w="75" w:type="dxa"/>
              <w:bottom w:w="75" w:type="dxa"/>
              <w:right w:w="75" w:type="dxa"/>
            </w:tcMar>
            <w:hideMark/>
          </w:tcPr>
          <w:p w14:paraId="027D8A8B" w14:textId="77777777" w:rsidR="00F1673E" w:rsidRDefault="00F1673E" w:rsidP="00CE5110">
            <w:r>
              <w:t>female</w:t>
            </w:r>
          </w:p>
        </w:tc>
        <w:tc>
          <w:tcPr>
            <w:tcW w:w="0" w:type="auto"/>
            <w:tcBorders>
              <w:top w:val="single" w:sz="6" w:space="0" w:color="DDDDDD"/>
            </w:tcBorders>
            <w:shd w:val="clear" w:color="auto" w:fill="auto"/>
            <w:tcMar>
              <w:top w:w="75" w:type="dxa"/>
              <w:left w:w="75" w:type="dxa"/>
              <w:bottom w:w="75" w:type="dxa"/>
              <w:right w:w="75" w:type="dxa"/>
            </w:tcMar>
            <w:hideMark/>
          </w:tcPr>
          <w:p w14:paraId="2538B4C3" w14:textId="77777777" w:rsidR="00F1673E" w:rsidRDefault="00F1673E" w:rsidP="00CE5110">
            <w:pPr>
              <w:jc w:val="right"/>
            </w:pPr>
            <w:r>
              <w:t>52</w:t>
            </w:r>
          </w:p>
        </w:tc>
        <w:tc>
          <w:tcPr>
            <w:tcW w:w="0" w:type="auto"/>
            <w:tcBorders>
              <w:top w:val="single" w:sz="6" w:space="0" w:color="DDDDDD"/>
            </w:tcBorders>
            <w:shd w:val="clear" w:color="auto" w:fill="auto"/>
            <w:tcMar>
              <w:top w:w="75" w:type="dxa"/>
              <w:left w:w="75" w:type="dxa"/>
              <w:bottom w:w="75" w:type="dxa"/>
              <w:right w:w="75" w:type="dxa"/>
            </w:tcMar>
            <w:hideMark/>
          </w:tcPr>
          <w:p w14:paraId="0B7B7483" w14:textId="77777777" w:rsidR="00F1673E" w:rsidRDefault="00F1673E" w:rsidP="00CE5110">
            <w:pPr>
              <w:jc w:val="right"/>
            </w:pPr>
            <w:r>
              <w:t>1.004581</w:t>
            </w:r>
          </w:p>
        </w:tc>
      </w:tr>
      <w:tr w:rsidR="00F1673E" w14:paraId="298A4AD2" w14:textId="77777777" w:rsidTr="00CE5110">
        <w:trPr>
          <w:trHeight w:val="436"/>
        </w:trPr>
        <w:tc>
          <w:tcPr>
            <w:tcW w:w="0" w:type="auto"/>
            <w:tcBorders>
              <w:top w:val="single" w:sz="6" w:space="0" w:color="DDDDDD"/>
            </w:tcBorders>
            <w:shd w:val="clear" w:color="auto" w:fill="auto"/>
            <w:tcMar>
              <w:top w:w="75" w:type="dxa"/>
              <w:left w:w="75" w:type="dxa"/>
              <w:bottom w:w="75" w:type="dxa"/>
              <w:right w:w="75" w:type="dxa"/>
            </w:tcMar>
            <w:hideMark/>
          </w:tcPr>
          <w:p w14:paraId="77ADAAF5" w14:textId="77777777" w:rsidR="00F1673E" w:rsidRDefault="00F1673E" w:rsidP="00CE5110">
            <w:r>
              <w:t>Northern Ireland</w:t>
            </w:r>
          </w:p>
        </w:tc>
        <w:tc>
          <w:tcPr>
            <w:tcW w:w="0" w:type="auto"/>
            <w:tcBorders>
              <w:top w:val="single" w:sz="6" w:space="0" w:color="DDDDDD"/>
            </w:tcBorders>
            <w:shd w:val="clear" w:color="auto" w:fill="auto"/>
            <w:tcMar>
              <w:top w:w="75" w:type="dxa"/>
              <w:left w:w="75" w:type="dxa"/>
              <w:bottom w:w="75" w:type="dxa"/>
              <w:right w:w="75" w:type="dxa"/>
            </w:tcMar>
            <w:hideMark/>
          </w:tcPr>
          <w:p w14:paraId="5C84638D" w14:textId="77777777" w:rsidR="00F1673E" w:rsidRDefault="00F1673E" w:rsidP="00CE5110">
            <w:r>
              <w:t>male</w:t>
            </w:r>
          </w:p>
        </w:tc>
        <w:tc>
          <w:tcPr>
            <w:tcW w:w="0" w:type="auto"/>
            <w:tcBorders>
              <w:top w:val="single" w:sz="6" w:space="0" w:color="DDDDDD"/>
            </w:tcBorders>
            <w:shd w:val="clear" w:color="auto" w:fill="auto"/>
            <w:tcMar>
              <w:top w:w="75" w:type="dxa"/>
              <w:left w:w="75" w:type="dxa"/>
              <w:bottom w:w="75" w:type="dxa"/>
              <w:right w:w="75" w:type="dxa"/>
            </w:tcMar>
            <w:hideMark/>
          </w:tcPr>
          <w:p w14:paraId="5DEBFD73" w14:textId="77777777" w:rsidR="00F1673E" w:rsidRDefault="00F1673E" w:rsidP="00CE5110">
            <w:pPr>
              <w:jc w:val="right"/>
            </w:pPr>
            <w:r>
              <w:t>15</w:t>
            </w:r>
          </w:p>
        </w:tc>
        <w:tc>
          <w:tcPr>
            <w:tcW w:w="0" w:type="auto"/>
            <w:tcBorders>
              <w:top w:val="single" w:sz="6" w:space="0" w:color="DDDDDD"/>
            </w:tcBorders>
            <w:shd w:val="clear" w:color="auto" w:fill="auto"/>
            <w:tcMar>
              <w:top w:w="75" w:type="dxa"/>
              <w:left w:w="75" w:type="dxa"/>
              <w:bottom w:w="75" w:type="dxa"/>
              <w:right w:w="75" w:type="dxa"/>
            </w:tcMar>
            <w:hideMark/>
          </w:tcPr>
          <w:p w14:paraId="41670DD4" w14:textId="77777777" w:rsidR="00F1673E" w:rsidRDefault="00F1673E" w:rsidP="00CE5110">
            <w:pPr>
              <w:jc w:val="right"/>
            </w:pPr>
            <w:r>
              <w:t>1.000435</w:t>
            </w:r>
          </w:p>
        </w:tc>
      </w:tr>
      <w:tr w:rsidR="00F1673E" w14:paraId="075264C6" w14:textId="77777777" w:rsidTr="00CE5110">
        <w:trPr>
          <w:trHeight w:val="436"/>
        </w:trPr>
        <w:tc>
          <w:tcPr>
            <w:tcW w:w="0" w:type="auto"/>
            <w:tcBorders>
              <w:top w:val="single" w:sz="6" w:space="0" w:color="DDDDDD"/>
            </w:tcBorders>
            <w:shd w:val="clear" w:color="auto" w:fill="auto"/>
            <w:tcMar>
              <w:top w:w="75" w:type="dxa"/>
              <w:left w:w="75" w:type="dxa"/>
              <w:bottom w:w="75" w:type="dxa"/>
              <w:right w:w="75" w:type="dxa"/>
            </w:tcMar>
            <w:hideMark/>
          </w:tcPr>
          <w:p w14:paraId="396514BC" w14:textId="77777777" w:rsidR="00F1673E" w:rsidRDefault="00F1673E" w:rsidP="00CE5110">
            <w:r>
              <w:t>Scotland</w:t>
            </w:r>
          </w:p>
        </w:tc>
        <w:tc>
          <w:tcPr>
            <w:tcW w:w="0" w:type="auto"/>
            <w:tcBorders>
              <w:top w:val="single" w:sz="6" w:space="0" w:color="DDDDDD"/>
            </w:tcBorders>
            <w:shd w:val="clear" w:color="auto" w:fill="auto"/>
            <w:tcMar>
              <w:top w:w="75" w:type="dxa"/>
              <w:left w:w="75" w:type="dxa"/>
              <w:bottom w:w="75" w:type="dxa"/>
              <w:right w:w="75" w:type="dxa"/>
            </w:tcMar>
            <w:hideMark/>
          </w:tcPr>
          <w:p w14:paraId="75D93DD8" w14:textId="77777777" w:rsidR="00F1673E" w:rsidRDefault="00F1673E" w:rsidP="00CE5110">
            <w:r>
              <w:t>female</w:t>
            </w:r>
          </w:p>
        </w:tc>
        <w:tc>
          <w:tcPr>
            <w:tcW w:w="0" w:type="auto"/>
            <w:tcBorders>
              <w:top w:val="single" w:sz="6" w:space="0" w:color="DDDDDD"/>
            </w:tcBorders>
            <w:shd w:val="clear" w:color="auto" w:fill="auto"/>
            <w:tcMar>
              <w:top w:w="75" w:type="dxa"/>
              <w:left w:w="75" w:type="dxa"/>
              <w:bottom w:w="75" w:type="dxa"/>
              <w:right w:w="75" w:type="dxa"/>
            </w:tcMar>
            <w:hideMark/>
          </w:tcPr>
          <w:p w14:paraId="2A268799" w14:textId="77777777" w:rsidR="00F1673E" w:rsidRDefault="00F1673E" w:rsidP="00CE5110">
            <w:pPr>
              <w:jc w:val="right"/>
            </w:pPr>
            <w:r>
              <w:t>73</w:t>
            </w:r>
          </w:p>
        </w:tc>
        <w:tc>
          <w:tcPr>
            <w:tcW w:w="0" w:type="auto"/>
            <w:tcBorders>
              <w:top w:val="single" w:sz="6" w:space="0" w:color="DDDDDD"/>
            </w:tcBorders>
            <w:shd w:val="clear" w:color="auto" w:fill="auto"/>
            <w:tcMar>
              <w:top w:w="75" w:type="dxa"/>
              <w:left w:w="75" w:type="dxa"/>
              <w:bottom w:w="75" w:type="dxa"/>
              <w:right w:w="75" w:type="dxa"/>
            </w:tcMar>
            <w:hideMark/>
          </w:tcPr>
          <w:p w14:paraId="232CC370" w14:textId="77777777" w:rsidR="00F1673E" w:rsidRDefault="00F1673E" w:rsidP="00CE5110">
            <w:pPr>
              <w:jc w:val="right"/>
            </w:pPr>
            <w:r>
              <w:t>1.003834</w:t>
            </w:r>
          </w:p>
        </w:tc>
      </w:tr>
      <w:tr w:rsidR="00F1673E" w14:paraId="401415C6" w14:textId="77777777" w:rsidTr="00CE5110">
        <w:trPr>
          <w:trHeight w:val="436"/>
        </w:trPr>
        <w:tc>
          <w:tcPr>
            <w:tcW w:w="0" w:type="auto"/>
            <w:tcBorders>
              <w:top w:val="single" w:sz="6" w:space="0" w:color="DDDDDD"/>
            </w:tcBorders>
            <w:shd w:val="clear" w:color="auto" w:fill="auto"/>
            <w:tcMar>
              <w:top w:w="75" w:type="dxa"/>
              <w:left w:w="75" w:type="dxa"/>
              <w:bottom w:w="75" w:type="dxa"/>
              <w:right w:w="75" w:type="dxa"/>
            </w:tcMar>
            <w:hideMark/>
          </w:tcPr>
          <w:p w14:paraId="7EF0C589" w14:textId="77777777" w:rsidR="00F1673E" w:rsidRDefault="00F1673E" w:rsidP="00CE5110">
            <w:r>
              <w:lastRenderedPageBreak/>
              <w:t>Scotland</w:t>
            </w:r>
          </w:p>
        </w:tc>
        <w:tc>
          <w:tcPr>
            <w:tcW w:w="0" w:type="auto"/>
            <w:tcBorders>
              <w:top w:val="single" w:sz="6" w:space="0" w:color="DDDDDD"/>
            </w:tcBorders>
            <w:shd w:val="clear" w:color="auto" w:fill="auto"/>
            <w:tcMar>
              <w:top w:w="75" w:type="dxa"/>
              <w:left w:w="75" w:type="dxa"/>
              <w:bottom w:w="75" w:type="dxa"/>
              <w:right w:w="75" w:type="dxa"/>
            </w:tcMar>
            <w:hideMark/>
          </w:tcPr>
          <w:p w14:paraId="75D70F27" w14:textId="77777777" w:rsidR="00F1673E" w:rsidRDefault="00F1673E" w:rsidP="00CE5110">
            <w:r>
              <w:t>male</w:t>
            </w:r>
          </w:p>
        </w:tc>
        <w:tc>
          <w:tcPr>
            <w:tcW w:w="0" w:type="auto"/>
            <w:tcBorders>
              <w:top w:val="single" w:sz="6" w:space="0" w:color="DDDDDD"/>
            </w:tcBorders>
            <w:shd w:val="clear" w:color="auto" w:fill="auto"/>
            <w:tcMar>
              <w:top w:w="75" w:type="dxa"/>
              <w:left w:w="75" w:type="dxa"/>
              <w:bottom w:w="75" w:type="dxa"/>
              <w:right w:w="75" w:type="dxa"/>
            </w:tcMar>
            <w:hideMark/>
          </w:tcPr>
          <w:p w14:paraId="566D4B12" w14:textId="77777777" w:rsidR="00F1673E" w:rsidRDefault="00F1673E" w:rsidP="00CE5110">
            <w:pPr>
              <w:jc w:val="right"/>
            </w:pPr>
            <w:r>
              <w:t>59</w:t>
            </w:r>
          </w:p>
        </w:tc>
        <w:tc>
          <w:tcPr>
            <w:tcW w:w="0" w:type="auto"/>
            <w:tcBorders>
              <w:top w:val="single" w:sz="6" w:space="0" w:color="DDDDDD"/>
            </w:tcBorders>
            <w:shd w:val="clear" w:color="auto" w:fill="auto"/>
            <w:tcMar>
              <w:top w:w="75" w:type="dxa"/>
              <w:left w:w="75" w:type="dxa"/>
              <w:bottom w:w="75" w:type="dxa"/>
              <w:right w:w="75" w:type="dxa"/>
            </w:tcMar>
            <w:hideMark/>
          </w:tcPr>
          <w:p w14:paraId="39E5CDC7" w14:textId="77777777" w:rsidR="00F1673E" w:rsidRDefault="00F1673E" w:rsidP="00CE5110">
            <w:pPr>
              <w:jc w:val="right"/>
            </w:pPr>
            <w:r>
              <w:t>1.005845</w:t>
            </w:r>
          </w:p>
        </w:tc>
      </w:tr>
    </w:tbl>
    <w:p w14:paraId="5D941589" w14:textId="77777777" w:rsidR="00F1673E" w:rsidRDefault="00F1673E" w:rsidP="00F1673E">
      <w:pPr>
        <w:pStyle w:val="NormalWeb"/>
        <w:shd w:val="clear" w:color="auto" w:fill="FFFFFF"/>
        <w:spacing w:before="0" w:beforeAutospacing="0" w:after="150" w:afterAutospacing="0"/>
        <w:rPr>
          <w:rFonts w:ascii="Helvetica" w:hAnsi="Helvetica" w:cs="Helvetica"/>
          <w:color w:val="333333"/>
          <w:sz w:val="21"/>
          <w:szCs w:val="21"/>
        </w:rPr>
      </w:pPr>
    </w:p>
    <w:p w14:paraId="150B02FC" w14:textId="77777777" w:rsidR="00F1673E" w:rsidRDefault="00F1673E" w:rsidP="00F1673E">
      <w:pPr>
        <w:pStyle w:val="NormalWeb"/>
        <w:shd w:val="clear" w:color="auto" w:fill="FFFFFF"/>
        <w:spacing w:before="0" w:beforeAutospacing="0" w:after="150" w:afterAutospacing="0"/>
        <w:rPr>
          <w:rFonts w:ascii="Helvetica" w:hAnsi="Helvetica" w:cs="Helvetica"/>
          <w:color w:val="333333"/>
          <w:sz w:val="21"/>
          <w:szCs w:val="21"/>
        </w:rPr>
      </w:pPr>
    </w:p>
    <w:p w14:paraId="627E4BB2" w14:textId="77777777" w:rsidR="00F1673E" w:rsidRDefault="00F1673E" w:rsidP="00F1673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the UK as a whole, it is most likely that life expectancy improvement rates have slowed down by 62% for females, and 59% for males. This is made up of a 60% (females) and 59% (males) slowdown in England, a 72% (females) and 56% (males) slowdown in Scotland, a 59% (females) and 29% (males) slowdown in Northern Ireland, and an estimated 77% (females) and 83% (males) slowdown in Wales. With the exception of males in Northern Ireland, rates of slowdown are therefore similar across UK nations, and generally slightly more severe for females than males.</w:t>
      </w:r>
    </w:p>
    <w:p w14:paraId="222AD6D0" w14:textId="77777777" w:rsidR="00F1673E" w:rsidRDefault="00F1673E" w:rsidP="00F1673E">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Some important points:</w:t>
      </w:r>
    </w:p>
    <w:p w14:paraId="607FB9A9" w14:textId="77777777" w:rsidR="00F1673E" w:rsidRDefault="00F1673E" w:rsidP="00F1673E">
      <w:pPr>
        <w:numPr>
          <w:ilvl w:val="0"/>
          <w:numId w:val="1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This approach means that the process of updating beliefs about the extent and evidence for a slowdown in life expectancy gains can be made formally rather than informally.</w:t>
      </w:r>
    </w:p>
    <w:p w14:paraId="1F0268E8" w14:textId="77777777" w:rsidR="00F1673E" w:rsidRDefault="00F1673E" w:rsidP="00F1673E">
      <w:pPr>
        <w:numPr>
          <w:ilvl w:val="0"/>
          <w:numId w:val="1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Bayes Factor schedules can be recalculated whenever a new data release becomes available. This means that updated schedules can be produced within minutes of the release of official statistics. The commitment to do this each each new release, and to publish updated estimates of support for slowdown, should be made before such data are released.</w:t>
      </w:r>
    </w:p>
    <w:p w14:paraId="3A7F3DF6" w14:textId="77777777" w:rsidR="00F1673E" w:rsidRDefault="00F1673E" w:rsidP="00F1673E">
      <w:pPr>
        <w:numPr>
          <w:ilvl w:val="0"/>
          <w:numId w:val="17"/>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The tendency within UK populations has been for the rate of slowdown to be increasing over time, rather than to shift suddenly from one rate to another. If this continues then the proposed slowdown percentage that maximises the bayes factor will continue to shift further to the left with additional years’ data, and could be maximised at a negative value (i.e. declining life expectancy rather than slowing improvement) if this tendency continues.</w:t>
      </w:r>
    </w:p>
    <w:p w14:paraId="3E78CA41" w14:textId="77777777" w:rsidR="00B94561" w:rsidRPr="008A477A" w:rsidRDefault="00B94561" w:rsidP="00681205">
      <w:pPr>
        <w:pStyle w:val="BodyText1"/>
      </w:pPr>
    </w:p>
    <w:sectPr w:rsidR="00B94561" w:rsidRPr="008A477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061B3"/>
    <w:multiLevelType w:val="hybridMultilevel"/>
    <w:tmpl w:val="60203AE8"/>
    <w:lvl w:ilvl="0" w:tplc="E3C4646C">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1284A"/>
    <w:multiLevelType w:val="hybridMultilevel"/>
    <w:tmpl w:val="91CE0BE6"/>
    <w:lvl w:ilvl="0" w:tplc="402E83FA">
      <w:start w:val="1"/>
      <w:numFmt w:val="bullet"/>
      <w:pStyle w:val="Bulletbody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FB5320"/>
    <w:multiLevelType w:val="hybridMultilevel"/>
    <w:tmpl w:val="5FB64D22"/>
    <w:lvl w:ilvl="0" w:tplc="5D283A32">
      <w:start w:val="1"/>
      <w:numFmt w:val="bullet"/>
      <w:pStyle w:val="Sub-bulletbody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2481EFD"/>
    <w:multiLevelType w:val="hybridMultilevel"/>
    <w:tmpl w:val="E208F08E"/>
    <w:lvl w:ilvl="0" w:tplc="75C81E86">
      <w:start w:val="1"/>
      <w:numFmt w:val="bullet"/>
      <w:pStyle w:val="Tablesub-bullettex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4462ABC"/>
    <w:multiLevelType w:val="hybridMultilevel"/>
    <w:tmpl w:val="11B82C26"/>
    <w:lvl w:ilvl="0" w:tplc="212AD3A2">
      <w:start w:val="1"/>
      <w:numFmt w:val="lowerRoman"/>
      <w:pStyle w:val="Tablesub-numbered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DB87D9E"/>
    <w:multiLevelType w:val="hybridMultilevel"/>
    <w:tmpl w:val="A386F9DC"/>
    <w:lvl w:ilvl="0" w:tplc="C10A2E88">
      <w:start w:val="1"/>
      <w:numFmt w:val="lowerRoman"/>
      <w:pStyle w:val="Sub-numberedbodytext"/>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3683EC2"/>
    <w:multiLevelType w:val="multilevel"/>
    <w:tmpl w:val="D128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A07ED"/>
    <w:multiLevelType w:val="hybridMultilevel"/>
    <w:tmpl w:val="B5A2A0C6"/>
    <w:lvl w:ilvl="0" w:tplc="BDE45CA4">
      <w:start w:val="1"/>
      <w:numFmt w:val="decimal"/>
      <w:pStyle w:val="Numberedbody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60203E"/>
    <w:multiLevelType w:val="hybridMultilevel"/>
    <w:tmpl w:val="3A9AA91A"/>
    <w:lvl w:ilvl="0" w:tplc="9DD0DBF4">
      <w:start w:val="1"/>
      <w:numFmt w:val="decimal"/>
      <w:pStyle w:val="Tablenumberedtext"/>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5"/>
  </w:num>
  <w:num w:numId="5">
    <w:abstractNumId w:val="0"/>
  </w:num>
  <w:num w:numId="6">
    <w:abstractNumId w:val="8"/>
  </w:num>
  <w:num w:numId="7">
    <w:abstractNumId w:val="3"/>
  </w:num>
  <w:num w:numId="8">
    <w:abstractNumId w:val="4"/>
  </w:num>
  <w:num w:numId="9">
    <w:abstractNumId w:val="1"/>
  </w:num>
  <w:num w:numId="10">
    <w:abstractNumId w:val="7"/>
  </w:num>
  <w:num w:numId="11">
    <w:abstractNumId w:val="2"/>
  </w:num>
  <w:num w:numId="12">
    <w:abstractNumId w:val="5"/>
  </w:num>
  <w:num w:numId="13">
    <w:abstractNumId w:val="0"/>
  </w:num>
  <w:num w:numId="14">
    <w:abstractNumId w:val="8"/>
  </w:num>
  <w:num w:numId="15">
    <w:abstractNumId w:val="3"/>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45EB"/>
    <w:rsid w:val="0003231D"/>
    <w:rsid w:val="000B45EB"/>
    <w:rsid w:val="000B5054"/>
    <w:rsid w:val="000B7B14"/>
    <w:rsid w:val="000C6EB6"/>
    <w:rsid w:val="0010680F"/>
    <w:rsid w:val="00106EF1"/>
    <w:rsid w:val="00112265"/>
    <w:rsid w:val="00120525"/>
    <w:rsid w:val="0013180F"/>
    <w:rsid w:val="00140405"/>
    <w:rsid w:val="001675F3"/>
    <w:rsid w:val="00172860"/>
    <w:rsid w:val="001729BB"/>
    <w:rsid w:val="00175C38"/>
    <w:rsid w:val="00186039"/>
    <w:rsid w:val="00193FA8"/>
    <w:rsid w:val="001A170A"/>
    <w:rsid w:val="001A496F"/>
    <w:rsid w:val="001D1890"/>
    <w:rsid w:val="001E602B"/>
    <w:rsid w:val="001E6745"/>
    <w:rsid w:val="00211339"/>
    <w:rsid w:val="00211922"/>
    <w:rsid w:val="00227009"/>
    <w:rsid w:val="00244AF4"/>
    <w:rsid w:val="002C33B8"/>
    <w:rsid w:val="002C5F99"/>
    <w:rsid w:val="002D1027"/>
    <w:rsid w:val="002D6BBA"/>
    <w:rsid w:val="002E2303"/>
    <w:rsid w:val="002E63B4"/>
    <w:rsid w:val="002E6736"/>
    <w:rsid w:val="00307C29"/>
    <w:rsid w:val="00315BCA"/>
    <w:rsid w:val="003347DA"/>
    <w:rsid w:val="0033754D"/>
    <w:rsid w:val="00347701"/>
    <w:rsid w:val="00352307"/>
    <w:rsid w:val="00373501"/>
    <w:rsid w:val="0038233D"/>
    <w:rsid w:val="00382649"/>
    <w:rsid w:val="00391899"/>
    <w:rsid w:val="003A1B0D"/>
    <w:rsid w:val="003C5ECF"/>
    <w:rsid w:val="003E33A5"/>
    <w:rsid w:val="003F037A"/>
    <w:rsid w:val="00400414"/>
    <w:rsid w:val="00401B91"/>
    <w:rsid w:val="0041129F"/>
    <w:rsid w:val="00420325"/>
    <w:rsid w:val="00427A1A"/>
    <w:rsid w:val="0043239C"/>
    <w:rsid w:val="0046387F"/>
    <w:rsid w:val="0048525F"/>
    <w:rsid w:val="00497670"/>
    <w:rsid w:val="004B30D0"/>
    <w:rsid w:val="004D0601"/>
    <w:rsid w:val="004E04EF"/>
    <w:rsid w:val="004E5E5E"/>
    <w:rsid w:val="00505C29"/>
    <w:rsid w:val="00515FE4"/>
    <w:rsid w:val="0052739D"/>
    <w:rsid w:val="00552E7C"/>
    <w:rsid w:val="0056196C"/>
    <w:rsid w:val="00562226"/>
    <w:rsid w:val="005C0D9C"/>
    <w:rsid w:val="005C59C3"/>
    <w:rsid w:val="005D5A5A"/>
    <w:rsid w:val="00613A14"/>
    <w:rsid w:val="006602F3"/>
    <w:rsid w:val="006712C0"/>
    <w:rsid w:val="00681205"/>
    <w:rsid w:val="00686DE9"/>
    <w:rsid w:val="006979F9"/>
    <w:rsid w:val="006C3EFA"/>
    <w:rsid w:val="006D124E"/>
    <w:rsid w:val="00714FEC"/>
    <w:rsid w:val="00723AFA"/>
    <w:rsid w:val="00730209"/>
    <w:rsid w:val="007459AB"/>
    <w:rsid w:val="00766141"/>
    <w:rsid w:val="007A67F6"/>
    <w:rsid w:val="007A7D51"/>
    <w:rsid w:val="00801D27"/>
    <w:rsid w:val="008358DE"/>
    <w:rsid w:val="00835EB3"/>
    <w:rsid w:val="0084596C"/>
    <w:rsid w:val="00866397"/>
    <w:rsid w:val="00873481"/>
    <w:rsid w:val="00894CB7"/>
    <w:rsid w:val="008A047C"/>
    <w:rsid w:val="008A43C1"/>
    <w:rsid w:val="008A477A"/>
    <w:rsid w:val="00901272"/>
    <w:rsid w:val="00937026"/>
    <w:rsid w:val="009D7E7F"/>
    <w:rsid w:val="009E3BB3"/>
    <w:rsid w:val="009E7C53"/>
    <w:rsid w:val="009F58EB"/>
    <w:rsid w:val="00A11234"/>
    <w:rsid w:val="00A46C5D"/>
    <w:rsid w:val="00A72F88"/>
    <w:rsid w:val="00A77C1D"/>
    <w:rsid w:val="00AB0529"/>
    <w:rsid w:val="00AC7878"/>
    <w:rsid w:val="00B06AEE"/>
    <w:rsid w:val="00B1206B"/>
    <w:rsid w:val="00B366F3"/>
    <w:rsid w:val="00B51E30"/>
    <w:rsid w:val="00B64DA3"/>
    <w:rsid w:val="00B6594E"/>
    <w:rsid w:val="00B8717F"/>
    <w:rsid w:val="00B91A75"/>
    <w:rsid w:val="00B94561"/>
    <w:rsid w:val="00BA08ED"/>
    <w:rsid w:val="00BB0209"/>
    <w:rsid w:val="00BB1323"/>
    <w:rsid w:val="00BB5978"/>
    <w:rsid w:val="00BC3715"/>
    <w:rsid w:val="00BF3F19"/>
    <w:rsid w:val="00C059A2"/>
    <w:rsid w:val="00C27630"/>
    <w:rsid w:val="00C3025E"/>
    <w:rsid w:val="00C564DC"/>
    <w:rsid w:val="00C60191"/>
    <w:rsid w:val="00C81746"/>
    <w:rsid w:val="00CC4236"/>
    <w:rsid w:val="00CD1081"/>
    <w:rsid w:val="00CE5C70"/>
    <w:rsid w:val="00D1284E"/>
    <w:rsid w:val="00D16D9A"/>
    <w:rsid w:val="00D279C4"/>
    <w:rsid w:val="00D41D62"/>
    <w:rsid w:val="00D434C4"/>
    <w:rsid w:val="00D86485"/>
    <w:rsid w:val="00D972DE"/>
    <w:rsid w:val="00DA1227"/>
    <w:rsid w:val="00DD36B1"/>
    <w:rsid w:val="00DE00BD"/>
    <w:rsid w:val="00DE193A"/>
    <w:rsid w:val="00DE54F8"/>
    <w:rsid w:val="00DF6EDB"/>
    <w:rsid w:val="00E15B8E"/>
    <w:rsid w:val="00E16CCF"/>
    <w:rsid w:val="00E26915"/>
    <w:rsid w:val="00E44A15"/>
    <w:rsid w:val="00E600FD"/>
    <w:rsid w:val="00E73D3B"/>
    <w:rsid w:val="00E91614"/>
    <w:rsid w:val="00E91D77"/>
    <w:rsid w:val="00ED20B4"/>
    <w:rsid w:val="00F1673E"/>
    <w:rsid w:val="00F17A93"/>
    <w:rsid w:val="00F42410"/>
    <w:rsid w:val="00F42FC0"/>
    <w:rsid w:val="00F76F61"/>
    <w:rsid w:val="00F87672"/>
    <w:rsid w:val="00FA02F9"/>
    <w:rsid w:val="00FA6955"/>
    <w:rsid w:val="00FC3F94"/>
    <w:rsid w:val="00FD32F6"/>
    <w:rsid w:val="00FD4F58"/>
    <w:rsid w:val="00FE1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22DDA"/>
  <w15:chartTrackingRefBased/>
  <w15:docId w15:val="{3A4C61D1-6BD4-4768-8957-84AB6247A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GB" w:eastAsia="en-GB"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1673E"/>
    <w:pPr>
      <w:spacing w:after="160" w:line="259" w:lineRule="auto"/>
    </w:pPr>
    <w:rPr>
      <w:rFonts w:ascii="Arial" w:hAnsi="Arial"/>
      <w:sz w:val="24"/>
      <w:szCs w:val="22"/>
      <w:lang w:eastAsia="en-US"/>
    </w:rPr>
  </w:style>
  <w:style w:type="paragraph" w:styleId="Heading1">
    <w:name w:val="heading 1"/>
    <w:basedOn w:val="Normal"/>
    <w:next w:val="Normal"/>
    <w:link w:val="Heading1Char"/>
    <w:rsid w:val="00F1673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
    <w:name w:val="Section head"/>
    <w:next w:val="Normal"/>
    <w:uiPriority w:val="99"/>
    <w:qFormat/>
    <w:rsid w:val="008358DE"/>
    <w:pPr>
      <w:spacing w:after="120" w:line="360" w:lineRule="auto"/>
    </w:pPr>
    <w:rPr>
      <w:rFonts w:ascii="Arial" w:eastAsiaTheme="minorHAnsi" w:hAnsi="Arial" w:cs="Arial"/>
      <w:b/>
      <w:sz w:val="48"/>
      <w:szCs w:val="24"/>
    </w:rPr>
  </w:style>
  <w:style w:type="paragraph" w:customStyle="1" w:styleId="Ahead">
    <w:name w:val="A head"/>
    <w:basedOn w:val="Sectionhead"/>
    <w:next w:val="Normal"/>
    <w:link w:val="AheadChar"/>
    <w:qFormat/>
    <w:rsid w:val="008358DE"/>
    <w:pPr>
      <w:spacing w:before="360" w:line="240" w:lineRule="auto"/>
    </w:pPr>
    <w:rPr>
      <w:sz w:val="40"/>
    </w:rPr>
  </w:style>
  <w:style w:type="character" w:customStyle="1" w:styleId="AheadChar">
    <w:name w:val="A head Char"/>
    <w:basedOn w:val="DefaultParagraphFont"/>
    <w:link w:val="Ahead"/>
    <w:rsid w:val="008358DE"/>
    <w:rPr>
      <w:rFonts w:ascii="Arial" w:eastAsiaTheme="minorHAnsi" w:hAnsi="Arial" w:cs="Arial"/>
      <w:b/>
      <w:sz w:val="40"/>
      <w:szCs w:val="24"/>
    </w:rPr>
  </w:style>
  <w:style w:type="paragraph" w:customStyle="1" w:styleId="Bhead">
    <w:name w:val="B head"/>
    <w:basedOn w:val="Ahead"/>
    <w:next w:val="Normal"/>
    <w:link w:val="BheadChar"/>
    <w:qFormat/>
    <w:rsid w:val="008358DE"/>
    <w:pPr>
      <w:spacing w:before="240"/>
    </w:pPr>
    <w:rPr>
      <w:rFonts w:eastAsia="Cambria"/>
      <w:sz w:val="32"/>
    </w:rPr>
  </w:style>
  <w:style w:type="character" w:customStyle="1" w:styleId="BheadChar">
    <w:name w:val="B head Char"/>
    <w:basedOn w:val="DefaultParagraphFont"/>
    <w:link w:val="Bhead"/>
    <w:rsid w:val="008358DE"/>
    <w:rPr>
      <w:rFonts w:ascii="Arial" w:eastAsia="Cambria" w:hAnsi="Arial" w:cs="Arial"/>
      <w:b/>
      <w:sz w:val="32"/>
      <w:szCs w:val="24"/>
    </w:rPr>
  </w:style>
  <w:style w:type="character" w:customStyle="1" w:styleId="Bodytextbold">
    <w:name w:val="Body text bold"/>
    <w:basedOn w:val="DefaultParagraphFont"/>
    <w:uiPriority w:val="1"/>
    <w:qFormat/>
    <w:rsid w:val="008358DE"/>
    <w:rPr>
      <w:rFonts w:ascii="Arial" w:hAnsi="Arial"/>
      <w:b/>
      <w:sz w:val="24"/>
    </w:rPr>
  </w:style>
  <w:style w:type="character" w:customStyle="1" w:styleId="Bodytextitalic">
    <w:name w:val="Body text italic"/>
    <w:basedOn w:val="DefaultParagraphFont"/>
    <w:uiPriority w:val="1"/>
    <w:qFormat/>
    <w:rsid w:val="008358DE"/>
    <w:rPr>
      <w:rFonts w:ascii="Arial" w:hAnsi="Arial"/>
      <w:i/>
      <w:sz w:val="24"/>
    </w:rPr>
  </w:style>
  <w:style w:type="paragraph" w:customStyle="1" w:styleId="BodyText1">
    <w:name w:val="Body Text1"/>
    <w:qFormat/>
    <w:rsid w:val="008358DE"/>
    <w:pPr>
      <w:autoSpaceDE w:val="0"/>
      <w:autoSpaceDN w:val="0"/>
      <w:adjustRightInd w:val="0"/>
      <w:spacing w:before="240" w:after="240" w:line="360" w:lineRule="auto"/>
    </w:pPr>
    <w:rPr>
      <w:rFonts w:ascii="Arial" w:eastAsiaTheme="minorHAnsi" w:hAnsi="Arial" w:cs="Arial"/>
      <w:sz w:val="24"/>
      <w:szCs w:val="24"/>
    </w:rPr>
  </w:style>
  <w:style w:type="paragraph" w:customStyle="1" w:styleId="Bulletbodytext">
    <w:name w:val="Bullet body text"/>
    <w:basedOn w:val="BodyText1"/>
    <w:uiPriority w:val="99"/>
    <w:qFormat/>
    <w:rsid w:val="008358DE"/>
    <w:pPr>
      <w:numPr>
        <w:numId w:val="9"/>
      </w:numPr>
      <w:spacing w:before="120" w:after="120"/>
    </w:pPr>
  </w:style>
  <w:style w:type="paragraph" w:customStyle="1" w:styleId="Chead">
    <w:name w:val="C head"/>
    <w:basedOn w:val="Bhead"/>
    <w:next w:val="Normal"/>
    <w:link w:val="CheadChar"/>
    <w:qFormat/>
    <w:rsid w:val="008358DE"/>
    <w:rPr>
      <w:sz w:val="28"/>
    </w:rPr>
  </w:style>
  <w:style w:type="character" w:customStyle="1" w:styleId="CheadChar">
    <w:name w:val="C head Char"/>
    <w:basedOn w:val="DefaultParagraphFont"/>
    <w:link w:val="Chead"/>
    <w:rsid w:val="008358DE"/>
    <w:rPr>
      <w:rFonts w:ascii="Arial" w:eastAsia="Cambria" w:hAnsi="Arial" w:cs="Arial"/>
      <w:b/>
      <w:sz w:val="28"/>
      <w:szCs w:val="24"/>
    </w:rPr>
  </w:style>
  <w:style w:type="character" w:customStyle="1" w:styleId="Captionbold">
    <w:name w:val="Caption bold"/>
    <w:basedOn w:val="DefaultParagraphFont"/>
    <w:uiPriority w:val="1"/>
    <w:rsid w:val="00244AF4"/>
    <w:rPr>
      <w:b/>
    </w:rPr>
  </w:style>
  <w:style w:type="character" w:customStyle="1" w:styleId="Captionitalic">
    <w:name w:val="Caption italic"/>
    <w:basedOn w:val="DefaultParagraphFont"/>
    <w:uiPriority w:val="1"/>
    <w:rsid w:val="00244AF4"/>
    <w:rPr>
      <w:i/>
    </w:rPr>
  </w:style>
  <w:style w:type="paragraph" w:customStyle="1" w:styleId="Captiontext">
    <w:name w:val="Caption text"/>
    <w:basedOn w:val="BodyText1"/>
    <w:next w:val="BodyText1"/>
    <w:link w:val="CaptiontextChar"/>
    <w:qFormat/>
    <w:rsid w:val="008358DE"/>
    <w:rPr>
      <w:rFonts w:ascii="Arial Narrow" w:eastAsia="Cambria" w:hAnsi="Arial Narrow" w:cs="Times New Roman"/>
      <w:sz w:val="28"/>
    </w:rPr>
  </w:style>
  <w:style w:type="character" w:customStyle="1" w:styleId="CaptiontextChar">
    <w:name w:val="Caption text Char"/>
    <w:basedOn w:val="DefaultParagraphFont"/>
    <w:link w:val="Captiontext"/>
    <w:rsid w:val="008358DE"/>
    <w:rPr>
      <w:rFonts w:ascii="Arial Narrow" w:eastAsia="Cambria" w:hAnsi="Arial Narrow"/>
      <w:sz w:val="28"/>
      <w:szCs w:val="24"/>
    </w:rPr>
  </w:style>
  <w:style w:type="paragraph" w:customStyle="1" w:styleId="Dhead">
    <w:name w:val="D head"/>
    <w:basedOn w:val="Chead"/>
    <w:next w:val="BodyText1"/>
    <w:link w:val="DheadChar"/>
    <w:qFormat/>
    <w:rsid w:val="008358DE"/>
    <w:rPr>
      <w:rFonts w:cs="Times New Roman"/>
      <w:b w:val="0"/>
    </w:rPr>
  </w:style>
  <w:style w:type="character" w:customStyle="1" w:styleId="DheadChar">
    <w:name w:val="D head Char"/>
    <w:basedOn w:val="DefaultParagraphFont"/>
    <w:link w:val="Dhead"/>
    <w:rsid w:val="008358DE"/>
    <w:rPr>
      <w:rFonts w:ascii="Arial" w:eastAsia="Cambria" w:hAnsi="Arial"/>
      <w:sz w:val="28"/>
      <w:szCs w:val="24"/>
    </w:rPr>
  </w:style>
  <w:style w:type="paragraph" w:styleId="Footer">
    <w:name w:val="footer"/>
    <w:basedOn w:val="BodyText1"/>
    <w:link w:val="FooterChar"/>
    <w:uiPriority w:val="99"/>
    <w:unhideWhenUsed/>
    <w:rsid w:val="00244AF4"/>
    <w:pPr>
      <w:tabs>
        <w:tab w:val="center" w:pos="4513"/>
        <w:tab w:val="right" w:pos="9026"/>
      </w:tabs>
    </w:pPr>
    <w:rPr>
      <w:sz w:val="20"/>
    </w:rPr>
  </w:style>
  <w:style w:type="character" w:customStyle="1" w:styleId="FooterChar">
    <w:name w:val="Footer Char"/>
    <w:basedOn w:val="DefaultParagraphFont"/>
    <w:link w:val="Footer"/>
    <w:uiPriority w:val="99"/>
    <w:rsid w:val="00244AF4"/>
    <w:rPr>
      <w:rFonts w:ascii="Arial" w:eastAsiaTheme="minorHAnsi" w:hAnsi="Arial" w:cs="Arial"/>
      <w:szCs w:val="24"/>
    </w:rPr>
  </w:style>
  <w:style w:type="paragraph" w:customStyle="1" w:styleId="footnote">
    <w:name w:val="footnote"/>
    <w:basedOn w:val="BodyText1"/>
    <w:qFormat/>
    <w:rsid w:val="008358DE"/>
    <w:rPr>
      <w:sz w:val="22"/>
      <w:szCs w:val="22"/>
    </w:rPr>
  </w:style>
  <w:style w:type="character" w:styleId="Hyperlink">
    <w:name w:val="Hyperlink"/>
    <w:basedOn w:val="DefaultParagraphFont"/>
    <w:uiPriority w:val="99"/>
    <w:unhideWhenUsed/>
    <w:rsid w:val="00244AF4"/>
    <w:rPr>
      <w:color w:val="0000FF" w:themeColor="hyperlink"/>
      <w:u w:val="none"/>
    </w:rPr>
  </w:style>
  <w:style w:type="paragraph" w:customStyle="1" w:styleId="Numberedbodytext">
    <w:name w:val="Numbered body text"/>
    <w:basedOn w:val="Bulletbodytext"/>
    <w:uiPriority w:val="99"/>
    <w:qFormat/>
    <w:rsid w:val="008358DE"/>
    <w:pPr>
      <w:numPr>
        <w:numId w:val="10"/>
      </w:numPr>
    </w:pPr>
  </w:style>
  <w:style w:type="paragraph" w:customStyle="1" w:styleId="Quotetext">
    <w:name w:val="Quote text"/>
    <w:basedOn w:val="BodyText1"/>
    <w:qFormat/>
    <w:rsid w:val="008358DE"/>
    <w:pPr>
      <w:ind w:left="480"/>
    </w:pPr>
    <w:rPr>
      <w:sz w:val="26"/>
    </w:rPr>
  </w:style>
  <w:style w:type="paragraph" w:customStyle="1" w:styleId="Quotesource">
    <w:name w:val="Quote source"/>
    <w:basedOn w:val="Quotetext"/>
    <w:next w:val="BodyText1"/>
    <w:qFormat/>
    <w:rsid w:val="008358DE"/>
    <w:rPr>
      <w:rFonts w:ascii="Arial Narrow" w:hAnsi="Arial Narrow"/>
      <w:sz w:val="24"/>
    </w:rPr>
  </w:style>
  <w:style w:type="paragraph" w:customStyle="1" w:styleId="Sub-bulletbodytext">
    <w:name w:val="Sub-bullet body text"/>
    <w:basedOn w:val="Bulletbodytext"/>
    <w:uiPriority w:val="99"/>
    <w:qFormat/>
    <w:rsid w:val="008358DE"/>
    <w:pPr>
      <w:numPr>
        <w:numId w:val="11"/>
      </w:numPr>
    </w:pPr>
  </w:style>
  <w:style w:type="paragraph" w:customStyle="1" w:styleId="Sub-numberedbodytext">
    <w:name w:val="Sub-numbered body text"/>
    <w:basedOn w:val="Numberedbodytext"/>
    <w:uiPriority w:val="99"/>
    <w:qFormat/>
    <w:rsid w:val="008358DE"/>
    <w:pPr>
      <w:numPr>
        <w:numId w:val="12"/>
      </w:numPr>
    </w:pPr>
  </w:style>
  <w:style w:type="paragraph" w:customStyle="1" w:styleId="TableAhead">
    <w:name w:val="Table A head"/>
    <w:basedOn w:val="Bhead"/>
    <w:uiPriority w:val="99"/>
    <w:qFormat/>
    <w:rsid w:val="008358DE"/>
    <w:pPr>
      <w:spacing w:before="440"/>
    </w:pPr>
    <w:rPr>
      <w:b w:val="0"/>
    </w:rPr>
  </w:style>
  <w:style w:type="paragraph" w:customStyle="1" w:styleId="Tablebodytext">
    <w:name w:val="Table body text"/>
    <w:basedOn w:val="BodyText1"/>
    <w:uiPriority w:val="99"/>
    <w:qFormat/>
    <w:rsid w:val="008358DE"/>
  </w:style>
  <w:style w:type="character" w:customStyle="1" w:styleId="Tablebold">
    <w:name w:val="Table bold"/>
    <w:basedOn w:val="DefaultParagraphFont"/>
    <w:uiPriority w:val="1"/>
    <w:rsid w:val="00244AF4"/>
    <w:rPr>
      <w:b/>
    </w:rPr>
  </w:style>
  <w:style w:type="paragraph" w:customStyle="1" w:styleId="Tablebullettext">
    <w:name w:val="Table bullet text"/>
    <w:basedOn w:val="Tablebodytext"/>
    <w:uiPriority w:val="99"/>
    <w:qFormat/>
    <w:rsid w:val="008358DE"/>
    <w:pPr>
      <w:numPr>
        <w:numId w:val="13"/>
      </w:numPr>
    </w:pPr>
  </w:style>
  <w:style w:type="character" w:customStyle="1" w:styleId="Tableitalic">
    <w:name w:val="Table italic"/>
    <w:basedOn w:val="DefaultParagraphFont"/>
    <w:uiPriority w:val="1"/>
    <w:rsid w:val="00244AF4"/>
    <w:rPr>
      <w:i/>
    </w:rPr>
  </w:style>
  <w:style w:type="paragraph" w:customStyle="1" w:styleId="Tablenumberedtext">
    <w:name w:val="Table numbered text"/>
    <w:basedOn w:val="Tablebodytext"/>
    <w:uiPriority w:val="99"/>
    <w:qFormat/>
    <w:rsid w:val="008358DE"/>
    <w:pPr>
      <w:numPr>
        <w:numId w:val="14"/>
      </w:numPr>
    </w:pPr>
  </w:style>
  <w:style w:type="paragraph" w:customStyle="1" w:styleId="Tablesub-bullettext">
    <w:name w:val="Table sub-bullet text"/>
    <w:basedOn w:val="Tablebullettext"/>
    <w:uiPriority w:val="99"/>
    <w:qFormat/>
    <w:rsid w:val="008358DE"/>
    <w:pPr>
      <w:numPr>
        <w:numId w:val="15"/>
      </w:numPr>
    </w:pPr>
  </w:style>
  <w:style w:type="paragraph" w:customStyle="1" w:styleId="Tablesub-numberedtext">
    <w:name w:val="Table sub-numbered text"/>
    <w:basedOn w:val="Tablenumberedtext"/>
    <w:uiPriority w:val="99"/>
    <w:qFormat/>
    <w:rsid w:val="008358DE"/>
    <w:pPr>
      <w:numPr>
        <w:numId w:val="16"/>
      </w:numPr>
    </w:pPr>
  </w:style>
  <w:style w:type="paragraph" w:styleId="NormalWeb">
    <w:name w:val="Normal (Web)"/>
    <w:basedOn w:val="Normal"/>
    <w:uiPriority w:val="99"/>
    <w:unhideWhenUsed/>
    <w:rsid w:val="00F1673E"/>
    <w:pPr>
      <w:spacing w:before="100" w:beforeAutospacing="1" w:after="100" w:afterAutospacing="1" w:line="240" w:lineRule="auto"/>
    </w:pPr>
    <w:rPr>
      <w:rFonts w:ascii="Times New Roman" w:eastAsia="Times New Roman" w:hAnsi="Times New Roman"/>
      <w:szCs w:val="24"/>
      <w:lang w:eastAsia="en-GB"/>
    </w:rPr>
  </w:style>
  <w:style w:type="character" w:customStyle="1" w:styleId="Heading1Char">
    <w:name w:val="Heading 1 Char"/>
    <w:basedOn w:val="DefaultParagraphFont"/>
    <w:link w:val="Heading1"/>
    <w:rsid w:val="00F1673E"/>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NHS HealthScotland</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Minton</dc:creator>
  <cp:keywords/>
  <dc:description/>
  <cp:lastModifiedBy>Jonathan Minton</cp:lastModifiedBy>
  <cp:revision>3</cp:revision>
  <dcterms:created xsi:type="dcterms:W3CDTF">2020-01-10T15:33:00Z</dcterms:created>
  <dcterms:modified xsi:type="dcterms:W3CDTF">2020-01-11T10:34:00Z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-1</vt:lpwstr>
  </property>
  <property fmtid="{D5CDD505-2E9C-101B-9397-08002B2CF9AE}" pid="3" name="FileId">
    <vt:lpwstr>898005</vt:lpwstr>
  </property>
  <property fmtid="{D5CDD505-2E9C-101B-9397-08002B2CF9AE}" pid="4" name="InsertAsFootnote">
    <vt:lpwstr>False</vt:lpwstr>
  </property>
  <property fmtid="{D5CDD505-2E9C-101B-9397-08002B2CF9AE}" pid="5" name="StyleId">
    <vt:lpwstr>http://www.zotero.org/styles/vancouver</vt:lpwstr>
  </property>
</Properties>
</file>