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96" w:rsidRDefault="00F46896" w:rsidP="00C058CE">
      <w:pPr>
        <w:pStyle w:val="Heading1"/>
        <w:rPr>
          <w:color w:val="808080" w:themeColor="background1" w:themeShade="80"/>
        </w:rPr>
      </w:pPr>
      <w:r>
        <w:rPr>
          <w:color w:val="808080" w:themeColor="background1" w:themeShade="80"/>
        </w:rPr>
        <w:t xml:space="preserve">Change in life expectancy, UK compared with other high income nations </w:t>
      </w:r>
    </w:p>
    <w:p w:rsidR="00F46896" w:rsidRDefault="00C058CE" w:rsidP="00F46896">
      <w:pPr>
        <w:pStyle w:val="BodyText1"/>
        <w:rPr>
          <w:color w:val="808080" w:themeColor="background1" w:themeShade="80"/>
        </w:rPr>
      </w:pPr>
      <w:r>
        <w:rPr>
          <w:color w:val="808080" w:themeColor="background1" w:themeShade="80"/>
        </w:rPr>
        <w:t xml:space="preserve">Table R1.1 shows the average annual change in life expectancy by decade for XX HMD nations including the UK. Countries are ordered by the average improvement in the 2010s (2010 until last available year). Figure R1.1A in the </w:t>
      </w:r>
      <w:proofErr w:type="spellStart"/>
      <w:r w:rsidR="005B74F1">
        <w:rPr>
          <w:color w:val="808080" w:themeColor="background1" w:themeShade="80"/>
        </w:rPr>
        <w:t>webappendix</w:t>
      </w:r>
      <w:proofErr w:type="spellEnd"/>
      <w:r w:rsidR="005B74F1">
        <w:rPr>
          <w:color w:val="808080" w:themeColor="background1" w:themeShade="80"/>
        </w:rPr>
        <w:t xml:space="preserve"> R1.A shows the same results graphically. </w:t>
      </w:r>
    </w:p>
    <w:p w:rsidR="005B74F1" w:rsidRDefault="005B74F1" w:rsidP="005B74F1">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countries with the fastest average improvement in </w:t>
      </w:r>
      <w:r>
        <w:rPr>
          <w:rStyle w:val="mi"/>
          <w:rFonts w:ascii="MathJax_Math-italic" w:hAnsi="MathJax_Math-italic" w:cs="Helvetica"/>
          <w:color w:val="333333"/>
          <w:sz w:val="25"/>
          <w:szCs w:val="25"/>
          <w:bdr w:val="none" w:sz="0" w:space="0" w:color="auto" w:frame="1"/>
        </w:rPr>
        <w:t>life expectancies</w:t>
      </w:r>
      <w:r>
        <w:rPr>
          <w:rFonts w:ascii="Helvetica" w:hAnsi="Helvetica" w:cs="Helvetica"/>
          <w:color w:val="333333"/>
          <w:sz w:val="21"/>
          <w:szCs w:val="21"/>
        </w:rPr>
        <w:t xml:space="preserve"> in the 2010s include Belarus (0.38 years/year for females, 0.61 years/year for males), Ukraine (0.34 females, 0.49 males), Russia (0.34 females, 0.48 males), Lithuania (0.23 females, 0.45 males), and Poland (0.25 females, 0.32 males). </w:t>
      </w:r>
    </w:p>
    <w:p w:rsidR="005B74F1" w:rsidRDefault="005B74F1" w:rsidP="005B74F1">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By contrast, the countries with the slowest improvements in the 2010s include the USA (0.05 females, 0.03 males), Iceland (0.04 females, 0.09 males), the United Kingdom (0.09 females, 0.16 males), Netherlands (0.07 females, 0.19 males), and Germany (0.10 females, 0.17 males). </w:t>
      </w:r>
    </w:p>
    <w:p w:rsidR="005B74F1" w:rsidRDefault="005B74F1" w:rsidP="005B74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fastest-improving countries also tended to experience the slowest rates of improvement, or severe deteriorations (</w:t>
      </w:r>
      <w:proofErr w:type="spellStart"/>
      <w:r>
        <w:rPr>
          <w:rFonts w:ascii="Helvetica" w:hAnsi="Helvetica" w:cs="Helvetica"/>
          <w:color w:val="333333"/>
          <w:sz w:val="21"/>
          <w:szCs w:val="21"/>
        </w:rPr>
        <w:t>worsenings</w:t>
      </w:r>
      <w:proofErr w:type="spellEnd"/>
      <w:r>
        <w:rPr>
          <w:rFonts w:ascii="Helvetica" w:hAnsi="Helvetica" w:cs="Helvetica"/>
          <w:color w:val="333333"/>
          <w:sz w:val="21"/>
          <w:szCs w:val="21"/>
        </w:rPr>
        <w:t>), in life expectancy change in the 1990s.The similarity between average rates of improvement in the 2010s in Germany and the UK is noteworthy</w:t>
      </w:r>
      <w:r>
        <w:rPr>
          <w:rFonts w:ascii="Helvetica" w:hAnsi="Helvetica" w:cs="Helvetica"/>
          <w:color w:val="333333"/>
          <w:sz w:val="21"/>
          <w:szCs w:val="21"/>
        </w:rPr>
        <w:t>,</w:t>
      </w:r>
      <w:r>
        <w:rPr>
          <w:rFonts w:ascii="Helvetica" w:hAnsi="Helvetica" w:cs="Helvetica"/>
          <w:color w:val="333333"/>
          <w:sz w:val="21"/>
          <w:szCs w:val="21"/>
        </w:rPr>
        <w:t xml:space="preserve"> with average sex specific improvement rates within 0.01 years per year of each other (0.09 compared with 0.10 for females in the UK and Germany respectively; 0.16 compared with 0.17 for males). The German data covers 2010-2017 inclusive, whereas for the UK the data extends to 2016.</w:t>
      </w:r>
      <w:r>
        <w:rPr>
          <w:rFonts w:ascii="Helvetica" w:hAnsi="Helvetica" w:cs="Helvetica"/>
          <w:color w:val="333333"/>
          <w:sz w:val="21"/>
          <w:szCs w:val="21"/>
        </w:rPr>
        <w:t xml:space="preserve"> </w:t>
      </w:r>
      <w:r>
        <w:rPr>
          <w:rFonts w:ascii="Helvetica" w:hAnsi="Helvetica" w:cs="Helvetica"/>
          <w:color w:val="333333"/>
          <w:sz w:val="21"/>
          <w:szCs w:val="21"/>
        </w:rPr>
        <w:t>Further analysis of annual improvement rates in the USA, the UK, the Netherlands and Germany is presented in appendix R1.B.</w:t>
      </w:r>
    </w:p>
    <w:p w:rsidR="005B74F1" w:rsidRDefault="005B74F1" w:rsidP="00F46896">
      <w:pPr>
        <w:pStyle w:val="BodyText1"/>
        <w:rPr>
          <w:color w:val="808080" w:themeColor="background1" w:themeShade="80"/>
        </w:rPr>
      </w:pPr>
    </w:p>
    <w:p w:rsidR="00F46896" w:rsidRDefault="00F46896" w:rsidP="00F46896">
      <w:pPr>
        <w:pStyle w:val="BodyText1"/>
        <w:rPr>
          <w:color w:val="808080" w:themeColor="background1" w:themeShade="80"/>
        </w:rPr>
      </w:pPr>
    </w:p>
    <w:p w:rsidR="00F46896" w:rsidRDefault="00F46896" w:rsidP="00F46896">
      <w:pPr>
        <w:rPr>
          <w:rFonts w:ascii="Helvetica" w:hAnsi="Helvetica" w:cs="Helvetica"/>
          <w:color w:val="333333"/>
          <w:sz w:val="45"/>
          <w:szCs w:val="45"/>
          <w:lang w:eastAsia="en-GB"/>
        </w:rPr>
      </w:pPr>
      <w:r>
        <w:rPr>
          <w:rFonts w:ascii="Helvetica" w:hAnsi="Helvetica" w:cs="Helvetica"/>
          <w:b/>
          <w:bCs/>
          <w:color w:val="333333"/>
          <w:sz w:val="45"/>
          <w:szCs w:val="45"/>
        </w:rPr>
        <w:t>1.2.1 HMD Average change in </w:t>
      </w:r>
      <w:r>
        <w:rPr>
          <w:rStyle w:val="mi"/>
          <w:rFonts w:ascii="MathJax_Math-italic" w:hAnsi="MathJax_Math-italic" w:cs="Helvetica"/>
          <w:b/>
          <w:bCs/>
          <w:color w:val="333333"/>
          <w:sz w:val="54"/>
          <w:szCs w:val="54"/>
          <w:bdr w:val="none" w:sz="0" w:space="0" w:color="auto" w:frame="1"/>
        </w:rPr>
        <w:t>e</w:t>
      </w:r>
      <w:r>
        <w:rPr>
          <w:rStyle w:val="mn"/>
          <w:rFonts w:ascii="MathJax_Main" w:hAnsi="MathJax_Main" w:cs="Helvetica"/>
          <w:b/>
          <w:bCs/>
          <w:color w:val="333333"/>
          <w:sz w:val="38"/>
          <w:szCs w:val="38"/>
          <w:bdr w:val="none" w:sz="0" w:space="0" w:color="auto" w:frame="1"/>
        </w:rPr>
        <w:t>0</w:t>
      </w:r>
      <w:r>
        <w:rPr>
          <w:rFonts w:ascii="Helvetica" w:hAnsi="Helvetica" w:cs="Helvetica"/>
          <w:b/>
          <w:bCs/>
          <w:color w:val="333333"/>
          <w:sz w:val="45"/>
          <w:szCs w:val="45"/>
        </w:rPr>
        <w:t> by decade</w:t>
      </w:r>
    </w:p>
    <w:p w:rsidR="00F46896" w:rsidRDefault="00F46896" w:rsidP="00F46896">
      <w:pPr>
        <w:rPr>
          <w:rFonts w:ascii="inherit" w:hAnsi="inherit" w:cs="Helvetica"/>
          <w:b/>
          <w:bCs/>
          <w:color w:val="333333"/>
          <w:sz w:val="36"/>
          <w:szCs w:val="36"/>
        </w:rPr>
      </w:pPr>
      <w:r>
        <w:rPr>
          <w:rFonts w:ascii="inherit" w:hAnsi="inherit" w:cs="Helvetica"/>
          <w:b/>
          <w:bCs/>
          <w:color w:val="333333"/>
          <w:sz w:val="36"/>
          <w:szCs w:val="36"/>
        </w:rPr>
        <w:t>1.2.1.1 Figure of HMD Average change in </w:t>
      </w:r>
      <w:r>
        <w:rPr>
          <w:rStyle w:val="mi"/>
          <w:rFonts w:ascii="MathJax_Math-italic" w:hAnsi="MathJax_Math-italic" w:cs="Helvetica"/>
          <w:b/>
          <w:bCs/>
          <w:color w:val="333333"/>
          <w:sz w:val="43"/>
          <w:szCs w:val="43"/>
          <w:bdr w:val="none" w:sz="0" w:space="0" w:color="auto" w:frame="1"/>
        </w:rPr>
        <w:t>e</w:t>
      </w:r>
      <w:r>
        <w:rPr>
          <w:rStyle w:val="mn"/>
          <w:rFonts w:ascii="MathJax_Main" w:hAnsi="MathJax_Main" w:cs="Helvetica"/>
          <w:b/>
          <w:bCs/>
          <w:color w:val="333333"/>
          <w:sz w:val="31"/>
          <w:szCs w:val="31"/>
          <w:bdr w:val="none" w:sz="0" w:space="0" w:color="auto" w:frame="1"/>
        </w:rPr>
        <w:t>0</w:t>
      </w:r>
      <w:r>
        <w:rPr>
          <w:rFonts w:ascii="inherit" w:hAnsi="inherit" w:cs="Helvetica"/>
          <w:b/>
          <w:bCs/>
          <w:color w:val="333333"/>
          <w:sz w:val="36"/>
          <w:szCs w:val="36"/>
        </w:rPr>
        <w:t> by decade</w:t>
      </w:r>
    </w:p>
    <w:p w:rsidR="00F46896" w:rsidRDefault="00F46896" w:rsidP="00F46896">
      <w:pPr>
        <w:rPr>
          <w:rFonts w:ascii="Helvetica" w:hAnsi="Helvetica" w:cs="Helvetica"/>
          <w:color w:val="333333"/>
          <w:sz w:val="21"/>
          <w:szCs w:val="21"/>
        </w:rPr>
      </w:pPr>
    </w:p>
    <w:p w:rsidR="00F46896" w:rsidRDefault="00F46896" w:rsidP="00F46896">
      <w:pPr>
        <w:rPr>
          <w:rFonts w:ascii="inherit" w:hAnsi="inherit" w:cs="Helvetica"/>
          <w:color w:val="333333"/>
          <w:sz w:val="36"/>
          <w:szCs w:val="36"/>
        </w:rPr>
      </w:pPr>
      <w:r>
        <w:rPr>
          <w:rFonts w:ascii="inherit" w:hAnsi="inherit" w:cs="Helvetica"/>
          <w:b/>
          <w:bCs/>
          <w:color w:val="333333"/>
          <w:sz w:val="36"/>
          <w:szCs w:val="36"/>
        </w:rPr>
        <w:t>1.2.1.2 Table of HMD Average change in </w:t>
      </w:r>
      <w:r>
        <w:rPr>
          <w:rStyle w:val="mi"/>
          <w:rFonts w:ascii="MathJax_Math-italic" w:hAnsi="MathJax_Math-italic" w:cs="Helvetica"/>
          <w:b/>
          <w:bCs/>
          <w:color w:val="333333"/>
          <w:sz w:val="43"/>
          <w:szCs w:val="43"/>
          <w:bdr w:val="none" w:sz="0" w:space="0" w:color="auto" w:frame="1"/>
        </w:rPr>
        <w:t>e</w:t>
      </w:r>
      <w:r>
        <w:rPr>
          <w:rStyle w:val="mn"/>
          <w:rFonts w:ascii="MathJax_Main" w:hAnsi="MathJax_Main" w:cs="Helvetica"/>
          <w:b/>
          <w:bCs/>
          <w:color w:val="333333"/>
          <w:sz w:val="31"/>
          <w:szCs w:val="31"/>
          <w:bdr w:val="none" w:sz="0" w:space="0" w:color="auto" w:frame="1"/>
        </w:rPr>
        <w:t>0</w:t>
      </w:r>
      <w:r>
        <w:rPr>
          <w:rStyle w:val="mjxassistivemathml"/>
          <w:rFonts w:ascii="inherit" w:hAnsi="inherit" w:cs="Helvetica"/>
          <w:b/>
          <w:bCs/>
          <w:color w:val="333333"/>
          <w:sz w:val="36"/>
          <w:szCs w:val="36"/>
          <w:bdr w:val="none" w:sz="0" w:space="0" w:color="auto" w:frame="1"/>
        </w:rPr>
        <w:t>e0</w:t>
      </w:r>
      <w:r>
        <w:rPr>
          <w:rFonts w:ascii="inherit" w:hAnsi="inherit" w:cs="Helvetica"/>
          <w:b/>
          <w:bCs/>
          <w:color w:val="333333"/>
          <w:sz w:val="36"/>
          <w:szCs w:val="36"/>
        </w:rPr>
        <w:t> by decade</w:t>
      </w:r>
    </w:p>
    <w:tbl>
      <w:tblPr>
        <w:tblW w:w="8306" w:type="dxa"/>
        <w:tblCellMar>
          <w:top w:w="15" w:type="dxa"/>
          <w:left w:w="15" w:type="dxa"/>
          <w:bottom w:w="15" w:type="dxa"/>
          <w:right w:w="15" w:type="dxa"/>
        </w:tblCellMar>
        <w:tblLook w:val="04A0" w:firstRow="1" w:lastRow="0" w:firstColumn="1" w:lastColumn="0" w:noHBand="0" w:noVBand="1"/>
      </w:tblPr>
      <w:tblGrid>
        <w:gridCol w:w="922"/>
        <w:gridCol w:w="923"/>
        <w:gridCol w:w="923"/>
        <w:gridCol w:w="923"/>
        <w:gridCol w:w="923"/>
        <w:gridCol w:w="923"/>
        <w:gridCol w:w="923"/>
        <w:gridCol w:w="923"/>
        <w:gridCol w:w="923"/>
      </w:tblGrid>
      <w:tr w:rsidR="00F46896" w:rsidTr="005C7AE9">
        <w:trPr>
          <w:trHeight w:val="116"/>
          <w:tblHeader/>
        </w:trPr>
        <w:tc>
          <w:tcPr>
            <w:tcW w:w="0" w:type="auto"/>
            <w:tcBorders>
              <w:top w:val="nil"/>
            </w:tcBorders>
            <w:shd w:val="clear" w:color="auto" w:fill="auto"/>
            <w:tcMar>
              <w:top w:w="120" w:type="dxa"/>
              <w:left w:w="120" w:type="dxa"/>
              <w:bottom w:w="120" w:type="dxa"/>
              <w:right w:w="120" w:type="dxa"/>
            </w:tcMar>
            <w:vAlign w:val="bottom"/>
            <w:hideMark/>
          </w:tcPr>
          <w:p w:rsidR="00F46896" w:rsidRDefault="00F46896" w:rsidP="005C7AE9">
            <w:pPr>
              <w:rPr>
                <w:color w:val="333333"/>
              </w:rPr>
            </w:pPr>
          </w:p>
        </w:tc>
        <w:tc>
          <w:tcPr>
            <w:tcW w:w="0" w:type="auto"/>
            <w:gridSpan w:val="4"/>
            <w:tcBorders>
              <w:top w:val="nil"/>
            </w:tcBorders>
            <w:shd w:val="clear" w:color="auto" w:fill="auto"/>
            <w:tcMar>
              <w:top w:w="120" w:type="dxa"/>
              <w:left w:w="45" w:type="dxa"/>
              <w:bottom w:w="0" w:type="dxa"/>
              <w:right w:w="45" w:type="dxa"/>
            </w:tcMar>
            <w:vAlign w:val="bottom"/>
            <w:hideMark/>
          </w:tcPr>
          <w:p w:rsidR="00F46896" w:rsidRDefault="00F46896" w:rsidP="005C7AE9">
            <w:pPr>
              <w:spacing w:after="300"/>
              <w:jc w:val="center"/>
              <w:rPr>
                <w:b/>
                <w:bCs/>
                <w:szCs w:val="24"/>
              </w:rPr>
            </w:pPr>
            <w:r>
              <w:rPr>
                <w:b/>
                <w:bCs/>
              </w:rPr>
              <w:t>Female</w:t>
            </w:r>
          </w:p>
        </w:tc>
        <w:tc>
          <w:tcPr>
            <w:tcW w:w="0" w:type="auto"/>
            <w:gridSpan w:val="4"/>
            <w:tcBorders>
              <w:top w:val="nil"/>
            </w:tcBorders>
            <w:shd w:val="clear" w:color="auto" w:fill="auto"/>
            <w:tcMar>
              <w:top w:w="120" w:type="dxa"/>
              <w:left w:w="45" w:type="dxa"/>
              <w:bottom w:w="0" w:type="dxa"/>
              <w:right w:w="45" w:type="dxa"/>
            </w:tcMar>
            <w:vAlign w:val="bottom"/>
            <w:hideMark/>
          </w:tcPr>
          <w:p w:rsidR="00F46896" w:rsidRDefault="00F46896" w:rsidP="005C7AE9">
            <w:pPr>
              <w:spacing w:after="300"/>
              <w:jc w:val="center"/>
              <w:rPr>
                <w:b/>
                <w:bCs/>
              </w:rPr>
            </w:pPr>
            <w:r>
              <w:rPr>
                <w:b/>
                <w:bCs/>
              </w:rPr>
              <w:t>Male</w:t>
            </w:r>
          </w:p>
        </w:tc>
      </w:tr>
      <w:tr w:rsidR="00F46896" w:rsidTr="005C7AE9">
        <w:trPr>
          <w:trHeight w:val="116"/>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rPr>
                <w:b/>
                <w:bCs/>
              </w:rPr>
            </w:pPr>
            <w:r>
              <w:rPr>
                <w:b/>
                <w:bCs/>
              </w:rPr>
              <w:lastRenderedPageBreak/>
              <w:t>Country</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1980s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1990s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2000s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2010s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1980s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1990s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2000s</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rsidR="00F46896" w:rsidRDefault="00F46896" w:rsidP="005C7AE9">
            <w:pPr>
              <w:spacing w:after="300"/>
              <w:jc w:val="right"/>
              <w:rPr>
                <w:b/>
                <w:bCs/>
              </w:rPr>
            </w:pPr>
            <w:r>
              <w:rPr>
                <w:b/>
                <w:bCs/>
              </w:rPr>
              <w:t>2010s</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Australia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0.191</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Austria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0.328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0.235</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Belarus</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0.083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0.379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0.087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-0.454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0.613</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Belgium</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0.229</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Bulgaria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0.019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-0.018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-0.009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0.150</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Canada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0.176</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proofErr w:type="spellStart"/>
            <w:r>
              <w:t>Czechia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0.321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0.231</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Denmark</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0.064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0.090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0.301</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Estonia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0.069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0.392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-0.052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0.460</w:t>
            </w:r>
          </w:p>
        </w:tc>
      </w:tr>
      <w:tr w:rsidR="00F46896" w:rsidTr="005C7AE9">
        <w:trPr>
          <w:trHeight w:val="11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Finland</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0.274</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France</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0.109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0.211</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lastRenderedPageBreak/>
              <w:t>Germany</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0.101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0.165</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Greece</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0.109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0.240</w:t>
            </w:r>
          </w:p>
        </w:tc>
      </w:tr>
      <w:tr w:rsidR="00F46896" w:rsidTr="005C7AE9">
        <w:trPr>
          <w:trHeight w:val="713"/>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Hungary</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0.107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-0.031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0.345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0.305</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Iceland</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0.003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0.040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0.091</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Ireland</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0.355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0.423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0.305</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Israel</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0.147</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Italy</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0.324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0.276</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Japan</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0.199</w:t>
            </w:r>
          </w:p>
        </w:tc>
      </w:tr>
      <w:tr w:rsidR="00F46896" w:rsidTr="005C7AE9">
        <w:trPr>
          <w:trHeight w:val="713"/>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Latvia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-0.013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0.286</w:t>
            </w:r>
          </w:p>
        </w:tc>
      </w:tr>
      <w:tr w:rsidR="00F46896" w:rsidTr="005C7AE9">
        <w:trPr>
          <w:trHeight w:val="729"/>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Lithuania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0.064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0.073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-0.051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0.079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0.447</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Luxembourg</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0.386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0.180</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lastRenderedPageBreak/>
              <w:t>Netherlands</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0.086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0.053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0.067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0.321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0.191</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New Zealand</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0.357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0.320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0.302</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Norway</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0.074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0.268</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Poland</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0.078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0.319</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Portugal</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0.374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0.258</w:t>
            </w:r>
          </w:p>
        </w:tc>
      </w:tr>
      <w:tr w:rsidR="00F46896" w:rsidTr="005C7AE9">
        <w:trPr>
          <w:trHeight w:val="729"/>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Russia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0.340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-0.433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0.482</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Slovakia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0.113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0.011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0.254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0.296</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Slovenia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0.393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0.301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0.410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0.402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0.291</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Spain</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0.239</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Sweden</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0.190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0.144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0.099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0.174</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lastRenderedPageBreak/>
              <w:t>Switzerland</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0.203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0.285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0.271</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Taiwan</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0.173</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0.292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0.138</w:t>
            </w:r>
          </w:p>
        </w:tc>
      </w:tr>
      <w:tr w:rsidR="00F46896" w:rsidTr="005C7AE9">
        <w:trPr>
          <w:trHeight w:val="729"/>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Ukraine</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-0.158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0.338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-0.352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0.174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0.490</w:t>
            </w:r>
          </w:p>
        </w:tc>
      </w:tr>
      <w:tr w:rsidR="00F46896" w:rsidTr="005C7AE9">
        <w:trPr>
          <w:trHeight w:val="470"/>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United Kingdom</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0.168</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0.244</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0.091</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0.229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0.316</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0.164</w:t>
            </w:r>
          </w:p>
        </w:tc>
      </w:tr>
      <w:tr w:rsidR="00F46896" w:rsidTr="005C7AE9">
        <w:trPr>
          <w:trHeight w:val="486"/>
        </w:trPr>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pPr>
            <w:r>
              <w:t>USA</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0.120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0.079</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0.165</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0.047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0.180</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0.232</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0.217</w:t>
            </w:r>
          </w:p>
        </w:tc>
        <w:tc>
          <w:tcPr>
            <w:tcW w:w="0" w:type="auto"/>
            <w:tcBorders>
              <w:top w:val="single" w:sz="6" w:space="0" w:color="DDDDDD"/>
            </w:tcBorders>
            <w:shd w:val="clear" w:color="auto" w:fill="auto"/>
            <w:tcMar>
              <w:top w:w="120" w:type="dxa"/>
              <w:left w:w="120" w:type="dxa"/>
              <w:bottom w:w="120" w:type="dxa"/>
              <w:right w:w="120" w:type="dxa"/>
            </w:tcMar>
            <w:hideMark/>
          </w:tcPr>
          <w:p w:rsidR="00F46896" w:rsidRDefault="00F46896" w:rsidP="005C7AE9">
            <w:pPr>
              <w:spacing w:after="300"/>
              <w:jc w:val="right"/>
            </w:pPr>
            <w:r>
              <w:t>0.029</w:t>
            </w:r>
          </w:p>
        </w:tc>
      </w:tr>
      <w:tr w:rsidR="00F46896" w:rsidTr="005C7AE9">
        <w:trPr>
          <w:trHeight w:val="470"/>
        </w:trPr>
        <w:tc>
          <w:tcPr>
            <w:tcW w:w="0" w:type="auto"/>
            <w:tcBorders>
              <w:top w:val="nil"/>
              <w:left w:val="nil"/>
              <w:bottom w:val="nil"/>
              <w:right w:val="nil"/>
            </w:tcBorders>
            <w:shd w:val="clear" w:color="auto" w:fill="auto"/>
            <w:tcMar>
              <w:top w:w="0" w:type="dxa"/>
              <w:left w:w="0" w:type="dxa"/>
              <w:bottom w:w="0" w:type="dxa"/>
              <w:right w:w="0" w:type="dxa"/>
            </w:tcMar>
            <w:hideMark/>
          </w:tcPr>
          <w:p w:rsidR="00F46896" w:rsidRDefault="00F46896" w:rsidP="005C7AE9">
            <w:pPr>
              <w:spacing w:after="300"/>
            </w:pPr>
            <w:r>
              <w:rPr>
                <w:i/>
                <w:iCs/>
              </w:rPr>
              <w:t>Note:</w:t>
            </w: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r>
      <w:tr w:rsidR="00F46896" w:rsidTr="005C7AE9">
        <w:trPr>
          <w:trHeight w:val="1200"/>
        </w:trPr>
        <w:tc>
          <w:tcPr>
            <w:tcW w:w="0" w:type="auto"/>
            <w:tcBorders>
              <w:top w:val="nil"/>
              <w:left w:val="nil"/>
              <w:bottom w:val="nil"/>
              <w:right w:val="nil"/>
            </w:tcBorders>
            <w:shd w:val="clear" w:color="auto" w:fill="auto"/>
            <w:tcMar>
              <w:top w:w="0" w:type="dxa"/>
              <w:left w:w="0" w:type="dxa"/>
              <w:bottom w:w="0" w:type="dxa"/>
              <w:right w:w="0" w:type="dxa"/>
            </w:tcMar>
            <w:hideMark/>
          </w:tcPr>
          <w:p w:rsidR="00F46896" w:rsidRDefault="00F46896" w:rsidP="005C7AE9">
            <w:pPr>
              <w:spacing w:after="300"/>
            </w:pPr>
            <w:r>
              <w:t>Average annual change in life expectancy by decade, sex, and country</w:t>
            </w:r>
            <w:r>
              <w:br/>
            </w:r>
            <w:r>
              <w:br/>
              <w:t>NA: Not Available</w:t>
            </w: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c>
          <w:tcPr>
            <w:tcW w:w="0" w:type="auto"/>
            <w:shd w:val="clear" w:color="auto" w:fill="auto"/>
            <w:vAlign w:val="center"/>
            <w:hideMark/>
          </w:tcPr>
          <w:p w:rsidR="00F46896" w:rsidRDefault="00F46896" w:rsidP="005C7AE9">
            <w:pPr>
              <w:spacing w:after="300"/>
              <w:rPr>
                <w:sz w:val="20"/>
                <w:szCs w:val="20"/>
              </w:rPr>
            </w:pPr>
          </w:p>
        </w:tc>
      </w:tr>
    </w:tbl>
    <w:p w:rsidR="00B94561" w:rsidRPr="008A477A" w:rsidRDefault="00B94561" w:rsidP="005B74F1">
      <w:bookmarkStart w:id="0" w:name="_GoBack"/>
      <w:bookmarkEnd w:id="0"/>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53"/>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2F4353"/>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B74F1"/>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8CE"/>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46896"/>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0B00E4-7E31-4EBB-87CF-4FD5332F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6896"/>
    <w:pPr>
      <w:spacing w:after="160" w:line="259" w:lineRule="auto"/>
    </w:pPr>
    <w:rPr>
      <w:rFonts w:ascii="Arial" w:hAnsi="Arial"/>
      <w:sz w:val="24"/>
      <w:szCs w:val="22"/>
      <w:lang w:eastAsia="en-US"/>
    </w:rPr>
  </w:style>
  <w:style w:type="paragraph" w:styleId="Heading1">
    <w:name w:val="heading 1"/>
    <w:basedOn w:val="Normal"/>
    <w:next w:val="Normal"/>
    <w:link w:val="Heading1Char"/>
    <w:rsid w:val="00C05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F468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F46896"/>
    <w:rPr>
      <w:rFonts w:asciiTheme="majorHAnsi" w:eastAsiaTheme="majorEastAsia" w:hAnsiTheme="majorHAnsi" w:cstheme="majorBidi"/>
      <w:color w:val="365F91" w:themeColor="accent1" w:themeShade="BF"/>
      <w:sz w:val="26"/>
      <w:szCs w:val="26"/>
      <w:lang w:eastAsia="en-US"/>
    </w:rPr>
  </w:style>
  <w:style w:type="character" w:customStyle="1" w:styleId="mi">
    <w:name w:val="mi"/>
    <w:basedOn w:val="DefaultParagraphFont"/>
    <w:rsid w:val="00F46896"/>
  </w:style>
  <w:style w:type="character" w:customStyle="1" w:styleId="mn">
    <w:name w:val="mn"/>
    <w:basedOn w:val="DefaultParagraphFont"/>
    <w:rsid w:val="00F46896"/>
  </w:style>
  <w:style w:type="character" w:customStyle="1" w:styleId="mjxassistivemathml">
    <w:name w:val="mjx_assistive_mathml"/>
    <w:basedOn w:val="DefaultParagraphFont"/>
    <w:rsid w:val="00F46896"/>
  </w:style>
  <w:style w:type="paragraph" w:styleId="NormalWeb">
    <w:name w:val="Normal (Web)"/>
    <w:basedOn w:val="Normal"/>
    <w:uiPriority w:val="99"/>
    <w:unhideWhenUsed/>
    <w:rsid w:val="00F46896"/>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C058CE"/>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2020-01-08T14:08:00Z</dcterms:created>
  <dcterms:modified xsi:type="dcterms:W3CDTF">2020-01-08T14:28:00Z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895405</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