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35" w:rsidRDefault="00513935" w:rsidP="00513935">
      <w:pPr>
        <w:pStyle w:val="Heading2"/>
        <w:rPr>
          <w:color w:val="808080" w:themeColor="background1" w:themeShade="80"/>
        </w:rPr>
      </w:pPr>
      <w:r>
        <w:rPr>
          <w:color w:val="808080" w:themeColor="background1" w:themeShade="80"/>
        </w:rPr>
        <w:t xml:space="preserve">Change in life expectancy, UK and UK constituent nations </w:t>
      </w:r>
    </w:p>
    <w:p w:rsidR="00513935" w:rsidRDefault="00513935" w:rsidP="00513935">
      <w:pPr>
        <w:pStyle w:val="BodyText1"/>
        <w:rPr>
          <w:color w:val="808080" w:themeColor="background1" w:themeShade="80"/>
        </w:rPr>
      </w:pPr>
      <w:r w:rsidRPr="00C92456">
        <w:rPr>
          <w:color w:val="808080" w:themeColor="background1" w:themeShade="80"/>
        </w:rPr>
        <w:t xml:space="preserve">Secondly, we will calculate changes in life expectancy for each UK nation or group of nations, to see whether the slowdown is similar in magnitude and contemporaneous throughout UK populations; this will be supported by performing change-point analysis of annual life expectancy changes for each of these UK populations. </w:t>
      </w:r>
    </w:p>
    <w:p w:rsidR="00513935" w:rsidRDefault="00513935" w:rsidP="00513935">
      <w:pPr>
        <w:pStyle w:val="Heading1"/>
        <w:shd w:val="clear" w:color="auto" w:fill="FFFFFF"/>
        <w:spacing w:before="300" w:after="150"/>
        <w:rPr>
          <w:rFonts w:ascii="Helvetica" w:hAnsi="Helvetica" w:cs="Helvetica"/>
          <w:color w:val="333333"/>
          <w:sz w:val="51"/>
          <w:szCs w:val="51"/>
          <w:lang w:eastAsia="en-GB"/>
        </w:rPr>
      </w:pPr>
      <w:r>
        <w:rPr>
          <w:rFonts w:ascii="Helvetica" w:hAnsi="Helvetica" w:cs="Helvetica"/>
          <w:b/>
          <w:bCs/>
          <w:color w:val="333333"/>
          <w:sz w:val="51"/>
          <w:szCs w:val="51"/>
        </w:rPr>
        <w:t>2 Annual change rates in life expectancy in the UK as a whole and UK nations or groups of nations + change point analyses</w:t>
      </w:r>
    </w:p>
    <w:p w:rsidR="00513935" w:rsidRDefault="00513935" w:rsidP="00513935">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previous section used data from the HMD, comparing the UK as a whole against other countries in the HMD. The last year available for the UK in the HMD was 2016. More recent </w:t>
      </w:r>
      <w:r>
        <w:rPr>
          <w:rStyle w:val="mi"/>
          <w:rFonts w:ascii="MathJax_Math-italic" w:hAnsi="MathJax_Math-italic" w:cs="Helvetica"/>
          <w:color w:val="333333"/>
          <w:sz w:val="25"/>
          <w:szCs w:val="25"/>
          <w:bdr w:val="none" w:sz="0" w:space="0" w:color="auto" w:frame="1"/>
        </w:rPr>
        <w:t>e</w:t>
      </w:r>
      <w:r>
        <w:rPr>
          <w:rStyle w:val="mn"/>
          <w:rFonts w:ascii="MathJax_Main" w:hAnsi="MathJax_Main" w:cs="Helvetica"/>
          <w:color w:val="333333"/>
          <w:sz w:val="18"/>
          <w:szCs w:val="18"/>
          <w:bdr w:val="none" w:sz="0" w:space="0" w:color="auto" w:frame="1"/>
        </w:rPr>
        <w:t>0</w:t>
      </w:r>
      <w:r>
        <w:rPr>
          <w:rStyle w:val="mjxassistivemathml"/>
          <w:rFonts w:ascii="Helvetica" w:hAnsi="Helvetica" w:cs="Helvetica"/>
          <w:color w:val="333333"/>
          <w:sz w:val="21"/>
          <w:szCs w:val="21"/>
          <w:bdr w:val="none" w:sz="0" w:space="0" w:color="auto" w:frame="1"/>
        </w:rPr>
        <w:t>e0</w:t>
      </w:r>
      <w:r>
        <w:rPr>
          <w:rFonts w:ascii="Helvetica" w:hAnsi="Helvetica" w:cs="Helvetica"/>
          <w:color w:val="333333"/>
          <w:sz w:val="21"/>
          <w:szCs w:val="21"/>
        </w:rPr>
        <w:t> estimates are available from the ONS, which also provides estimates disaggregated by country and group of countries within the UK. We will use this data to explore how (dis)similar the trends in life expectancy change have been within different UK nations/groups of nations.</w:t>
      </w:r>
    </w:p>
    <w:p w:rsidR="00513935" w:rsidRDefault="00513935" w:rsidP="00513935">
      <w:pPr>
        <w:pStyle w:val="NormalWeb"/>
        <w:shd w:val="clear" w:color="auto" w:fill="FFFFFF"/>
        <w:spacing w:before="0" w:beforeAutospacing="0" w:after="0" w:afterAutospacing="0"/>
        <w:rPr>
          <w:rFonts w:ascii="Helvetica" w:hAnsi="Helvetica" w:cs="Helvetica"/>
          <w:color w:val="333333"/>
          <w:sz w:val="21"/>
          <w:szCs w:val="21"/>
        </w:rPr>
      </w:pPr>
    </w:p>
    <w:tbl>
      <w:tblPr>
        <w:tblW w:w="126" w:type="dxa"/>
        <w:tblCellMar>
          <w:top w:w="15" w:type="dxa"/>
          <w:left w:w="15" w:type="dxa"/>
          <w:bottom w:w="15" w:type="dxa"/>
          <w:right w:w="15" w:type="dxa"/>
        </w:tblCellMar>
        <w:tblLook w:val="04A0" w:firstRow="1" w:lastRow="0" w:firstColumn="1" w:lastColumn="0" w:noHBand="0" w:noVBand="1"/>
      </w:tblPr>
      <w:tblGrid>
        <w:gridCol w:w="126"/>
      </w:tblGrid>
      <w:tr w:rsidR="00513935" w:rsidTr="005C7AE9">
        <w:tc>
          <w:tcPr>
            <w:tcW w:w="0" w:type="auto"/>
            <w:shd w:val="clear" w:color="auto" w:fill="auto"/>
            <w:tcMar>
              <w:top w:w="0" w:type="dxa"/>
              <w:left w:w="60" w:type="dxa"/>
              <w:bottom w:w="0" w:type="dxa"/>
              <w:right w:w="60" w:type="dxa"/>
            </w:tcMar>
            <w:vAlign w:val="center"/>
            <w:hideMark/>
          </w:tcPr>
          <w:p w:rsidR="00513935" w:rsidRDefault="00513935" w:rsidP="005C7AE9">
            <w:pPr>
              <w:rPr>
                <w:color w:val="333333"/>
              </w:rPr>
            </w:pPr>
          </w:p>
        </w:tc>
      </w:tr>
    </w:tbl>
    <w:p w:rsidR="00513935" w:rsidRDefault="00513935" w:rsidP="00513935">
      <w:pPr>
        <w:shd w:val="clear" w:color="auto" w:fill="FFFFFF"/>
        <w:rPr>
          <w:rFonts w:ascii="Helvetica" w:hAnsi="Helvetica" w:cs="Helvetica"/>
          <w:vanish/>
          <w:color w:val="333333"/>
          <w:sz w:val="21"/>
          <w:szCs w:val="21"/>
        </w:rPr>
      </w:pPr>
    </w:p>
    <w:tbl>
      <w:tblPr>
        <w:tblW w:w="5223" w:type="dxa"/>
        <w:tblCellMar>
          <w:top w:w="15" w:type="dxa"/>
          <w:left w:w="15" w:type="dxa"/>
          <w:bottom w:w="15" w:type="dxa"/>
          <w:right w:w="15" w:type="dxa"/>
        </w:tblCellMar>
        <w:tblLook w:val="04A0" w:firstRow="1" w:lastRow="0" w:firstColumn="1" w:lastColumn="0" w:noHBand="0" w:noVBand="1"/>
      </w:tblPr>
      <w:tblGrid>
        <w:gridCol w:w="1918"/>
        <w:gridCol w:w="1046"/>
        <w:gridCol w:w="1213"/>
        <w:gridCol w:w="1046"/>
      </w:tblGrid>
      <w:tr w:rsidR="00513935" w:rsidTr="005C7AE9">
        <w:trPr>
          <w:trHeight w:val="892"/>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513935" w:rsidRDefault="00513935" w:rsidP="005C7AE9">
            <w:pPr>
              <w:rPr>
                <w:rFonts w:ascii="Times New Roman" w:hAnsi="Times New Roman"/>
                <w:b/>
                <w:bCs/>
                <w:szCs w:val="24"/>
              </w:rPr>
            </w:pPr>
            <w:r>
              <w:rPr>
                <w:b/>
                <w:bCs/>
              </w:rPr>
              <w:t>population</w:t>
            </w:r>
          </w:p>
          <w:p w:rsidR="00513935" w:rsidRDefault="00513935" w:rsidP="005C7AE9">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513935" w:rsidRDefault="00513935" w:rsidP="005C7AE9">
            <w:pPr>
              <w:jc w:val="right"/>
              <w:rPr>
                <w:b/>
                <w:bCs/>
              </w:rPr>
            </w:pPr>
            <w:r>
              <w:rPr>
                <w:b/>
                <w:bCs/>
              </w:rPr>
              <w:t>year</w:t>
            </w:r>
          </w:p>
          <w:p w:rsidR="00513935" w:rsidRDefault="00513935" w:rsidP="005C7AE9">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513935" w:rsidRDefault="00513935" w:rsidP="005C7AE9">
            <w:pPr>
              <w:rPr>
                <w:b/>
                <w:bCs/>
              </w:rPr>
            </w:pPr>
            <w:r>
              <w:rPr>
                <w:b/>
                <w:bCs/>
              </w:rPr>
              <w:t>sex</w:t>
            </w:r>
          </w:p>
          <w:p w:rsidR="00513935" w:rsidRDefault="00513935" w:rsidP="005C7AE9">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513935" w:rsidRDefault="00513935" w:rsidP="005C7AE9">
            <w:pPr>
              <w:jc w:val="right"/>
              <w:rPr>
                <w:b/>
                <w:bCs/>
              </w:rPr>
            </w:pPr>
            <w:r>
              <w:rPr>
                <w:b/>
                <w:bCs/>
              </w:rPr>
              <w:t>e0</w:t>
            </w:r>
          </w:p>
          <w:p w:rsidR="00513935" w:rsidRDefault="00513935" w:rsidP="005C7AE9">
            <w:pPr>
              <w:jc w:val="right"/>
              <w:rPr>
                <w:color w:val="999999"/>
              </w:rPr>
            </w:pPr>
            <w:r>
              <w:rPr>
                <w:color w:val="999999"/>
              </w:rPr>
              <w:t>&lt;</w:t>
            </w:r>
            <w:proofErr w:type="spellStart"/>
            <w:r>
              <w:rPr>
                <w:color w:val="999999"/>
              </w:rPr>
              <w:t>dbl</w:t>
            </w:r>
            <w:proofErr w:type="spellEnd"/>
            <w:r>
              <w:rPr>
                <w:color w:val="999999"/>
              </w:rPr>
              <w:t>&gt;</w:t>
            </w:r>
          </w:p>
        </w:tc>
      </w:tr>
      <w:tr w:rsidR="00513935" w:rsidTr="005C7AE9">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1980</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female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76.81</w:t>
            </w:r>
          </w:p>
        </w:tc>
      </w:tr>
      <w:tr w:rsidR="00513935" w:rsidTr="005C7AE9">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1980</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70.80</w:t>
            </w:r>
          </w:p>
        </w:tc>
      </w:tr>
      <w:tr w:rsidR="00513935" w:rsidTr="005C7AE9">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1981</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female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77.11</w:t>
            </w:r>
          </w:p>
        </w:tc>
      </w:tr>
      <w:tr w:rsidR="00513935" w:rsidTr="005C7AE9">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1981</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71.13</w:t>
            </w:r>
          </w:p>
        </w:tc>
      </w:tr>
      <w:tr w:rsidR="00513935" w:rsidTr="005C7AE9">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1982</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female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77.20</w:t>
            </w:r>
          </w:p>
        </w:tc>
        <w:bookmarkStart w:id="0" w:name="_GoBack"/>
        <w:bookmarkEnd w:id="0"/>
      </w:tr>
      <w:tr w:rsidR="00513935" w:rsidTr="005C7AE9">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1982</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71.29</w:t>
            </w:r>
          </w:p>
        </w:tc>
      </w:tr>
      <w:tr w:rsidR="00513935" w:rsidTr="005C7AE9">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1983</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female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77.45</w:t>
            </w:r>
          </w:p>
        </w:tc>
      </w:tr>
      <w:tr w:rsidR="00513935" w:rsidTr="005C7AE9">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1983</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71.54</w:t>
            </w:r>
          </w:p>
        </w:tc>
      </w:tr>
      <w:tr w:rsidR="00513935" w:rsidTr="005C7AE9">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lastRenderedPageBreak/>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1984</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female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77.79</w:t>
            </w:r>
          </w:p>
        </w:tc>
      </w:tr>
      <w:tr w:rsidR="00513935" w:rsidTr="005C7AE9">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England</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1984</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r>
              <w:t>male</w:t>
            </w:r>
          </w:p>
        </w:tc>
        <w:tc>
          <w:tcPr>
            <w:tcW w:w="0" w:type="auto"/>
            <w:tcBorders>
              <w:top w:val="single" w:sz="6" w:space="0" w:color="DDDDDD"/>
            </w:tcBorders>
            <w:shd w:val="clear" w:color="auto" w:fill="auto"/>
            <w:tcMar>
              <w:top w:w="75" w:type="dxa"/>
              <w:left w:w="75" w:type="dxa"/>
              <w:bottom w:w="75" w:type="dxa"/>
              <w:right w:w="75" w:type="dxa"/>
            </w:tcMar>
            <w:hideMark/>
          </w:tcPr>
          <w:p w:rsidR="00513935" w:rsidRDefault="00513935" w:rsidP="005C7AE9">
            <w:pPr>
              <w:jc w:val="right"/>
            </w:pPr>
            <w:r>
              <w:t>71.95</w:t>
            </w:r>
          </w:p>
        </w:tc>
      </w:tr>
    </w:tbl>
    <w:p w:rsidR="00513935" w:rsidRDefault="00513935" w:rsidP="00513935">
      <w:pPr>
        <w:rPr>
          <w:rFonts w:ascii="inherit" w:hAnsi="inherit" w:cs="Helvetica"/>
          <w:color w:val="333333"/>
          <w:sz w:val="45"/>
          <w:szCs w:val="45"/>
        </w:rPr>
      </w:pPr>
      <w:r>
        <w:rPr>
          <w:rFonts w:ascii="inherit" w:hAnsi="inherit" w:cs="Helvetica"/>
          <w:b/>
          <w:bCs/>
          <w:color w:val="333333"/>
          <w:sz w:val="45"/>
          <w:szCs w:val="45"/>
        </w:rPr>
        <w:t>2.2 Analysis</w:t>
      </w:r>
    </w:p>
    <w:p w:rsidR="00513935" w:rsidRDefault="00513935" w:rsidP="00513935">
      <w:pPr>
        <w:rPr>
          <w:rFonts w:ascii="inherit" w:hAnsi="inherit" w:cs="Helvetica"/>
          <w:b/>
          <w:bCs/>
          <w:color w:val="333333"/>
          <w:sz w:val="36"/>
          <w:szCs w:val="36"/>
        </w:rPr>
      </w:pPr>
      <w:r>
        <w:rPr>
          <w:rFonts w:ascii="inherit" w:hAnsi="inherit" w:cs="Helvetica"/>
          <w:b/>
          <w:bCs/>
          <w:color w:val="333333"/>
          <w:sz w:val="36"/>
          <w:szCs w:val="36"/>
        </w:rPr>
        <w:t>2.2.1 Change in life expectancy in UK nations and groups of nations</w:t>
      </w:r>
    </w:p>
    <w:p w:rsidR="00513935" w:rsidRDefault="00513935" w:rsidP="00513935">
      <w:pPr>
        <w:rPr>
          <w:rFonts w:ascii="inherit" w:hAnsi="inherit" w:cs="Helvetica"/>
          <w:b/>
          <w:bCs/>
          <w:color w:val="333333"/>
          <w:sz w:val="27"/>
          <w:szCs w:val="27"/>
        </w:rPr>
      </w:pPr>
      <w:r>
        <w:rPr>
          <w:rFonts w:ascii="inherit" w:hAnsi="inherit" w:cs="Helvetica"/>
          <w:b/>
          <w:bCs/>
          <w:color w:val="333333"/>
          <w:sz w:val="27"/>
          <w:szCs w:val="27"/>
        </w:rPr>
        <w:t>2.2.1.1 Figure of change in life expectancy in UK nations and groups of nations</w:t>
      </w:r>
    </w:p>
    <w:p w:rsidR="00513935" w:rsidRDefault="00513935" w:rsidP="0051393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Visualise the life expectancy and change in life expectancy for each year</w:t>
      </w:r>
    </w:p>
    <w:p w:rsidR="00513935" w:rsidRDefault="00513935" w:rsidP="00513935">
      <w:pPr>
        <w:pStyle w:val="NormalWeb"/>
        <w:shd w:val="clear" w:color="auto" w:fill="FFFFFF"/>
        <w:spacing w:before="0" w:beforeAutospacing="0" w:after="150" w:afterAutospacing="0"/>
        <w:rPr>
          <w:rFonts w:ascii="Helvetica" w:hAnsi="Helvetica" w:cs="Helvetica"/>
          <w:color w:val="333333"/>
          <w:sz w:val="21"/>
          <w:szCs w:val="21"/>
        </w:rPr>
      </w:pPr>
    </w:p>
    <w:p w:rsidR="00513935" w:rsidRDefault="00513935" w:rsidP="0051393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From the above it seems most populations have seen a slowdown in improvement in recent years, and on average relatively stable improvements previously, with the exception of Northern Ireland, which saw a slowdown in improvement in the 1980s. The smaller populations tend to exhibit greater variability in annual rates of change than the larger populations. The extent of oscillation (negative autocorrelation from one year to the next) also appears greater in smaller populations. It is not immediately clear that the breakpoint for the slowdown is the same for all UK populations.</w:t>
      </w:r>
    </w:p>
    <w:p w:rsidR="00513935" w:rsidRDefault="00513935" w:rsidP="0051393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expected, the ONS and HMD estimates of mean improvement per decade are closely aligned, usually within two decimal places, though are somewhat lower in the 2010s for ONS than for HMD:</w:t>
      </w:r>
    </w:p>
    <w:p w:rsidR="00513935" w:rsidRDefault="00513935" w:rsidP="0051393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022954FD" wp14:editId="06AE11E1">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513935" w:rsidRDefault="00513935" w:rsidP="00513935">
      <w:pPr>
        <w:pStyle w:val="NormalWeb"/>
        <w:shd w:val="clear" w:color="auto" w:fill="FFFFFF"/>
        <w:spacing w:before="0" w:beforeAutospacing="0" w:after="150" w:afterAutospacing="0"/>
        <w:rPr>
          <w:rFonts w:ascii="Helvetica" w:hAnsi="Helvetica" w:cs="Helvetica"/>
          <w:color w:val="333333"/>
          <w:sz w:val="21"/>
          <w:szCs w:val="21"/>
        </w:rPr>
      </w:pPr>
    </w:p>
    <w:p w:rsidR="00513935" w:rsidRDefault="00513935" w:rsidP="0051393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each UK nation, the 2000s had exceptionally high rates of improvement. By contrast the 2010s are exceptionally low. Within Northern Ireland, there was an exceptionally high rate of improvement in the 1980s. Rates of improvement in the 2000s have been higher in the 2000s in males than females.</w:t>
      </w:r>
    </w:p>
    <w:p w:rsidR="00513935" w:rsidRDefault="00513935" w:rsidP="00513935">
      <w:pPr>
        <w:pStyle w:val="Heading4"/>
        <w:shd w:val="clear" w:color="auto" w:fill="FFFFFF"/>
        <w:spacing w:before="150" w:after="150"/>
        <w:rPr>
          <w:rFonts w:ascii="inherit" w:hAnsi="inherit" w:cs="Helvetica"/>
          <w:b/>
          <w:bCs/>
          <w:color w:val="333333"/>
          <w:sz w:val="27"/>
          <w:szCs w:val="27"/>
        </w:rPr>
      </w:pPr>
    </w:p>
    <w:p w:rsidR="00513935" w:rsidRDefault="00513935" w:rsidP="00513935">
      <w:pPr>
        <w:pStyle w:val="NormalWeb"/>
        <w:shd w:val="clear" w:color="auto" w:fill="FFFFFF"/>
        <w:spacing w:before="0" w:beforeAutospacing="0" w:after="150" w:afterAutospacing="0"/>
        <w:rPr>
          <w:rFonts w:ascii="Helvetica" w:hAnsi="Helvetica" w:cs="Helvetica"/>
          <w:color w:val="333333"/>
          <w:sz w:val="21"/>
          <w:szCs w:val="21"/>
        </w:rPr>
      </w:pPr>
    </w:p>
    <w:sectPr w:rsidR="005139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41A"/>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3935"/>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4641A"/>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0314"/>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2E5E7C-4C6D-4238-9BA5-3CE5183E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3935"/>
    <w:pPr>
      <w:spacing w:after="160" w:line="259" w:lineRule="auto"/>
    </w:pPr>
    <w:rPr>
      <w:rFonts w:ascii="Arial" w:hAnsi="Arial"/>
      <w:sz w:val="24"/>
      <w:szCs w:val="22"/>
      <w:lang w:eastAsia="en-US"/>
    </w:rPr>
  </w:style>
  <w:style w:type="paragraph" w:styleId="Heading1">
    <w:name w:val="heading 1"/>
    <w:basedOn w:val="Normal"/>
    <w:next w:val="Normal"/>
    <w:link w:val="Heading1Char"/>
    <w:rsid w:val="005139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5139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semiHidden/>
    <w:unhideWhenUsed/>
    <w:qFormat/>
    <w:rsid w:val="0051393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1Char">
    <w:name w:val="Heading 1 Char"/>
    <w:basedOn w:val="DefaultParagraphFont"/>
    <w:link w:val="Heading1"/>
    <w:rsid w:val="00513935"/>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rsid w:val="00513935"/>
    <w:rPr>
      <w:rFonts w:asciiTheme="majorHAnsi" w:eastAsiaTheme="majorEastAsia" w:hAnsiTheme="majorHAnsi" w:cstheme="majorBidi"/>
      <w:color w:val="365F91" w:themeColor="accent1" w:themeShade="BF"/>
      <w:sz w:val="26"/>
      <w:szCs w:val="26"/>
      <w:lang w:eastAsia="en-US"/>
    </w:rPr>
  </w:style>
  <w:style w:type="character" w:customStyle="1" w:styleId="Heading4Char">
    <w:name w:val="Heading 4 Char"/>
    <w:basedOn w:val="DefaultParagraphFont"/>
    <w:link w:val="Heading4"/>
    <w:semiHidden/>
    <w:rsid w:val="00513935"/>
    <w:rPr>
      <w:rFonts w:asciiTheme="majorHAnsi" w:eastAsiaTheme="majorEastAsia" w:hAnsiTheme="majorHAnsi" w:cstheme="majorBidi"/>
      <w:i/>
      <w:iCs/>
      <w:color w:val="365F91" w:themeColor="accent1" w:themeShade="BF"/>
      <w:sz w:val="24"/>
      <w:szCs w:val="22"/>
      <w:lang w:eastAsia="en-US"/>
    </w:rPr>
  </w:style>
  <w:style w:type="character" w:customStyle="1" w:styleId="mi">
    <w:name w:val="mi"/>
    <w:basedOn w:val="DefaultParagraphFont"/>
    <w:rsid w:val="00513935"/>
  </w:style>
  <w:style w:type="character" w:customStyle="1" w:styleId="mn">
    <w:name w:val="mn"/>
    <w:basedOn w:val="DefaultParagraphFont"/>
    <w:rsid w:val="00513935"/>
  </w:style>
  <w:style w:type="character" w:customStyle="1" w:styleId="mjxassistivemathml">
    <w:name w:val="mjx_assistive_mathml"/>
    <w:basedOn w:val="DefaultParagraphFont"/>
    <w:rsid w:val="00513935"/>
  </w:style>
  <w:style w:type="paragraph" w:styleId="NormalWeb">
    <w:name w:val="Normal (Web)"/>
    <w:basedOn w:val="Normal"/>
    <w:uiPriority w:val="99"/>
    <w:unhideWhenUsed/>
    <w:rsid w:val="00513935"/>
    <w:pPr>
      <w:spacing w:before="100" w:beforeAutospacing="1" w:after="100" w:afterAutospacing="1" w:line="240" w:lineRule="auto"/>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384</Words>
  <Characters>2195</Characters>
  <Application>Microsoft Office Word</Application>
  <DocSecurity>0</DocSecurity>
  <Lines>18</Lines>
  <Paragraphs>5</Paragraphs>
  <ScaleCrop>false</ScaleCrop>
  <Company>NHS HealthScotland</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2020-01-08T14:09:00Z</dcterms:created>
  <dcterms:modified xsi:type="dcterms:W3CDTF">2020-01-08T14:40:00Z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895406</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