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3F2D" w:rsidRDefault="00423F2D" w:rsidP="00423F2D">
      <w:pPr>
        <w:pStyle w:val="BodyText1"/>
      </w:pPr>
      <w:r>
        <w:rPr>
          <w:noProof/>
          <w:color w:val="808080" w:themeColor="background1" w:themeShade="80"/>
        </w:rPr>
        <w:drawing>
          <wp:inline distT="0" distB="0" distL="0" distR="0" wp14:anchorId="06AE0AE1" wp14:editId="5DE40545">
            <wp:extent cx="5274310" cy="52743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named-chunk-8-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rsidR="00423F2D" w:rsidRDefault="00423F2D" w:rsidP="00423F2D">
      <w:pPr>
        <w:pStyle w:val="BodyText1"/>
      </w:pPr>
    </w:p>
    <w:p w:rsidR="00423F2D" w:rsidRDefault="00423F2D" w:rsidP="00423F2D">
      <w:pPr>
        <w:rPr>
          <w:rFonts w:ascii="inherit" w:hAnsi="inherit" w:cs="Helvetica"/>
          <w:color w:val="333333"/>
          <w:sz w:val="36"/>
          <w:szCs w:val="36"/>
        </w:rPr>
      </w:pPr>
      <w:r>
        <w:rPr>
          <w:rFonts w:ascii="inherit" w:hAnsi="inherit" w:cs="Helvetica"/>
          <w:b/>
          <w:bCs/>
          <w:color w:val="333333"/>
          <w:sz w:val="36"/>
          <w:szCs w:val="36"/>
        </w:rPr>
        <w:t>1.2.1.3 Annual change in slow gainers since 1980</w:t>
      </w:r>
    </w:p>
    <w:p w:rsidR="00423F2D" w:rsidRDefault="00423F2D" w:rsidP="00423F2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There are some important differences, however, in how annual change rates have varied in the </w:t>
      </w:r>
      <w:proofErr w:type="spellStart"/>
      <w:r>
        <w:rPr>
          <w:rFonts w:ascii="Helvetica" w:hAnsi="Helvetica" w:cs="Helvetica"/>
          <w:color w:val="333333"/>
          <w:sz w:val="21"/>
          <w:szCs w:val="21"/>
        </w:rPr>
        <w:t>the</w:t>
      </w:r>
      <w:proofErr w:type="spellEnd"/>
      <w:r>
        <w:rPr>
          <w:rFonts w:ascii="Helvetica" w:hAnsi="Helvetica" w:cs="Helvetica"/>
          <w:color w:val="333333"/>
          <w:sz w:val="21"/>
          <w:szCs w:val="21"/>
        </w:rPr>
        <w:t xml:space="preserve"> slowest-improving countries. Figure X shows this for the five slowest-improving countries excluding Iceland, which due to its small population size shows much greater levels of annual variability than the other countries. From this figure it is apparent that the USA not only tended to show lower rates of improvement before 2010, but has also been exhibiting continuing and more persistent declines than the other countries, with three consecutive years of declining mortality for males in the last three available years, and only modest improvements for females.</w:t>
      </w:r>
    </w:p>
    <w:p w:rsidR="00423F2D" w:rsidRDefault="00423F2D" w:rsidP="00423F2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14:anchorId="0FAB165D" wp14:editId="3185AFA6">
            <wp:extent cx="5274310" cy="52743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named-chunk-10-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rsidR="00423F2D" w:rsidRPr="008A477A" w:rsidRDefault="00423F2D" w:rsidP="00423F2D">
      <w:pPr>
        <w:pStyle w:val="BodyText1"/>
      </w:pPr>
    </w:p>
    <w:p w:rsidR="00423F2D" w:rsidRPr="008A477A" w:rsidRDefault="00423F2D" w:rsidP="00423F2D">
      <w:pPr>
        <w:pStyle w:val="BodyText1"/>
      </w:pPr>
    </w:p>
    <w:tbl>
      <w:tblPr>
        <w:tblW w:w="4106" w:type="dxa"/>
        <w:tblCellMar>
          <w:top w:w="15" w:type="dxa"/>
          <w:left w:w="15" w:type="dxa"/>
          <w:bottom w:w="15" w:type="dxa"/>
          <w:right w:w="15" w:type="dxa"/>
        </w:tblCellMar>
        <w:tblLook w:val="04A0" w:firstRow="1" w:lastRow="0" w:firstColumn="1" w:lastColumn="0" w:noHBand="0" w:noVBand="1"/>
      </w:tblPr>
      <w:tblGrid>
        <w:gridCol w:w="747"/>
        <w:gridCol w:w="1325"/>
        <w:gridCol w:w="1017"/>
        <w:gridCol w:w="1017"/>
      </w:tblGrid>
      <w:tr w:rsidR="00423F2D" w:rsidTr="00997069">
        <w:trPr>
          <w:trHeight w:val="904"/>
          <w:tblHeader/>
        </w:trPr>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rsidR="00423F2D" w:rsidRDefault="00423F2D" w:rsidP="00997069">
            <w:pPr>
              <w:spacing w:after="300"/>
              <w:rPr>
                <w:rFonts w:ascii="Times New Roman" w:hAnsi="Times New Roman"/>
                <w:b/>
                <w:bCs/>
                <w:szCs w:val="24"/>
              </w:rPr>
            </w:pPr>
            <w:r>
              <w:rPr>
                <w:b/>
                <w:bCs/>
              </w:rPr>
              <w:t>sex</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rsidR="00423F2D" w:rsidRDefault="00423F2D" w:rsidP="00997069">
            <w:pPr>
              <w:spacing w:after="300"/>
              <w:rPr>
                <w:b/>
                <w:bCs/>
              </w:rPr>
            </w:pPr>
            <w:r>
              <w:rPr>
                <w:b/>
                <w:bCs/>
              </w:rPr>
              <w:t>decade</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rsidR="00423F2D" w:rsidRDefault="00423F2D" w:rsidP="00997069">
            <w:pPr>
              <w:spacing w:after="300"/>
              <w:rPr>
                <w:b/>
                <w:bCs/>
              </w:rPr>
            </w:pPr>
            <w:r>
              <w:rPr>
                <w:b/>
                <w:bCs/>
              </w:rPr>
              <w:t>HMD</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rsidR="00423F2D" w:rsidRDefault="00423F2D" w:rsidP="00997069">
            <w:pPr>
              <w:spacing w:after="300"/>
              <w:rPr>
                <w:b/>
                <w:bCs/>
              </w:rPr>
            </w:pPr>
            <w:r>
              <w:rPr>
                <w:b/>
                <w:bCs/>
              </w:rPr>
              <w:t>ONS</w:t>
            </w:r>
          </w:p>
        </w:tc>
      </w:tr>
      <w:tr w:rsidR="00423F2D" w:rsidTr="00997069">
        <w:trPr>
          <w:trHeight w:val="936"/>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spacing w:after="300"/>
            </w:pPr>
            <w:r>
              <w:t>f</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spacing w:after="300"/>
            </w:pPr>
            <w:r>
              <w:t>80s</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spacing w:after="300"/>
            </w:pPr>
            <w:r>
              <w:t>0.168</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spacing w:after="300"/>
            </w:pPr>
            <w:r>
              <w:t>0.168</w:t>
            </w:r>
          </w:p>
        </w:tc>
      </w:tr>
      <w:tr w:rsidR="00423F2D" w:rsidTr="00997069">
        <w:trPr>
          <w:trHeight w:val="904"/>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spacing w:after="300"/>
            </w:pPr>
            <w:r>
              <w:t>f</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spacing w:after="300"/>
            </w:pPr>
            <w:r>
              <w:t>90s</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spacing w:after="300"/>
            </w:pPr>
            <w:r>
              <w:t>0.168</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spacing w:after="300"/>
            </w:pPr>
            <w:r>
              <w:t>0.170</w:t>
            </w:r>
          </w:p>
        </w:tc>
      </w:tr>
      <w:tr w:rsidR="00423F2D" w:rsidTr="00997069">
        <w:trPr>
          <w:trHeight w:val="904"/>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spacing w:after="300"/>
            </w:pPr>
            <w:r>
              <w:lastRenderedPageBreak/>
              <w:t>f</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spacing w:after="300"/>
            </w:pPr>
            <w:r>
              <w:t>00s</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spacing w:after="300"/>
            </w:pPr>
            <w:r>
              <w:t>0.244</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spacing w:after="300"/>
            </w:pPr>
            <w:r>
              <w:t>0.241</w:t>
            </w:r>
          </w:p>
        </w:tc>
      </w:tr>
      <w:tr w:rsidR="00423F2D" w:rsidTr="00997069">
        <w:trPr>
          <w:trHeight w:val="904"/>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spacing w:after="300"/>
            </w:pPr>
            <w:r>
              <w:t>f</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spacing w:after="300"/>
            </w:pPr>
            <w:r>
              <w:t>10s</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spacing w:after="300"/>
            </w:pPr>
            <w:r>
              <w:t>0.091</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spacing w:after="300"/>
            </w:pPr>
            <w:r>
              <w:t>0.080</w:t>
            </w:r>
          </w:p>
        </w:tc>
      </w:tr>
      <w:tr w:rsidR="00423F2D" w:rsidTr="00997069">
        <w:trPr>
          <w:trHeight w:val="904"/>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spacing w:after="300"/>
            </w:pPr>
            <w:r>
              <w:t>m</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spacing w:after="300"/>
            </w:pPr>
            <w:r>
              <w:t>80s</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spacing w:after="300"/>
            </w:pPr>
            <w:r>
              <w:t>0.229</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spacing w:after="300"/>
            </w:pPr>
            <w:r>
              <w:t>0.230</w:t>
            </w:r>
          </w:p>
        </w:tc>
      </w:tr>
      <w:tr w:rsidR="00423F2D" w:rsidTr="00997069">
        <w:trPr>
          <w:trHeight w:val="904"/>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spacing w:after="300"/>
            </w:pPr>
            <w:r>
              <w:t>m</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spacing w:after="300"/>
            </w:pPr>
            <w:r>
              <w:t>90s</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spacing w:after="300"/>
            </w:pPr>
            <w:r>
              <w:t>0.229</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spacing w:after="300"/>
            </w:pPr>
            <w:r>
              <w:t>0.232</w:t>
            </w:r>
          </w:p>
        </w:tc>
      </w:tr>
      <w:tr w:rsidR="00423F2D" w:rsidTr="00997069">
        <w:trPr>
          <w:trHeight w:val="904"/>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spacing w:after="300"/>
            </w:pPr>
            <w:r>
              <w:t>m</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spacing w:after="300"/>
            </w:pPr>
            <w:r>
              <w:t>00s</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spacing w:after="300"/>
            </w:pPr>
            <w:r>
              <w:t>0.319</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spacing w:after="300"/>
            </w:pPr>
            <w:r>
              <w:t>0.313</w:t>
            </w:r>
          </w:p>
        </w:tc>
      </w:tr>
      <w:tr w:rsidR="00423F2D" w:rsidTr="00997069">
        <w:trPr>
          <w:trHeight w:val="904"/>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spacing w:after="300"/>
            </w:pPr>
            <w:r>
              <w:t>m</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spacing w:after="300"/>
            </w:pPr>
            <w:r>
              <w:t>10s</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spacing w:after="300"/>
            </w:pPr>
            <w:r>
              <w:t>0.164</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spacing w:after="300"/>
            </w:pPr>
            <w:r>
              <w:t>0.131</w:t>
            </w:r>
          </w:p>
        </w:tc>
      </w:tr>
    </w:tbl>
    <w:p w:rsidR="00423F2D" w:rsidRDefault="00423F2D" w:rsidP="00423F2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Let’s now present this as a </w:t>
      </w:r>
      <w:proofErr w:type="spellStart"/>
      <w:r>
        <w:rPr>
          <w:rFonts w:ascii="Helvetica" w:hAnsi="Helvetica" w:cs="Helvetica"/>
          <w:color w:val="333333"/>
          <w:sz w:val="21"/>
          <w:szCs w:val="21"/>
        </w:rPr>
        <w:t>barplot</w:t>
      </w:r>
      <w:proofErr w:type="spellEnd"/>
    </w:p>
    <w:p w:rsidR="00423F2D" w:rsidRDefault="00423F2D" w:rsidP="00423F2D">
      <w:pPr>
        <w:pStyle w:val="BodyText1"/>
      </w:pPr>
    </w:p>
    <w:p w:rsidR="00423F2D" w:rsidRDefault="00423F2D" w:rsidP="00423F2D">
      <w:pPr>
        <w:pStyle w:val="BodyText1"/>
      </w:pPr>
      <w:r>
        <w:rPr>
          <w:rFonts w:ascii="inherit" w:hAnsi="inherit" w:cs="Helvetica"/>
          <w:b/>
          <w:bCs/>
          <w:noProof/>
          <w:color w:val="333333"/>
          <w:sz w:val="27"/>
          <w:szCs w:val="27"/>
        </w:rPr>
        <w:lastRenderedPageBreak/>
        <w:drawing>
          <wp:inline distT="0" distB="0" distL="0" distR="0" wp14:anchorId="288FE80C" wp14:editId="33C5E090">
            <wp:extent cx="5274310" cy="52743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chunk-18-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rsidR="00423F2D" w:rsidRDefault="00423F2D" w:rsidP="00423F2D">
      <w:pPr>
        <w:pStyle w:val="BodyText1"/>
      </w:pPr>
    </w:p>
    <w:p w:rsidR="00423F2D" w:rsidRDefault="00423F2D" w:rsidP="00423F2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There are clear similarities between the trends in each of the UK nations, again with the exception of Northern Ireland. The trends even seem to correspond in terms of which years are ‘good years’ and which years are ‘bad years’ (i.e. they oscillate in phase with each other). To check this let’s look at the correlation between the trends.</w:t>
      </w:r>
    </w:p>
    <w:p w:rsidR="00423F2D" w:rsidRDefault="00423F2D" w:rsidP="00423F2D">
      <w:pPr>
        <w:shd w:val="clear" w:color="auto" w:fill="FFFFFF"/>
        <w:rPr>
          <w:rFonts w:ascii="Helvetica" w:hAnsi="Helvetica" w:cs="Helvetica"/>
          <w:color w:val="333333"/>
          <w:sz w:val="21"/>
          <w:szCs w:val="21"/>
        </w:rPr>
      </w:pPr>
    </w:p>
    <w:tbl>
      <w:tblPr>
        <w:tblW w:w="0" w:type="dxa"/>
        <w:tblCellMar>
          <w:top w:w="15" w:type="dxa"/>
          <w:left w:w="15" w:type="dxa"/>
          <w:bottom w:w="15" w:type="dxa"/>
          <w:right w:w="15" w:type="dxa"/>
        </w:tblCellMar>
        <w:tblLook w:val="04A0" w:firstRow="1" w:lastRow="0" w:firstColumn="1" w:lastColumn="0" w:noHBand="0" w:noVBand="1"/>
      </w:tblPr>
      <w:tblGrid>
        <w:gridCol w:w="126"/>
      </w:tblGrid>
      <w:tr w:rsidR="00423F2D" w:rsidTr="00997069">
        <w:tc>
          <w:tcPr>
            <w:tcW w:w="0" w:type="auto"/>
            <w:shd w:val="clear" w:color="auto" w:fill="auto"/>
            <w:tcMar>
              <w:top w:w="0" w:type="dxa"/>
              <w:left w:w="60" w:type="dxa"/>
              <w:bottom w:w="0" w:type="dxa"/>
              <w:right w:w="60" w:type="dxa"/>
            </w:tcMar>
            <w:vAlign w:val="center"/>
            <w:hideMark/>
          </w:tcPr>
          <w:p w:rsidR="00423F2D" w:rsidRDefault="00423F2D" w:rsidP="00997069">
            <w:pPr>
              <w:shd w:val="clear" w:color="auto" w:fill="FFFFFF"/>
              <w:rPr>
                <w:rFonts w:ascii="Helvetica" w:hAnsi="Helvetica" w:cs="Helvetica"/>
                <w:color w:val="333333"/>
                <w:sz w:val="21"/>
                <w:szCs w:val="21"/>
              </w:rPr>
            </w:pPr>
          </w:p>
        </w:tc>
      </w:tr>
    </w:tbl>
    <w:p w:rsidR="00423F2D" w:rsidRDefault="00423F2D" w:rsidP="00423F2D">
      <w:pPr>
        <w:shd w:val="clear" w:color="auto" w:fill="FFFFFF"/>
        <w:rPr>
          <w:rFonts w:ascii="Helvetica" w:hAnsi="Helvetica" w:cs="Helvetica"/>
          <w:vanish/>
          <w:color w:val="333333"/>
          <w:sz w:val="21"/>
          <w:szCs w:val="21"/>
        </w:rPr>
      </w:pPr>
    </w:p>
    <w:tbl>
      <w:tblPr>
        <w:tblW w:w="8148" w:type="dxa"/>
        <w:tblCellMar>
          <w:top w:w="15" w:type="dxa"/>
          <w:left w:w="15" w:type="dxa"/>
          <w:bottom w:w="15" w:type="dxa"/>
          <w:right w:w="15" w:type="dxa"/>
        </w:tblCellMar>
        <w:tblLook w:val="04A0" w:firstRow="1" w:lastRow="0" w:firstColumn="1" w:lastColumn="0" w:noHBand="0" w:noVBand="1"/>
      </w:tblPr>
      <w:tblGrid>
        <w:gridCol w:w="2131"/>
        <w:gridCol w:w="1991"/>
        <w:gridCol w:w="1778"/>
        <w:gridCol w:w="2092"/>
        <w:gridCol w:w="156"/>
      </w:tblGrid>
      <w:tr w:rsidR="00423F2D" w:rsidTr="00997069">
        <w:trPr>
          <w:trHeight w:val="902"/>
          <w:tblHeader/>
        </w:trPr>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423F2D" w:rsidRDefault="00423F2D" w:rsidP="00997069">
            <w:pPr>
              <w:rPr>
                <w:rFonts w:ascii="Times New Roman" w:hAnsi="Times New Roman"/>
                <w:b/>
                <w:bCs/>
                <w:szCs w:val="24"/>
              </w:rPr>
            </w:pPr>
            <w:proofErr w:type="spellStart"/>
            <w:r>
              <w:rPr>
                <w:b/>
                <w:bCs/>
              </w:rPr>
              <w:t>rowname</w:t>
            </w:r>
            <w:proofErr w:type="spellEnd"/>
          </w:p>
          <w:p w:rsidR="00423F2D" w:rsidRDefault="00423F2D" w:rsidP="00997069">
            <w:pPr>
              <w:rPr>
                <w:color w:val="999999"/>
              </w:rPr>
            </w:pPr>
            <w:r>
              <w:rPr>
                <w:color w:val="999999"/>
              </w:rPr>
              <w:t>&lt;</w:t>
            </w:r>
            <w:proofErr w:type="spellStart"/>
            <w:r>
              <w:rPr>
                <w:color w:val="999999"/>
              </w:rPr>
              <w:t>chr</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423F2D" w:rsidRDefault="00423F2D" w:rsidP="00997069">
            <w:pPr>
              <w:jc w:val="right"/>
              <w:rPr>
                <w:b/>
                <w:bCs/>
              </w:rPr>
            </w:pPr>
            <w:proofErr w:type="spellStart"/>
            <w:r>
              <w:rPr>
                <w:b/>
                <w:bCs/>
              </w:rPr>
              <w:t>England_female</w:t>
            </w:r>
            <w:proofErr w:type="spellEnd"/>
          </w:p>
          <w:p w:rsidR="00423F2D" w:rsidRDefault="00423F2D" w:rsidP="00997069">
            <w:pPr>
              <w:jc w:val="right"/>
              <w:rPr>
                <w:color w:val="999999"/>
              </w:rPr>
            </w:pPr>
            <w:r>
              <w:rPr>
                <w:color w:val="999999"/>
              </w:rPr>
              <w:t>&lt;</w:t>
            </w:r>
            <w:proofErr w:type="spellStart"/>
            <w:r>
              <w:rPr>
                <w:color w:val="999999"/>
              </w:rPr>
              <w:t>dbl</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423F2D" w:rsidRDefault="00423F2D" w:rsidP="00997069">
            <w:pPr>
              <w:jc w:val="right"/>
              <w:rPr>
                <w:b/>
                <w:bCs/>
              </w:rPr>
            </w:pPr>
            <w:proofErr w:type="spellStart"/>
            <w:r>
              <w:rPr>
                <w:b/>
                <w:bCs/>
              </w:rPr>
              <w:t>England_male</w:t>
            </w:r>
            <w:proofErr w:type="spellEnd"/>
          </w:p>
          <w:p w:rsidR="00423F2D" w:rsidRDefault="00423F2D" w:rsidP="00997069">
            <w:pPr>
              <w:jc w:val="right"/>
              <w:rPr>
                <w:color w:val="999999"/>
              </w:rPr>
            </w:pPr>
            <w:r>
              <w:rPr>
                <w:color w:val="999999"/>
              </w:rPr>
              <w:t>&lt;</w:t>
            </w:r>
            <w:proofErr w:type="spellStart"/>
            <w:r>
              <w:rPr>
                <w:color w:val="999999"/>
              </w:rPr>
              <w:t>dbl</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423F2D" w:rsidRDefault="00423F2D" w:rsidP="00997069">
            <w:pPr>
              <w:jc w:val="right"/>
              <w:rPr>
                <w:b/>
                <w:bCs/>
              </w:rPr>
            </w:pPr>
            <w:r>
              <w:rPr>
                <w:b/>
                <w:bCs/>
              </w:rPr>
              <w:t xml:space="preserve">Northern </w:t>
            </w:r>
            <w:proofErr w:type="spellStart"/>
            <w:r>
              <w:rPr>
                <w:b/>
                <w:bCs/>
              </w:rPr>
              <w:t>Ireland_female</w:t>
            </w:r>
            <w:proofErr w:type="spellEnd"/>
          </w:p>
          <w:p w:rsidR="00423F2D" w:rsidRDefault="00423F2D" w:rsidP="00997069">
            <w:pPr>
              <w:jc w:val="right"/>
              <w:rPr>
                <w:color w:val="999999"/>
              </w:rPr>
            </w:pPr>
            <w:r>
              <w:rPr>
                <w:color w:val="999999"/>
              </w:rPr>
              <w:t>&lt;</w:t>
            </w:r>
            <w:proofErr w:type="spellStart"/>
            <w:r>
              <w:rPr>
                <w:color w:val="999999"/>
              </w:rPr>
              <w:t>dbl</w:t>
            </w:r>
            <w:proofErr w:type="spellEnd"/>
            <w:r>
              <w:rPr>
                <w:color w:val="999999"/>
              </w:rPr>
              <w:t>&gt;</w:t>
            </w:r>
          </w:p>
        </w:tc>
        <w:tc>
          <w:tcPr>
            <w:tcW w:w="96" w:type="dxa"/>
            <w:tcBorders>
              <w:top w:val="nil"/>
              <w:left w:val="nil"/>
              <w:bottom w:val="single" w:sz="12" w:space="0" w:color="DDDDDD"/>
              <w:right w:val="nil"/>
            </w:tcBorders>
            <w:shd w:val="clear" w:color="auto" w:fill="auto"/>
            <w:tcMar>
              <w:top w:w="75" w:type="dxa"/>
              <w:left w:w="75" w:type="dxa"/>
              <w:bottom w:w="75" w:type="dxa"/>
              <w:right w:w="75" w:type="dxa"/>
            </w:tcMar>
            <w:vAlign w:val="center"/>
            <w:hideMark/>
          </w:tcPr>
          <w:p w:rsidR="00423F2D" w:rsidRDefault="00423F2D" w:rsidP="00997069">
            <w:pPr>
              <w:jc w:val="right"/>
              <w:rPr>
                <w:color w:val="999999"/>
              </w:rPr>
            </w:pPr>
          </w:p>
        </w:tc>
      </w:tr>
      <w:tr w:rsidR="00423F2D" w:rsidTr="00997069">
        <w:trPr>
          <w:trHeight w:val="441"/>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rPr>
                <w:szCs w:val="24"/>
              </w:rPr>
            </w:pPr>
            <w:proofErr w:type="spellStart"/>
            <w:r>
              <w:t>England_female</w:t>
            </w:r>
            <w:proofErr w:type="spellEnd"/>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rPr>
                <w:i/>
                <w:iCs/>
              </w:rPr>
            </w:pPr>
            <w:r>
              <w:rPr>
                <w:i/>
                <w:iCs/>
              </w:rPr>
              <w:t>NA</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0.8948164</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0.5202739</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p>
        </w:tc>
      </w:tr>
      <w:tr w:rsidR="00423F2D" w:rsidTr="00997069">
        <w:trPr>
          <w:trHeight w:val="461"/>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rPr>
                <w:szCs w:val="24"/>
              </w:rPr>
            </w:pPr>
            <w:proofErr w:type="spellStart"/>
            <w:r>
              <w:t>England_male</w:t>
            </w:r>
            <w:proofErr w:type="spellEnd"/>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0.8948164</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rPr>
                <w:i/>
                <w:iCs/>
              </w:rPr>
            </w:pPr>
            <w:r>
              <w:rPr>
                <w:i/>
                <w:iCs/>
              </w:rPr>
              <w:t>NA</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0.5633628</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p>
        </w:tc>
      </w:tr>
      <w:tr w:rsidR="00423F2D" w:rsidTr="00997069">
        <w:trPr>
          <w:trHeight w:val="441"/>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rPr>
                <w:szCs w:val="24"/>
              </w:rPr>
            </w:pPr>
            <w:r>
              <w:lastRenderedPageBreak/>
              <w:t xml:space="preserve">Northern </w:t>
            </w:r>
            <w:proofErr w:type="spellStart"/>
            <w:r>
              <w:t>Ireland_female</w:t>
            </w:r>
            <w:proofErr w:type="spellEnd"/>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0.5202739</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0.5633628</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rPr>
                <w:i/>
                <w:iCs/>
              </w:rPr>
            </w:pPr>
            <w:r>
              <w:rPr>
                <w:i/>
                <w:iCs/>
              </w:rPr>
              <w:t>NA</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rPr>
                <w:i/>
                <w:iCs/>
              </w:rPr>
            </w:pPr>
          </w:p>
        </w:tc>
      </w:tr>
      <w:tr w:rsidR="00423F2D" w:rsidTr="00997069">
        <w:trPr>
          <w:trHeight w:val="441"/>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rPr>
                <w:szCs w:val="24"/>
              </w:rPr>
            </w:pPr>
            <w:r>
              <w:t xml:space="preserve">Northern </w:t>
            </w:r>
            <w:proofErr w:type="spellStart"/>
            <w:r>
              <w:t>Ireland_male</w:t>
            </w:r>
            <w:proofErr w:type="spellEnd"/>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0.4978847</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0.5355912</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0.5540548</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p>
        </w:tc>
      </w:tr>
      <w:tr w:rsidR="00423F2D" w:rsidTr="00997069">
        <w:trPr>
          <w:trHeight w:val="441"/>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rPr>
                <w:szCs w:val="24"/>
              </w:rPr>
            </w:pPr>
            <w:proofErr w:type="spellStart"/>
            <w:r>
              <w:t>Scotland_female</w:t>
            </w:r>
            <w:proofErr w:type="spellEnd"/>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0.7748321</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0.6215946</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0.3588286</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p>
        </w:tc>
      </w:tr>
      <w:tr w:rsidR="00423F2D" w:rsidTr="00997069">
        <w:trPr>
          <w:trHeight w:val="441"/>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rPr>
                <w:szCs w:val="24"/>
              </w:rPr>
            </w:pPr>
            <w:proofErr w:type="spellStart"/>
            <w:r>
              <w:t>Scotland_male</w:t>
            </w:r>
            <w:proofErr w:type="spellEnd"/>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0.6337257</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0.6817908</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0.4110520</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p>
        </w:tc>
      </w:tr>
      <w:tr w:rsidR="00423F2D" w:rsidTr="00997069">
        <w:trPr>
          <w:trHeight w:val="441"/>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rPr>
                <w:szCs w:val="24"/>
              </w:rPr>
            </w:pPr>
            <w:proofErr w:type="spellStart"/>
            <w:r>
              <w:t>Wales_female</w:t>
            </w:r>
            <w:proofErr w:type="spellEnd"/>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0.8082490</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0.6682959</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0.3316528</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p>
        </w:tc>
      </w:tr>
      <w:tr w:rsidR="00423F2D" w:rsidTr="00997069">
        <w:trPr>
          <w:trHeight w:val="441"/>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rPr>
                <w:szCs w:val="24"/>
              </w:rPr>
            </w:pPr>
            <w:proofErr w:type="spellStart"/>
            <w:r>
              <w:t>Wales_male</w:t>
            </w:r>
            <w:proofErr w:type="spellEnd"/>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0.6785138</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0.6435823</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0.3780715</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p>
        </w:tc>
      </w:tr>
    </w:tbl>
    <w:p w:rsidR="00423F2D" w:rsidRDefault="00423F2D" w:rsidP="00423F2D">
      <w:pPr>
        <w:shd w:val="clear" w:color="auto" w:fill="FFFFFF"/>
        <w:rPr>
          <w:rFonts w:ascii="Helvetica" w:hAnsi="Helvetica" w:cs="Helvetica"/>
          <w:color w:val="999999"/>
          <w:sz w:val="21"/>
          <w:szCs w:val="21"/>
        </w:rPr>
      </w:pPr>
      <w:r>
        <w:rPr>
          <w:rFonts w:ascii="Helvetica" w:hAnsi="Helvetica" w:cs="Helvetica"/>
          <w:color w:val="999999"/>
          <w:sz w:val="21"/>
          <w:szCs w:val="21"/>
        </w:rPr>
        <w:t>8 rows | 1-4 of 9 columns</w:t>
      </w:r>
    </w:p>
    <w:p w:rsidR="00423F2D" w:rsidRDefault="00423F2D" w:rsidP="00423F2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4944C3BC" wp14:editId="6E15F1D0">
            <wp:extent cx="5274310" cy="37674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named-chunk-2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767455"/>
                    </a:xfrm>
                    <a:prstGeom prst="rect">
                      <a:avLst/>
                    </a:prstGeom>
                  </pic:spPr>
                </pic:pic>
              </a:graphicData>
            </a:graphic>
          </wp:inline>
        </w:drawing>
      </w:r>
    </w:p>
    <w:p w:rsidR="00423F2D" w:rsidRDefault="00423F2D" w:rsidP="00423F2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14:anchorId="5AEAB5B1" wp14:editId="79492E53">
            <wp:extent cx="5274310" cy="37674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named-chunk-2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767455"/>
                    </a:xfrm>
                    <a:prstGeom prst="rect">
                      <a:avLst/>
                    </a:prstGeom>
                  </pic:spPr>
                </pic:pic>
              </a:graphicData>
            </a:graphic>
          </wp:inline>
        </w:drawing>
      </w:r>
    </w:p>
    <w:p w:rsidR="00423F2D" w:rsidRDefault="00423F2D" w:rsidP="00423F2D">
      <w:pPr>
        <w:pStyle w:val="NormalWeb"/>
        <w:shd w:val="clear" w:color="auto" w:fill="FFFFFF"/>
        <w:spacing w:before="0" w:beforeAutospacing="0" w:after="150" w:afterAutospacing="0"/>
        <w:rPr>
          <w:rFonts w:ascii="Helvetica" w:hAnsi="Helvetica" w:cs="Helvetica"/>
          <w:color w:val="333333"/>
          <w:sz w:val="21"/>
          <w:szCs w:val="21"/>
        </w:rPr>
      </w:pPr>
    </w:p>
    <w:p w:rsidR="00423F2D" w:rsidRDefault="00423F2D" w:rsidP="00423F2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Trends in males and females in England are highly correlated (r = 0.89). The correlation between male and female trends in Wales are also strong (r = 0.77), which is slightly below the correlation between females in England and Wales (r = 0.81). Correlations between males and females in Scotland are slightly weaker (r = 0.67), and the associations between sexes are weakest in Northern Ireland (r = 0.55).</w:t>
      </w:r>
    </w:p>
    <w:p w:rsidR="00423F2D" w:rsidRDefault="00423F2D" w:rsidP="00423F2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network plot places series that are more correlated with each other closer together, and less correlated series further from each other. This confirms that males’ and females’ trends are closely correlated to each other in England and Wales, somewhat less so in Scotland, and least in Northern Ireland, where trends between sexes are less correlated with each other than are the correlations between countries elsewhere in the UK.</w:t>
      </w:r>
    </w:p>
    <w:p w:rsidR="00423F2D" w:rsidRDefault="00423F2D" w:rsidP="00423F2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This suggests that any general trends which apply throughout the UK will apply less strongly in Northern Ireland than elsewhere. This should be considered when looking at the results in the next section, which aims to identify if and when there have been breakpoints in the trends in UK nations.</w:t>
      </w:r>
    </w:p>
    <w:p w:rsidR="00913759" w:rsidRDefault="00913759" w:rsidP="00913759">
      <w:pPr>
        <w:pStyle w:val="BodyText1"/>
      </w:pPr>
      <w:r>
        <w:t>Older projections that had to be uprated [to do]</w:t>
      </w:r>
    </w:p>
    <w:p w:rsidR="00913759" w:rsidRDefault="00913759" w:rsidP="00913759">
      <w:pPr>
        <w:rPr>
          <w:rFonts w:ascii="inherit" w:hAnsi="inherit" w:cs="Helvetica"/>
          <w:color w:val="333333"/>
          <w:sz w:val="45"/>
          <w:szCs w:val="45"/>
        </w:rPr>
      </w:pPr>
      <w:r>
        <w:rPr>
          <w:rFonts w:ascii="inherit" w:hAnsi="inherit" w:cs="Helvetica"/>
          <w:b/>
          <w:bCs/>
          <w:color w:val="333333"/>
          <w:sz w:val="45"/>
          <w:szCs w:val="45"/>
        </w:rPr>
        <w:t>3.2 Visualise projections</w:t>
      </w:r>
    </w:p>
    <w:p w:rsidR="00913759" w:rsidRDefault="00913759" w:rsidP="00913759">
      <w:pPr>
        <w:rPr>
          <w:rFonts w:ascii="inherit" w:hAnsi="inherit" w:cs="Helvetica"/>
          <w:b/>
          <w:bCs/>
          <w:color w:val="333333"/>
          <w:sz w:val="36"/>
          <w:szCs w:val="36"/>
        </w:rPr>
      </w:pPr>
      <w:r>
        <w:rPr>
          <w:rFonts w:ascii="inherit" w:hAnsi="inherit" w:cs="Helvetica"/>
          <w:b/>
          <w:bCs/>
          <w:color w:val="333333"/>
          <w:sz w:val="36"/>
          <w:szCs w:val="36"/>
        </w:rPr>
        <w:t>3.2.1 Change in projections</w:t>
      </w:r>
    </w:p>
    <w:p w:rsidR="00913759" w:rsidRDefault="00913759" w:rsidP="00913759">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How do the projections (e0 at birth) change over time between countries?</w:t>
      </w:r>
    </w:p>
    <w:p w:rsidR="00913759" w:rsidRDefault="00913759" w:rsidP="00913759">
      <w:pPr>
        <w:pStyle w:val="NormalWeb"/>
        <w:shd w:val="clear" w:color="auto" w:fill="FFFFFF"/>
        <w:spacing w:before="0" w:beforeAutospacing="0" w:after="150" w:afterAutospacing="0"/>
        <w:rPr>
          <w:rFonts w:ascii="Helvetica" w:hAnsi="Helvetica" w:cs="Helvetica"/>
          <w:color w:val="333333"/>
          <w:sz w:val="21"/>
          <w:szCs w:val="21"/>
        </w:rPr>
      </w:pPr>
    </w:p>
    <w:p w:rsidR="00913759" w:rsidRDefault="00913759" w:rsidP="00913759">
      <w:pPr>
        <w:pStyle w:val="BodyText1"/>
        <w:keepNext/>
      </w:pPr>
      <w:r>
        <w:rPr>
          <w:noProof/>
        </w:rPr>
        <w:lastRenderedPageBreak/>
        <w:drawing>
          <wp:inline distT="0" distB="0" distL="0" distR="0" wp14:anchorId="263AF020" wp14:editId="3E1AD218">
            <wp:extent cx="5273675" cy="5273675"/>
            <wp:effectExtent l="0" t="0" r="3175" b="3175"/>
            <wp:docPr id="20" name="Picture 20" descr="X:\mortality_trends\repos\Bayes_Factor_Slowdown\bayes_paper\figures\R4A01_ons_life_expectancy_proj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mortality_trends\repos\Bayes_Factor_Slowdown\bayes_paper\figures\R4A01_ons_life_expectancy_projection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3675" cy="5273675"/>
                    </a:xfrm>
                    <a:prstGeom prst="rect">
                      <a:avLst/>
                    </a:prstGeom>
                    <a:noFill/>
                    <a:ln>
                      <a:noFill/>
                    </a:ln>
                  </pic:spPr>
                </pic:pic>
              </a:graphicData>
            </a:graphic>
          </wp:inline>
        </w:drawing>
      </w:r>
    </w:p>
    <w:p w:rsidR="00913759" w:rsidRDefault="00913759" w:rsidP="00913759">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ONS life expectancy projections at birth, 2012 to 2018 revisions</w:t>
      </w:r>
    </w:p>
    <w:p w:rsidR="00913759" w:rsidRDefault="00913759" w:rsidP="00913759">
      <w:pPr>
        <w:pStyle w:val="NormalWeb"/>
        <w:shd w:val="clear" w:color="auto" w:fill="FFFFFF"/>
        <w:spacing w:before="0" w:beforeAutospacing="0" w:after="150" w:afterAutospacing="0"/>
        <w:rPr>
          <w:rFonts w:ascii="Helvetica" w:hAnsi="Helvetica" w:cs="Helvetica"/>
          <w:color w:val="333333"/>
          <w:sz w:val="21"/>
          <w:szCs w:val="21"/>
        </w:rPr>
      </w:pPr>
    </w:p>
    <w:p w:rsidR="00913759" w:rsidRDefault="00913759" w:rsidP="00913759">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So, the projections involve adding varying numbers of increments of 0.1 life expectancy gain per year. Values within these intervals are created by changing the numbers of years of 0.2, 0.1 and 0.0 gain.</w:t>
      </w:r>
    </w:p>
    <w:p w:rsidR="00913759" w:rsidRDefault="00913759" w:rsidP="00913759">
      <w:pPr>
        <w:rPr>
          <w:rFonts w:ascii="inherit" w:hAnsi="inherit" w:cs="Helvetica"/>
          <w:color w:val="333333"/>
          <w:sz w:val="36"/>
          <w:szCs w:val="36"/>
        </w:rPr>
      </w:pPr>
      <w:r>
        <w:rPr>
          <w:rFonts w:ascii="inherit" w:hAnsi="inherit" w:cs="Helvetica"/>
          <w:b/>
          <w:bCs/>
          <w:color w:val="333333"/>
          <w:sz w:val="36"/>
          <w:szCs w:val="36"/>
        </w:rPr>
        <w:t>3.2.2 Change in projections - annual increases</w:t>
      </w:r>
    </w:p>
    <w:p w:rsidR="00913759" w:rsidRDefault="00913759" w:rsidP="00913759">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For each of these projections, what’s the implied expected improvement level?</w:t>
      </w:r>
    </w:p>
    <w:p w:rsidR="00913759" w:rsidRDefault="00913759" w:rsidP="00913759">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14:anchorId="25FAADB9" wp14:editId="1CE7653B">
            <wp:extent cx="5274310" cy="37674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named-chunk-34-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767455"/>
                    </a:xfrm>
                    <a:prstGeom prst="rect">
                      <a:avLst/>
                    </a:prstGeom>
                  </pic:spPr>
                </pic:pic>
              </a:graphicData>
            </a:graphic>
          </wp:inline>
        </w:drawing>
      </w:r>
    </w:p>
    <w:p w:rsidR="00913759" w:rsidRDefault="00913759" w:rsidP="00913759">
      <w:pPr>
        <w:pStyle w:val="NormalWeb"/>
        <w:shd w:val="clear" w:color="auto" w:fill="FFFFFF"/>
        <w:spacing w:before="0" w:beforeAutospacing="0" w:after="150" w:afterAutospacing="0"/>
        <w:rPr>
          <w:rFonts w:ascii="Helvetica" w:hAnsi="Helvetica" w:cs="Helvetica"/>
          <w:color w:val="333333"/>
          <w:sz w:val="21"/>
          <w:szCs w:val="21"/>
        </w:rPr>
      </w:pPr>
    </w:p>
    <w:p w:rsidR="00913759" w:rsidRDefault="00913759" w:rsidP="00913759">
      <w:pPr>
        <w:pStyle w:val="BodyText1"/>
      </w:pPr>
    </w:p>
    <w:p w:rsidR="00913759" w:rsidRDefault="00913759" w:rsidP="00913759">
      <w:pPr>
        <w:shd w:val="clear" w:color="auto" w:fill="FFFFFF"/>
        <w:rPr>
          <w:rFonts w:ascii="Helvetica" w:hAnsi="Helvetica" w:cs="Helvetica"/>
          <w:vanish/>
          <w:color w:val="333333"/>
          <w:sz w:val="21"/>
          <w:szCs w:val="21"/>
        </w:rPr>
      </w:pPr>
    </w:p>
    <w:p w:rsidR="00913759" w:rsidRDefault="00913759" w:rsidP="00913759">
      <w:pPr>
        <w:pStyle w:val="NormalWeb"/>
        <w:shd w:val="clear" w:color="auto" w:fill="FFFFFF"/>
        <w:spacing w:before="0" w:beforeAutospacing="0" w:after="150" w:afterAutospacing="0"/>
        <w:rPr>
          <w:rFonts w:ascii="Helvetica" w:hAnsi="Helvetica" w:cs="Helvetica"/>
          <w:color w:val="333333"/>
          <w:sz w:val="21"/>
          <w:szCs w:val="21"/>
        </w:rPr>
      </w:pPr>
    </w:p>
    <w:p w:rsidR="00913759" w:rsidRDefault="00913759" w:rsidP="00913759">
      <w:pPr>
        <w:rPr>
          <w:rFonts w:ascii="inherit" w:hAnsi="inherit" w:cs="Helvetica"/>
          <w:b/>
          <w:bCs/>
          <w:color w:val="333333"/>
          <w:sz w:val="36"/>
          <w:szCs w:val="36"/>
        </w:rPr>
      </w:pPr>
      <w:r>
        <w:rPr>
          <w:rFonts w:ascii="inherit" w:hAnsi="inherit" w:cs="Helvetica"/>
          <w:b/>
          <w:bCs/>
          <w:color w:val="333333"/>
          <w:sz w:val="36"/>
          <w:szCs w:val="36"/>
        </w:rPr>
        <w:t>3.2.3 Projections at all ages</w:t>
      </w:r>
    </w:p>
    <w:p w:rsidR="00913759" w:rsidRDefault="00913759" w:rsidP="00913759">
      <w:r>
        <w:rPr>
          <w:noProof/>
          <w:lang w:eastAsia="en-GB"/>
        </w:rPr>
        <w:lastRenderedPageBreak/>
        <w:drawing>
          <wp:inline distT="0" distB="0" distL="0" distR="0" wp14:anchorId="742345CC" wp14:editId="08399A40">
            <wp:extent cx="5274310" cy="37674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named-chunk-35-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767455"/>
                    </a:xfrm>
                    <a:prstGeom prst="rect">
                      <a:avLst/>
                    </a:prstGeom>
                  </pic:spPr>
                </pic:pic>
              </a:graphicData>
            </a:graphic>
          </wp:inline>
        </w:drawing>
      </w:r>
    </w:p>
    <w:p w:rsidR="00913759" w:rsidRPr="004B370A" w:rsidRDefault="00913759" w:rsidP="00913759">
      <w:r>
        <w:rPr>
          <w:noProof/>
          <w:lang w:eastAsia="en-GB"/>
        </w:rPr>
        <w:drawing>
          <wp:inline distT="0" distB="0" distL="0" distR="0" wp14:anchorId="24DF3589" wp14:editId="221589A9">
            <wp:extent cx="5274310" cy="376745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named-chunk-36-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767455"/>
                    </a:xfrm>
                    <a:prstGeom prst="rect">
                      <a:avLst/>
                    </a:prstGeom>
                  </pic:spPr>
                </pic:pic>
              </a:graphicData>
            </a:graphic>
          </wp:inline>
        </w:drawing>
      </w:r>
    </w:p>
    <w:p w:rsidR="00913759" w:rsidRDefault="00913759" w:rsidP="00913759">
      <w:pPr>
        <w:rPr>
          <w:rFonts w:ascii="inherit" w:hAnsi="inherit" w:cs="Helvetica"/>
          <w:b/>
          <w:bCs/>
          <w:color w:val="333333"/>
          <w:sz w:val="36"/>
          <w:szCs w:val="36"/>
        </w:rPr>
      </w:pPr>
      <w:r>
        <w:rPr>
          <w:rFonts w:ascii="inherit" w:hAnsi="inherit" w:cs="Helvetica"/>
          <w:b/>
          <w:bCs/>
          <w:color w:val="333333"/>
          <w:sz w:val="36"/>
          <w:szCs w:val="36"/>
        </w:rPr>
        <w:t>3.2.4 Change in projections at all ages</w:t>
      </w:r>
    </w:p>
    <w:p w:rsidR="00913759" w:rsidRDefault="00913759" w:rsidP="00913759">
      <w:r>
        <w:rPr>
          <w:noProof/>
          <w:lang w:eastAsia="en-GB"/>
        </w:rPr>
        <w:lastRenderedPageBreak/>
        <w:drawing>
          <wp:inline distT="0" distB="0" distL="0" distR="0" wp14:anchorId="2F4ED769" wp14:editId="7EAAA7C4">
            <wp:extent cx="5274310" cy="37674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named-chunk-37-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767455"/>
                    </a:xfrm>
                    <a:prstGeom prst="rect">
                      <a:avLst/>
                    </a:prstGeom>
                  </pic:spPr>
                </pic:pic>
              </a:graphicData>
            </a:graphic>
          </wp:inline>
        </w:drawing>
      </w:r>
    </w:p>
    <w:p w:rsidR="00423F2D" w:rsidRPr="008A477A" w:rsidRDefault="00423F2D" w:rsidP="00423F2D">
      <w:pPr>
        <w:pStyle w:val="BodyText1"/>
      </w:pPr>
    </w:p>
    <w:p w:rsidR="00423F2D" w:rsidRPr="008A477A" w:rsidRDefault="00423F2D" w:rsidP="00423F2D">
      <w:pPr>
        <w:pStyle w:val="BodyText1"/>
      </w:pPr>
    </w:p>
    <w:p w:rsidR="00423F2D" w:rsidRDefault="00423F2D" w:rsidP="00423F2D">
      <w:pPr>
        <w:pStyle w:val="Heading1"/>
      </w:pPr>
      <w:r>
        <w:t>R3.A Breakpoint analysis</w:t>
      </w:r>
    </w:p>
    <w:p w:rsidR="00423F2D" w:rsidRPr="003309C3" w:rsidRDefault="00423F2D" w:rsidP="00423F2D">
      <w:r w:rsidRPr="003309C3">
        <w:t xml:space="preserve">This appendix shows results of running breakpoint analysis on UK and constituent nation annual life expectancy change data from </w:t>
      </w:r>
      <w:r w:rsidRPr="00702A6E">
        <w:t>the ONS single year lifetables. The R package segmented was used</w:t>
      </w:r>
      <w:r w:rsidRPr="003309C3">
        <w:t xml:space="preserve">. </w:t>
      </w:r>
      <w:r>
        <w:fldChar w:fldCharType="begin"/>
      </w:r>
      <w:r>
        <w:instrText>ADDIN F1000_CSL_CITATION&lt;~#@#~&gt;[{"title":"Estimating regression models with unknown break-points.","id":"4670132","page":"3055-3071","type":"article-journal","volume":"22","issue":"19","author":[{"family":"Muggeo","given":"Vito M R"}],"issued":{"date-parts":[["2003","10","15"]]},"container-title":"Statistics in Medicine","container-title-short":"Stat. Med.","journalAbbreviation":"Stat. Med.","DOI":"10.1002/sim.1545","PMID":"12973787","citation-label":"4670132","Abstract":"This paper deals with fitting piecewise terms in regression models where one or more break-points are true parameters of the model. For estimation, a simple linearization technique is called for, taking advantage of the linear formulation of the problem. As a result, the method is suitable for any regression model with linear predictor and so current software can be used; threshold modelling as function of explanatory variables is also allowed. Differences between the other procedures available are shown and relative merits discussed. Simulations and two examples are presented to illustrate the method.&lt;br&gt;&lt;br&gt;Copyright 2003 John Wiley &amp; Sons, Ltd.","CleanAbstract":"This paper deals with fitting piecewise terms in regression models where one or more break-points are true parameters of the model. For estimation, a simple linearization technique is called for, taking advantage of the linear formulation of the problem. As a result, the method is suitable for any regression model with linear predictor and so current software can be used; threshold modelling as function of explanatory variables is also allowed. Differences between the other procedures available are shown and relative merits discussed. Simulations and two examples are presented to illustrate the method.Copyright 2003 John Wiley &amp; Sons, Ltd."},{"title":"Testing with a nuisance parameter present only under the alternative: a score-based approach with application to segmented modelling","id":"8048559","page":"3059-3067","type":"article-journal","volume":"86","issue":"15","author":[{"family":"Muggeo","given":"Vito M. R."}],"issued":{"date-parts":[["2016","10","12"]]},"container-title":"Journal of statistical computation and simulation","container-title-short":"J. Stat. Comput. Simul.","journalAbbreviation":"J. Stat. Comput. Simul.","DOI":"10.1080/00949655.2016.1149855","citation-label":"8048559","Abstract":"We introduce a score-type statistic to test for a non-zero regression coefficient when the relevant term involves a nuisance parameter present only under the alternative. Despite the non-regularity and complexity of the problem and unlike the previous approaches, the proposed test statistic does not require the nuisance to be estimated. It is simple to implement by relying on the conventional distributions, such as Normal or t, and it justified in the setting of probabilistic coherence. We focus on testing for the existence of a breakpoint in segmented regression, and illustrate the methodology with an analysis on data of DNA copy number aberrations and gene expression profiles from 97 breast cancer patients; moreover some simulations reveal that the proposed test is more powerful than its competitors previously discussed in literature.","CleanAbstract":"We introduce a score-type statistic to test for a non-zero regression coefficient when the relevant term involves a nuisance parameter present only under the alternative. Despite the non-regularity and complexity of the problem and unlike the previous approaches, the proposed test statistic does not require the nuisance to be estimated. It is simple to implement by relying on the conventional distributions, such as Normal or t, and it justified in the setting of probabilistic coherence. We focus on testing for the existence of a breakpoint in segmented regression, and illustrate the methodology with an analysis on data of DNA copy number aberrations and gene expression profiles from 97 breast cancer patients; moreover some simulations reveal that the proposed test is more powerful than its competitors previously discussed in literature."}]</w:instrText>
      </w:r>
      <w:r>
        <w:fldChar w:fldCharType="separate"/>
      </w:r>
      <w:r>
        <w:t>(1,2)</w:t>
      </w:r>
      <w:r>
        <w:fldChar w:fldCharType="end"/>
      </w:r>
      <w:r>
        <w:t xml:space="preserve"> </w:t>
      </w:r>
      <w:r w:rsidRPr="003309C3">
        <w:t xml:space="preserve">One breakpoint models were fit, and the effect of using different random number seeds in fitting these models explored.  </w:t>
      </w:r>
    </w:p>
    <w:p w:rsidR="00423F2D" w:rsidRDefault="00423F2D" w:rsidP="00423F2D">
      <w:pPr>
        <w:pStyle w:val="NormalWeb"/>
        <w:shd w:val="clear" w:color="auto" w:fill="FFFFFF"/>
        <w:spacing w:before="0" w:beforeAutospacing="0" w:after="150" w:afterAutospacing="0"/>
        <w:rPr>
          <w:rFonts w:ascii="Helvetica" w:hAnsi="Helvetica" w:cs="Helvetica"/>
          <w:color w:val="333333"/>
          <w:sz w:val="21"/>
          <w:szCs w:val="21"/>
        </w:rPr>
      </w:pPr>
    </w:p>
    <w:p w:rsidR="00423F2D" w:rsidRDefault="00423F2D" w:rsidP="00423F2D">
      <w:pPr>
        <w:pStyle w:val="Heading2"/>
      </w:pPr>
      <w:r>
        <w:t>R3.1A Breakpoint estimates and standard errors</w:t>
      </w:r>
    </w:p>
    <w:p w:rsidR="00423F2D" w:rsidRPr="003309C3" w:rsidRDefault="00423F2D" w:rsidP="00423F2D">
      <w:r>
        <w:t>Figure R3.1A and table R3.1A show the point estimates for the breakpoints in trends. The errors bars show two standard errors around these point estimates. For each country except Northern Ireland, a breakpoint is identified around 2009-2010. The confidence intervals tend to be wider for females than for males, and (again with the exception of Northern Ireland) for smaller compared with larger countries.</w:t>
      </w:r>
    </w:p>
    <w:p w:rsidR="00423F2D" w:rsidRDefault="00423F2D" w:rsidP="00423F2D">
      <w:pPr>
        <w:pStyle w:val="NormalWeb"/>
        <w:shd w:val="clear" w:color="auto" w:fill="FFFFFF"/>
        <w:spacing w:before="0" w:beforeAutospacing="0" w:after="150" w:afterAutospacing="0"/>
        <w:rPr>
          <w:rFonts w:ascii="Helvetica" w:hAnsi="Helvetica" w:cs="Helvetica"/>
          <w:color w:val="333333"/>
          <w:sz w:val="21"/>
          <w:szCs w:val="21"/>
        </w:rPr>
      </w:pPr>
    </w:p>
    <w:p w:rsidR="00423F2D" w:rsidRDefault="00423F2D" w:rsidP="00423F2D">
      <w:pPr>
        <w:pStyle w:val="NormalWeb"/>
        <w:keepNext/>
        <w:shd w:val="clear" w:color="auto" w:fill="FFFFFF"/>
        <w:spacing w:before="0" w:beforeAutospacing="0" w:after="150" w:afterAutospacing="0"/>
      </w:pPr>
      <w:r>
        <w:rPr>
          <w:rFonts w:ascii="Helvetica" w:hAnsi="Helvetica" w:cs="Helvetica"/>
          <w:noProof/>
          <w:color w:val="333333"/>
          <w:sz w:val="21"/>
          <w:szCs w:val="21"/>
        </w:rPr>
        <w:lastRenderedPageBreak/>
        <w:drawing>
          <wp:inline distT="0" distB="0" distL="0" distR="0" wp14:anchorId="5C07967D" wp14:editId="2A2533C5">
            <wp:extent cx="5274310" cy="37674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named-chunk-26-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767455"/>
                    </a:xfrm>
                    <a:prstGeom prst="rect">
                      <a:avLst/>
                    </a:prstGeom>
                  </pic:spPr>
                </pic:pic>
              </a:graphicData>
            </a:graphic>
          </wp:inline>
        </w:drawing>
      </w:r>
    </w:p>
    <w:p w:rsidR="00423F2D" w:rsidRDefault="00423F2D" w:rsidP="00423F2D">
      <w:pPr>
        <w:pStyle w:val="Caption"/>
      </w:pPr>
      <w:r>
        <w:t>Figure R3.1A Breakpoint estimates and standard errors</w:t>
      </w:r>
    </w:p>
    <w:p w:rsidR="00423F2D" w:rsidRDefault="00423F2D" w:rsidP="00423F2D">
      <w:pPr>
        <w:spacing w:after="0" w:line="240" w:lineRule="auto"/>
      </w:pPr>
      <w:r>
        <w:br w:type="page"/>
      </w:r>
    </w:p>
    <w:tbl>
      <w:tblPr>
        <w:tblW w:w="7854" w:type="dxa"/>
        <w:tblInd w:w="108" w:type="dxa"/>
        <w:tblLook w:val="04A0" w:firstRow="1" w:lastRow="0" w:firstColumn="1" w:lastColumn="0" w:noHBand="0" w:noVBand="1"/>
      </w:tblPr>
      <w:tblGrid>
        <w:gridCol w:w="1760"/>
        <w:gridCol w:w="834"/>
        <w:gridCol w:w="1240"/>
        <w:gridCol w:w="1540"/>
        <w:gridCol w:w="1240"/>
        <w:gridCol w:w="1240"/>
      </w:tblGrid>
      <w:tr w:rsidR="00423F2D" w:rsidRPr="00B042CD" w:rsidTr="00997069">
        <w:trPr>
          <w:trHeight w:val="300"/>
        </w:trPr>
        <w:tc>
          <w:tcPr>
            <w:tcW w:w="1760" w:type="dxa"/>
            <w:tcBorders>
              <w:top w:val="nil"/>
              <w:left w:val="nil"/>
              <w:bottom w:val="single" w:sz="4" w:space="0" w:color="000000"/>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b/>
                <w:bCs/>
                <w:color w:val="000000"/>
                <w:sz w:val="22"/>
                <w:lang w:eastAsia="en-GB"/>
              </w:rPr>
            </w:pPr>
            <w:r w:rsidRPr="00B042CD">
              <w:rPr>
                <w:rFonts w:ascii="Calibri" w:eastAsia="Times New Roman" w:hAnsi="Calibri"/>
                <w:b/>
                <w:bCs/>
                <w:color w:val="000000"/>
                <w:sz w:val="22"/>
                <w:lang w:eastAsia="en-GB"/>
              </w:rPr>
              <w:lastRenderedPageBreak/>
              <w:t>Population</w:t>
            </w:r>
          </w:p>
        </w:tc>
        <w:tc>
          <w:tcPr>
            <w:tcW w:w="834" w:type="dxa"/>
            <w:tcBorders>
              <w:top w:val="nil"/>
              <w:left w:val="nil"/>
              <w:bottom w:val="single" w:sz="4" w:space="0" w:color="000000"/>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b/>
                <w:bCs/>
                <w:color w:val="000000"/>
                <w:sz w:val="22"/>
                <w:lang w:eastAsia="en-GB"/>
              </w:rPr>
            </w:pPr>
            <w:r w:rsidRPr="00B042CD">
              <w:rPr>
                <w:rFonts w:ascii="Calibri" w:eastAsia="Times New Roman" w:hAnsi="Calibri"/>
                <w:b/>
                <w:bCs/>
                <w:color w:val="000000"/>
                <w:sz w:val="22"/>
                <w:lang w:eastAsia="en-GB"/>
              </w:rPr>
              <w:t>Sex</w:t>
            </w:r>
          </w:p>
        </w:tc>
        <w:tc>
          <w:tcPr>
            <w:tcW w:w="1240" w:type="dxa"/>
            <w:tcBorders>
              <w:top w:val="nil"/>
              <w:left w:val="single" w:sz="4" w:space="0" w:color="000000"/>
              <w:bottom w:val="single" w:sz="4" w:space="0" w:color="000000"/>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b/>
                <w:bCs/>
                <w:color w:val="000000"/>
                <w:sz w:val="22"/>
                <w:lang w:eastAsia="en-GB"/>
              </w:rPr>
            </w:pPr>
            <w:r w:rsidRPr="00B042CD">
              <w:rPr>
                <w:rFonts w:ascii="Calibri" w:eastAsia="Times New Roman" w:hAnsi="Calibri"/>
                <w:b/>
                <w:bCs/>
                <w:color w:val="000000"/>
                <w:sz w:val="22"/>
                <w:lang w:eastAsia="en-GB"/>
              </w:rPr>
              <w:t>Breakpoint</w:t>
            </w:r>
          </w:p>
        </w:tc>
        <w:tc>
          <w:tcPr>
            <w:tcW w:w="1540" w:type="dxa"/>
            <w:tcBorders>
              <w:top w:val="nil"/>
              <w:left w:val="nil"/>
              <w:bottom w:val="single" w:sz="4" w:space="0" w:color="000000"/>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b/>
                <w:bCs/>
                <w:color w:val="000000"/>
                <w:sz w:val="22"/>
                <w:lang w:eastAsia="en-GB"/>
              </w:rPr>
            </w:pPr>
            <w:r w:rsidRPr="00B042CD">
              <w:rPr>
                <w:rFonts w:ascii="Calibri" w:eastAsia="Times New Roman" w:hAnsi="Calibri"/>
                <w:b/>
                <w:bCs/>
                <w:color w:val="000000"/>
                <w:sz w:val="22"/>
                <w:lang w:eastAsia="en-GB"/>
              </w:rPr>
              <w:t>Standard Error</w:t>
            </w:r>
          </w:p>
        </w:tc>
        <w:tc>
          <w:tcPr>
            <w:tcW w:w="1240" w:type="dxa"/>
            <w:tcBorders>
              <w:top w:val="nil"/>
              <w:left w:val="nil"/>
              <w:bottom w:val="single" w:sz="4" w:space="0" w:color="000000"/>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b/>
                <w:bCs/>
                <w:color w:val="000000"/>
                <w:sz w:val="22"/>
                <w:lang w:eastAsia="en-GB"/>
              </w:rPr>
            </w:pPr>
            <w:r w:rsidRPr="00B042CD">
              <w:rPr>
                <w:rFonts w:ascii="Calibri" w:eastAsia="Times New Roman" w:hAnsi="Calibri"/>
                <w:b/>
                <w:bCs/>
                <w:color w:val="000000"/>
                <w:sz w:val="22"/>
                <w:lang w:eastAsia="en-GB"/>
              </w:rPr>
              <w:t>Lower CI</w:t>
            </w:r>
          </w:p>
        </w:tc>
        <w:tc>
          <w:tcPr>
            <w:tcW w:w="1240" w:type="dxa"/>
            <w:tcBorders>
              <w:top w:val="nil"/>
              <w:left w:val="nil"/>
              <w:bottom w:val="single" w:sz="4" w:space="0" w:color="000000"/>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b/>
                <w:bCs/>
                <w:color w:val="000000"/>
                <w:sz w:val="22"/>
                <w:lang w:eastAsia="en-GB"/>
              </w:rPr>
            </w:pPr>
            <w:r w:rsidRPr="00B042CD">
              <w:rPr>
                <w:rFonts w:ascii="Calibri" w:eastAsia="Times New Roman" w:hAnsi="Calibri"/>
                <w:b/>
                <w:bCs/>
                <w:color w:val="000000"/>
                <w:sz w:val="22"/>
                <w:lang w:eastAsia="en-GB"/>
              </w:rPr>
              <w:t>Upper CI</w:t>
            </w:r>
          </w:p>
        </w:tc>
      </w:tr>
      <w:tr w:rsidR="00423F2D" w:rsidRPr="00B042CD" w:rsidTr="00997069">
        <w:trPr>
          <w:trHeight w:val="300"/>
        </w:trPr>
        <w:tc>
          <w:tcPr>
            <w:tcW w:w="176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England</w:t>
            </w:r>
          </w:p>
        </w:tc>
        <w:tc>
          <w:tcPr>
            <w:tcW w:w="834"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female</w:t>
            </w:r>
          </w:p>
        </w:tc>
        <w:tc>
          <w:tcPr>
            <w:tcW w:w="1240" w:type="dxa"/>
            <w:tcBorders>
              <w:top w:val="nil"/>
              <w:left w:val="single" w:sz="4" w:space="0" w:color="000000"/>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2009.00</w:t>
            </w:r>
          </w:p>
        </w:tc>
        <w:tc>
          <w:tcPr>
            <w:tcW w:w="15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5.15</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1998.70</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2019.30</w:t>
            </w:r>
          </w:p>
        </w:tc>
      </w:tr>
      <w:tr w:rsidR="00423F2D" w:rsidRPr="00B042CD" w:rsidTr="00997069">
        <w:trPr>
          <w:trHeight w:val="300"/>
        </w:trPr>
        <w:tc>
          <w:tcPr>
            <w:tcW w:w="176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England</w:t>
            </w:r>
          </w:p>
        </w:tc>
        <w:tc>
          <w:tcPr>
            <w:tcW w:w="834"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male</w:t>
            </w:r>
          </w:p>
        </w:tc>
        <w:tc>
          <w:tcPr>
            <w:tcW w:w="1240" w:type="dxa"/>
            <w:tcBorders>
              <w:top w:val="nil"/>
              <w:left w:val="single" w:sz="4" w:space="0" w:color="000000"/>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2009.93</w:t>
            </w:r>
          </w:p>
        </w:tc>
        <w:tc>
          <w:tcPr>
            <w:tcW w:w="15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2.34</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2005.26</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2014.60</w:t>
            </w:r>
          </w:p>
        </w:tc>
      </w:tr>
      <w:tr w:rsidR="00423F2D" w:rsidRPr="00B042CD" w:rsidTr="00997069">
        <w:trPr>
          <w:trHeight w:val="300"/>
        </w:trPr>
        <w:tc>
          <w:tcPr>
            <w:tcW w:w="176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Northern Ireland</w:t>
            </w:r>
          </w:p>
        </w:tc>
        <w:tc>
          <w:tcPr>
            <w:tcW w:w="834"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female</w:t>
            </w:r>
          </w:p>
        </w:tc>
        <w:tc>
          <w:tcPr>
            <w:tcW w:w="1240" w:type="dxa"/>
            <w:tcBorders>
              <w:top w:val="nil"/>
              <w:left w:val="single" w:sz="4" w:space="0" w:color="000000"/>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1985.00</w:t>
            </w:r>
          </w:p>
        </w:tc>
        <w:tc>
          <w:tcPr>
            <w:tcW w:w="15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5.13</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1974.73</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1995.27</w:t>
            </w:r>
          </w:p>
        </w:tc>
      </w:tr>
      <w:tr w:rsidR="00423F2D" w:rsidRPr="00B042CD" w:rsidTr="00997069">
        <w:trPr>
          <w:trHeight w:val="300"/>
        </w:trPr>
        <w:tc>
          <w:tcPr>
            <w:tcW w:w="176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Northern Ireland</w:t>
            </w:r>
          </w:p>
        </w:tc>
        <w:tc>
          <w:tcPr>
            <w:tcW w:w="834"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male</w:t>
            </w:r>
          </w:p>
        </w:tc>
        <w:tc>
          <w:tcPr>
            <w:tcW w:w="1240" w:type="dxa"/>
            <w:tcBorders>
              <w:top w:val="nil"/>
              <w:left w:val="single" w:sz="4" w:space="0" w:color="000000"/>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1983.00</w:t>
            </w:r>
          </w:p>
        </w:tc>
        <w:tc>
          <w:tcPr>
            <w:tcW w:w="15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1.92</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1979.16</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1986.84</w:t>
            </w:r>
          </w:p>
        </w:tc>
      </w:tr>
      <w:tr w:rsidR="00423F2D" w:rsidRPr="00B042CD" w:rsidTr="00997069">
        <w:trPr>
          <w:trHeight w:val="300"/>
        </w:trPr>
        <w:tc>
          <w:tcPr>
            <w:tcW w:w="176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Scotland</w:t>
            </w:r>
          </w:p>
        </w:tc>
        <w:tc>
          <w:tcPr>
            <w:tcW w:w="834"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female</w:t>
            </w:r>
          </w:p>
        </w:tc>
        <w:tc>
          <w:tcPr>
            <w:tcW w:w="1240" w:type="dxa"/>
            <w:tcBorders>
              <w:top w:val="nil"/>
              <w:left w:val="single" w:sz="4" w:space="0" w:color="000000"/>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2009.87</w:t>
            </w:r>
          </w:p>
        </w:tc>
        <w:tc>
          <w:tcPr>
            <w:tcW w:w="15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4.95</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1999.97</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2019.77</w:t>
            </w:r>
          </w:p>
        </w:tc>
      </w:tr>
      <w:tr w:rsidR="00423F2D" w:rsidRPr="00B042CD" w:rsidTr="00997069">
        <w:trPr>
          <w:trHeight w:val="300"/>
        </w:trPr>
        <w:tc>
          <w:tcPr>
            <w:tcW w:w="176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Scotland</w:t>
            </w:r>
          </w:p>
        </w:tc>
        <w:tc>
          <w:tcPr>
            <w:tcW w:w="834"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male</w:t>
            </w:r>
          </w:p>
        </w:tc>
        <w:tc>
          <w:tcPr>
            <w:tcW w:w="1240" w:type="dxa"/>
            <w:tcBorders>
              <w:top w:val="nil"/>
              <w:left w:val="single" w:sz="4" w:space="0" w:color="000000"/>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2010.45</w:t>
            </w:r>
          </w:p>
        </w:tc>
        <w:tc>
          <w:tcPr>
            <w:tcW w:w="15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3.05</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2004.36</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2016.54</w:t>
            </w:r>
          </w:p>
        </w:tc>
      </w:tr>
      <w:tr w:rsidR="00423F2D" w:rsidRPr="00B042CD" w:rsidTr="00997069">
        <w:trPr>
          <w:trHeight w:val="300"/>
        </w:trPr>
        <w:tc>
          <w:tcPr>
            <w:tcW w:w="176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Wales</w:t>
            </w:r>
          </w:p>
        </w:tc>
        <w:tc>
          <w:tcPr>
            <w:tcW w:w="834"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female</w:t>
            </w:r>
          </w:p>
        </w:tc>
        <w:tc>
          <w:tcPr>
            <w:tcW w:w="1240" w:type="dxa"/>
            <w:tcBorders>
              <w:top w:val="nil"/>
              <w:left w:val="single" w:sz="4" w:space="0" w:color="000000"/>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2009.00</w:t>
            </w:r>
          </w:p>
        </w:tc>
        <w:tc>
          <w:tcPr>
            <w:tcW w:w="15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6.80</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1995.40</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2022.60</w:t>
            </w:r>
          </w:p>
        </w:tc>
      </w:tr>
      <w:tr w:rsidR="00423F2D" w:rsidRPr="00B042CD" w:rsidTr="00997069">
        <w:trPr>
          <w:trHeight w:val="300"/>
        </w:trPr>
        <w:tc>
          <w:tcPr>
            <w:tcW w:w="176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Wales</w:t>
            </w:r>
          </w:p>
        </w:tc>
        <w:tc>
          <w:tcPr>
            <w:tcW w:w="834"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male</w:t>
            </w:r>
          </w:p>
        </w:tc>
        <w:tc>
          <w:tcPr>
            <w:tcW w:w="1240" w:type="dxa"/>
            <w:tcBorders>
              <w:top w:val="nil"/>
              <w:left w:val="single" w:sz="4" w:space="0" w:color="000000"/>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2010.00</w:t>
            </w:r>
          </w:p>
        </w:tc>
        <w:tc>
          <w:tcPr>
            <w:tcW w:w="15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4.43</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2001.14</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2018.86</w:t>
            </w:r>
          </w:p>
        </w:tc>
      </w:tr>
      <w:tr w:rsidR="00423F2D" w:rsidRPr="00B042CD" w:rsidTr="00997069">
        <w:trPr>
          <w:trHeight w:val="300"/>
        </w:trPr>
        <w:tc>
          <w:tcPr>
            <w:tcW w:w="176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United Kingdom</w:t>
            </w:r>
          </w:p>
        </w:tc>
        <w:tc>
          <w:tcPr>
            <w:tcW w:w="834"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female</w:t>
            </w:r>
          </w:p>
        </w:tc>
        <w:tc>
          <w:tcPr>
            <w:tcW w:w="1240" w:type="dxa"/>
            <w:tcBorders>
              <w:top w:val="nil"/>
              <w:left w:val="single" w:sz="4" w:space="0" w:color="000000"/>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2009.00</w:t>
            </w:r>
          </w:p>
        </w:tc>
        <w:tc>
          <w:tcPr>
            <w:tcW w:w="15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5.35</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1998.30</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2019.70</w:t>
            </w:r>
          </w:p>
        </w:tc>
      </w:tr>
      <w:tr w:rsidR="00423F2D" w:rsidRPr="00B042CD" w:rsidTr="00997069">
        <w:trPr>
          <w:trHeight w:val="300"/>
        </w:trPr>
        <w:tc>
          <w:tcPr>
            <w:tcW w:w="176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United Kingdom</w:t>
            </w:r>
          </w:p>
        </w:tc>
        <w:tc>
          <w:tcPr>
            <w:tcW w:w="834"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male</w:t>
            </w:r>
          </w:p>
        </w:tc>
        <w:tc>
          <w:tcPr>
            <w:tcW w:w="1240" w:type="dxa"/>
            <w:tcBorders>
              <w:top w:val="nil"/>
              <w:left w:val="single" w:sz="4" w:space="0" w:color="000000"/>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2009.95</w:t>
            </w:r>
          </w:p>
        </w:tc>
        <w:tc>
          <w:tcPr>
            <w:tcW w:w="15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2.39</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2005.18</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keepNext/>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2014.72</w:t>
            </w:r>
          </w:p>
        </w:tc>
      </w:tr>
    </w:tbl>
    <w:p w:rsidR="00423F2D" w:rsidRDefault="00423F2D" w:rsidP="00423F2D">
      <w:pPr>
        <w:pStyle w:val="Caption"/>
        <w:rPr>
          <w:rFonts w:ascii="Helvetica" w:hAnsi="Helvetica" w:cs="Helvetica"/>
          <w:color w:val="333333"/>
          <w:sz w:val="21"/>
          <w:szCs w:val="21"/>
        </w:rPr>
      </w:pPr>
      <w:r>
        <w:t xml:space="preserve">Table </w:t>
      </w:r>
      <w:proofErr w:type="gramStart"/>
      <w:r>
        <w:t>R3.1A  Breakpoint</w:t>
      </w:r>
      <w:proofErr w:type="gramEnd"/>
      <w:r>
        <w:t xml:space="preserve"> analyses and standard errors</w:t>
      </w:r>
    </w:p>
    <w:p w:rsidR="00423F2D" w:rsidRDefault="00423F2D" w:rsidP="00423F2D">
      <w:pPr>
        <w:pStyle w:val="Heading2"/>
      </w:pPr>
      <w:r>
        <w:t>R3.2A Effect of random number seed choice on breakpoint estimate</w:t>
      </w:r>
    </w:p>
    <w:p w:rsidR="00423F2D" w:rsidRDefault="00423F2D" w:rsidP="00423F2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The results can be dependent on the choice of random number seed used by the algorithm to identify the breakpoint. With some random number seeds, the algorithm may not be able to identify a breakpoint at all. Figure R3.2A shows the differences in breakpoint estimates produced by passing the first five random number seeds that identify a breakpoint estimate. (Seeds 4, 5, and 7 do not consistently identify a breakpoint for all populations. With the exception of females in Wales, the majority of random number seeds lead to very similar breakpoint estimates.   </w:t>
      </w:r>
    </w:p>
    <w:p w:rsidR="00423F2D" w:rsidRDefault="00423F2D" w:rsidP="00423F2D">
      <w:pPr>
        <w:rPr>
          <w:rFonts w:ascii="inherit" w:hAnsi="inherit" w:cs="Helvetica"/>
          <w:b/>
          <w:bCs/>
          <w:color w:val="333333"/>
          <w:sz w:val="27"/>
          <w:szCs w:val="27"/>
        </w:rPr>
      </w:pPr>
    </w:p>
    <w:p w:rsidR="00423F2D" w:rsidRDefault="00423F2D" w:rsidP="00423F2D">
      <w:pPr>
        <w:pStyle w:val="NormalWeb"/>
        <w:keepNext/>
        <w:shd w:val="clear" w:color="auto" w:fill="FFFFFF"/>
        <w:spacing w:before="0" w:beforeAutospacing="0" w:after="150" w:afterAutospacing="0"/>
      </w:pPr>
      <w:r w:rsidRPr="00B042CD">
        <w:rPr>
          <w:rFonts w:ascii="Helvetica" w:hAnsi="Helvetica" w:cs="Helvetica"/>
          <w:noProof/>
          <w:color w:val="333333"/>
          <w:sz w:val="21"/>
          <w:szCs w:val="21"/>
        </w:rPr>
        <w:drawing>
          <wp:inline distT="0" distB="0" distL="0" distR="0" wp14:anchorId="703FD7CB" wp14:editId="5C466EAC">
            <wp:extent cx="5274310" cy="3519514"/>
            <wp:effectExtent l="0" t="0" r="2540" b="5080"/>
            <wp:docPr id="13" name="Picture 13" descr="X:\mortality_trends\repos\Bayes_Factor_Slowdown\bayes_paper\figures\R3A01_Randomnumbers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mortality_trends\repos\Bayes_Factor_Slowdown\bayes_paper\figures\R3A01_Randomnumbersee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519514"/>
                    </a:xfrm>
                    <a:prstGeom prst="rect">
                      <a:avLst/>
                    </a:prstGeom>
                    <a:noFill/>
                    <a:ln>
                      <a:noFill/>
                    </a:ln>
                  </pic:spPr>
                </pic:pic>
              </a:graphicData>
            </a:graphic>
          </wp:inline>
        </w:drawing>
      </w:r>
    </w:p>
    <w:p w:rsidR="00423F2D" w:rsidRDefault="00423F2D" w:rsidP="00423F2D">
      <w:pPr>
        <w:pStyle w:val="Caption"/>
        <w:rPr>
          <w:rFonts w:ascii="Helvetica" w:hAnsi="Helvetica" w:cs="Helvetica"/>
          <w:color w:val="333333"/>
          <w:sz w:val="21"/>
          <w:szCs w:val="21"/>
        </w:rPr>
      </w:pPr>
      <w:r>
        <w:t>Figure R3.2A Effect of random number seed on breakpoint estimate</w:t>
      </w:r>
    </w:p>
    <w:p w:rsidR="00423F2D" w:rsidRDefault="00423F2D" w:rsidP="00423F2D">
      <w:pPr>
        <w:pStyle w:val="NormalWeb"/>
        <w:shd w:val="clear" w:color="auto" w:fill="FFFFFF"/>
        <w:spacing w:before="0" w:beforeAutospacing="0" w:after="150" w:afterAutospacing="0"/>
        <w:rPr>
          <w:rFonts w:ascii="Helvetica" w:hAnsi="Helvetica" w:cs="Helvetica"/>
          <w:color w:val="333333"/>
          <w:sz w:val="21"/>
          <w:szCs w:val="21"/>
        </w:rPr>
      </w:pPr>
    </w:p>
    <w:p w:rsidR="00423F2D" w:rsidRDefault="00423F2D" w:rsidP="00423F2D">
      <w:pPr>
        <w:spacing w:after="0" w:line="240" w:lineRule="auto"/>
        <w:rPr>
          <w:rFonts w:eastAsiaTheme="minorHAnsi" w:cs="Arial"/>
          <w:szCs w:val="24"/>
          <w:lang w:eastAsia="en-GB"/>
        </w:rPr>
      </w:pPr>
      <w:r>
        <w:br w:type="page"/>
      </w:r>
    </w:p>
    <w:p w:rsidR="00423F2D" w:rsidRDefault="00423F2D" w:rsidP="00423F2D">
      <w:pPr>
        <w:pStyle w:val="BodyText1"/>
      </w:pPr>
      <w:r>
        <w:lastRenderedPageBreak/>
        <w:t>Bibliography</w:t>
      </w:r>
    </w:p>
    <w:p w:rsidR="00423F2D" w:rsidRDefault="00423F2D" w:rsidP="00423F2D">
      <w:pPr>
        <w:pStyle w:val="BodyText1"/>
        <w:ind w:left="440" w:hanging="440"/>
      </w:pPr>
      <w:r>
        <w:fldChar w:fldCharType="begin"/>
      </w:r>
      <w:r>
        <w:instrText>ADDIN F1000_CSL_BIBLIOGRAPHY</w:instrText>
      </w:r>
      <w:r>
        <w:fldChar w:fldCharType="separate"/>
      </w:r>
      <w:r>
        <w:t xml:space="preserve">1. </w:t>
      </w:r>
      <w:r>
        <w:tab/>
        <w:t xml:space="preserve">Muggeo VMR. Estimating regression models with unknown break-points. Stat Med. 2003 Oct 15;22(19):3055–3071. </w:t>
      </w:r>
    </w:p>
    <w:p w:rsidR="00423F2D" w:rsidRDefault="00423F2D" w:rsidP="00423F2D">
      <w:pPr>
        <w:pStyle w:val="BodyText1"/>
        <w:ind w:left="440" w:hanging="440"/>
      </w:pPr>
      <w:r>
        <w:t xml:space="preserve">2. </w:t>
      </w:r>
      <w:r>
        <w:tab/>
        <w:t xml:space="preserve">Muggeo VMR. Testing with a nuisance parameter present only under the alternative: a score-based approach with application to segmented modelling. J Stat Comput Simul. 2016 Oct 12;86(15):3059–3067. </w:t>
      </w:r>
    </w:p>
    <w:p w:rsidR="00423F2D" w:rsidRPr="008A477A" w:rsidRDefault="00423F2D" w:rsidP="00423F2D">
      <w:pPr>
        <w:pStyle w:val="BodyText1"/>
        <w:ind w:left="440" w:hanging="440"/>
      </w:pPr>
      <w:r>
        <w:fldChar w:fldCharType="end"/>
      </w:r>
    </w:p>
    <w:p w:rsidR="00913759" w:rsidRDefault="00913759" w:rsidP="00423F2D">
      <w:pPr>
        <w:shd w:val="clear" w:color="auto" w:fill="FFFFFF"/>
        <w:rPr>
          <w:rFonts w:ascii="Helvetica" w:hAnsi="Helvetica" w:cs="Helvetica"/>
          <w:color w:val="333333"/>
          <w:sz w:val="21"/>
          <w:szCs w:val="21"/>
        </w:rPr>
      </w:pPr>
    </w:p>
    <w:p w:rsidR="00913759" w:rsidRDefault="00913759" w:rsidP="00913759">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before period used in the Bayes Factor calculations before is 1991 onwards. Let’s identify what the average improvement was over this period.</w:t>
      </w:r>
    </w:p>
    <w:tbl>
      <w:tblPr>
        <w:tblW w:w="6050" w:type="dxa"/>
        <w:tblCellMar>
          <w:top w:w="15" w:type="dxa"/>
          <w:left w:w="15" w:type="dxa"/>
          <w:bottom w:w="15" w:type="dxa"/>
          <w:right w:w="15" w:type="dxa"/>
        </w:tblCellMar>
        <w:tblLook w:val="04A0" w:firstRow="1" w:lastRow="0" w:firstColumn="1" w:lastColumn="0" w:noHBand="0" w:noVBand="1"/>
      </w:tblPr>
      <w:tblGrid>
        <w:gridCol w:w="1433"/>
        <w:gridCol w:w="2507"/>
        <w:gridCol w:w="2110"/>
      </w:tblGrid>
      <w:tr w:rsidR="00913759" w:rsidTr="00997069">
        <w:trPr>
          <w:trHeight w:val="487"/>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913759" w:rsidRDefault="00913759" w:rsidP="00997069">
            <w:pPr>
              <w:spacing w:after="300"/>
              <w:rPr>
                <w:rFonts w:ascii="Times New Roman" w:hAnsi="Times New Roman"/>
                <w:b/>
                <w:bCs/>
                <w:szCs w:val="24"/>
              </w:rPr>
            </w:pPr>
            <w:r>
              <w:rPr>
                <w:b/>
                <w:bCs/>
              </w:rPr>
              <w:t>sex</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913759" w:rsidRDefault="00913759" w:rsidP="00997069">
            <w:pPr>
              <w:spacing w:after="300"/>
              <w:jc w:val="right"/>
              <w:rPr>
                <w:b/>
                <w:bCs/>
              </w:rPr>
            </w:pPr>
            <w:r>
              <w:rPr>
                <w:b/>
                <w:bCs/>
              </w:rPr>
              <w:t>mean_ch_e0</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913759" w:rsidRDefault="00913759" w:rsidP="00997069">
            <w:pPr>
              <w:spacing w:after="300"/>
              <w:jc w:val="right"/>
              <w:rPr>
                <w:b/>
                <w:bCs/>
              </w:rPr>
            </w:pPr>
            <w:r>
              <w:rPr>
                <w:b/>
                <w:bCs/>
              </w:rPr>
              <w:t>var_ch_e0</w:t>
            </w:r>
          </w:p>
        </w:tc>
      </w:tr>
      <w:tr w:rsidR="00913759" w:rsidTr="00997069">
        <w:trPr>
          <w:trHeight w:val="504"/>
        </w:trPr>
        <w:tc>
          <w:tcPr>
            <w:tcW w:w="0" w:type="auto"/>
            <w:tcBorders>
              <w:top w:val="single" w:sz="6" w:space="0" w:color="DDDDDD"/>
            </w:tcBorders>
            <w:shd w:val="clear" w:color="auto" w:fill="auto"/>
            <w:tcMar>
              <w:top w:w="120" w:type="dxa"/>
              <w:left w:w="120" w:type="dxa"/>
              <w:bottom w:w="120" w:type="dxa"/>
              <w:right w:w="120" w:type="dxa"/>
            </w:tcMar>
            <w:hideMark/>
          </w:tcPr>
          <w:p w:rsidR="00913759" w:rsidRDefault="00913759" w:rsidP="00997069">
            <w:pPr>
              <w:spacing w:after="300"/>
            </w:pPr>
            <w:r>
              <w:t>female</w:t>
            </w:r>
          </w:p>
        </w:tc>
        <w:tc>
          <w:tcPr>
            <w:tcW w:w="0" w:type="auto"/>
            <w:tcBorders>
              <w:top w:val="single" w:sz="6" w:space="0" w:color="DDDDDD"/>
            </w:tcBorders>
            <w:shd w:val="clear" w:color="auto" w:fill="auto"/>
            <w:tcMar>
              <w:top w:w="120" w:type="dxa"/>
              <w:left w:w="120" w:type="dxa"/>
              <w:bottom w:w="120" w:type="dxa"/>
              <w:right w:w="120" w:type="dxa"/>
            </w:tcMar>
            <w:hideMark/>
          </w:tcPr>
          <w:p w:rsidR="00913759" w:rsidRDefault="00913759" w:rsidP="00997069">
            <w:pPr>
              <w:spacing w:after="300"/>
              <w:jc w:val="right"/>
            </w:pPr>
            <w:r>
              <w:t>0.191</w:t>
            </w:r>
          </w:p>
        </w:tc>
        <w:tc>
          <w:tcPr>
            <w:tcW w:w="0" w:type="auto"/>
            <w:tcBorders>
              <w:top w:val="single" w:sz="6" w:space="0" w:color="DDDDDD"/>
            </w:tcBorders>
            <w:shd w:val="clear" w:color="auto" w:fill="auto"/>
            <w:tcMar>
              <w:top w:w="120" w:type="dxa"/>
              <w:left w:w="120" w:type="dxa"/>
              <w:bottom w:w="120" w:type="dxa"/>
              <w:right w:w="120" w:type="dxa"/>
            </w:tcMar>
            <w:hideMark/>
          </w:tcPr>
          <w:p w:rsidR="00913759" w:rsidRDefault="00913759" w:rsidP="00997069">
            <w:pPr>
              <w:spacing w:after="300"/>
              <w:jc w:val="right"/>
            </w:pPr>
            <w:r>
              <w:t>0.039</w:t>
            </w:r>
          </w:p>
        </w:tc>
      </w:tr>
      <w:tr w:rsidR="00913759" w:rsidTr="00997069">
        <w:trPr>
          <w:trHeight w:val="487"/>
        </w:trPr>
        <w:tc>
          <w:tcPr>
            <w:tcW w:w="0" w:type="auto"/>
            <w:tcBorders>
              <w:top w:val="single" w:sz="6" w:space="0" w:color="DDDDDD"/>
            </w:tcBorders>
            <w:shd w:val="clear" w:color="auto" w:fill="auto"/>
            <w:tcMar>
              <w:top w:w="120" w:type="dxa"/>
              <w:left w:w="120" w:type="dxa"/>
              <w:bottom w:w="120" w:type="dxa"/>
              <w:right w:w="120" w:type="dxa"/>
            </w:tcMar>
            <w:hideMark/>
          </w:tcPr>
          <w:p w:rsidR="00913759" w:rsidRDefault="00913759" w:rsidP="00997069">
            <w:pPr>
              <w:spacing w:after="300"/>
            </w:pPr>
            <w:r>
              <w:t>male</w:t>
            </w:r>
          </w:p>
        </w:tc>
        <w:tc>
          <w:tcPr>
            <w:tcW w:w="0" w:type="auto"/>
            <w:tcBorders>
              <w:top w:val="single" w:sz="6" w:space="0" w:color="DDDDDD"/>
            </w:tcBorders>
            <w:shd w:val="clear" w:color="auto" w:fill="auto"/>
            <w:tcMar>
              <w:top w:w="120" w:type="dxa"/>
              <w:left w:w="120" w:type="dxa"/>
              <w:bottom w:w="120" w:type="dxa"/>
              <w:right w:w="120" w:type="dxa"/>
            </w:tcMar>
            <w:hideMark/>
          </w:tcPr>
          <w:p w:rsidR="00913759" w:rsidRDefault="00913759" w:rsidP="00997069">
            <w:pPr>
              <w:spacing w:after="300"/>
              <w:jc w:val="right"/>
            </w:pPr>
            <w:r>
              <w:t>0.276</w:t>
            </w:r>
          </w:p>
        </w:tc>
        <w:tc>
          <w:tcPr>
            <w:tcW w:w="0" w:type="auto"/>
            <w:tcBorders>
              <w:top w:val="single" w:sz="6" w:space="0" w:color="DDDDDD"/>
            </w:tcBorders>
            <w:shd w:val="clear" w:color="auto" w:fill="auto"/>
            <w:tcMar>
              <w:top w:w="120" w:type="dxa"/>
              <w:left w:w="120" w:type="dxa"/>
              <w:bottom w:w="120" w:type="dxa"/>
              <w:right w:w="120" w:type="dxa"/>
            </w:tcMar>
            <w:hideMark/>
          </w:tcPr>
          <w:p w:rsidR="00913759" w:rsidRDefault="00913759" w:rsidP="00997069">
            <w:pPr>
              <w:spacing w:after="300"/>
              <w:jc w:val="right"/>
            </w:pPr>
            <w:r>
              <w:t>0.026</w:t>
            </w:r>
          </w:p>
        </w:tc>
      </w:tr>
    </w:tbl>
    <w:p w:rsidR="00913759" w:rsidRDefault="00913759" w:rsidP="00913759">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This checks out with what I’ve calculated before. (Phew!)</w:t>
      </w:r>
    </w:p>
    <w:p w:rsidR="00913759" w:rsidRDefault="00913759" w:rsidP="00423F2D">
      <w:pPr>
        <w:shd w:val="clear" w:color="auto" w:fill="FFFFFF"/>
        <w:rPr>
          <w:rFonts w:ascii="Helvetica" w:hAnsi="Helvetica" w:cs="Helvetica"/>
          <w:color w:val="333333"/>
          <w:sz w:val="21"/>
          <w:szCs w:val="21"/>
        </w:rPr>
      </w:pPr>
    </w:p>
    <w:p w:rsidR="00913759" w:rsidRDefault="00913759" w:rsidP="00423F2D">
      <w:pPr>
        <w:shd w:val="clear" w:color="auto" w:fill="FFFFFF"/>
        <w:rPr>
          <w:rFonts w:ascii="Helvetica" w:hAnsi="Helvetica" w:cs="Helvetica"/>
          <w:color w:val="333333"/>
          <w:sz w:val="21"/>
          <w:szCs w:val="21"/>
        </w:rPr>
      </w:pPr>
    </w:p>
    <w:p w:rsidR="00913759" w:rsidRDefault="00913759" w:rsidP="00423F2D">
      <w:pPr>
        <w:shd w:val="clear" w:color="auto" w:fill="FFFFFF"/>
        <w:rPr>
          <w:rFonts w:ascii="Helvetica" w:hAnsi="Helvetica" w:cs="Helvetica"/>
          <w:color w:val="333333"/>
          <w:sz w:val="21"/>
          <w:szCs w:val="21"/>
        </w:rPr>
      </w:pPr>
    </w:p>
    <w:tbl>
      <w:tblPr>
        <w:tblW w:w="0" w:type="dxa"/>
        <w:tblCellMar>
          <w:top w:w="15" w:type="dxa"/>
          <w:left w:w="15" w:type="dxa"/>
          <w:bottom w:w="15" w:type="dxa"/>
          <w:right w:w="15" w:type="dxa"/>
        </w:tblCellMar>
        <w:tblLook w:val="04A0" w:firstRow="1" w:lastRow="0" w:firstColumn="1" w:lastColumn="0" w:noHBand="0" w:noVBand="1"/>
      </w:tblPr>
      <w:tblGrid>
        <w:gridCol w:w="126"/>
      </w:tblGrid>
      <w:tr w:rsidR="00423F2D" w:rsidTr="00997069">
        <w:tc>
          <w:tcPr>
            <w:tcW w:w="0" w:type="auto"/>
            <w:shd w:val="clear" w:color="auto" w:fill="auto"/>
            <w:tcMar>
              <w:top w:w="0" w:type="dxa"/>
              <w:left w:w="60" w:type="dxa"/>
              <w:bottom w:w="0" w:type="dxa"/>
              <w:right w:w="60" w:type="dxa"/>
            </w:tcMar>
            <w:vAlign w:val="center"/>
            <w:hideMark/>
          </w:tcPr>
          <w:p w:rsidR="00423F2D" w:rsidRDefault="00423F2D" w:rsidP="00997069">
            <w:pPr>
              <w:shd w:val="clear" w:color="auto" w:fill="FFFFFF"/>
              <w:rPr>
                <w:rFonts w:ascii="Helvetica" w:hAnsi="Helvetica" w:cs="Helvetica"/>
                <w:color w:val="333333"/>
                <w:sz w:val="21"/>
                <w:szCs w:val="21"/>
              </w:rPr>
            </w:pPr>
          </w:p>
        </w:tc>
      </w:tr>
    </w:tbl>
    <w:p w:rsidR="00423F2D" w:rsidRDefault="00423F2D" w:rsidP="00423F2D">
      <w:pPr>
        <w:shd w:val="clear" w:color="auto" w:fill="FFFFFF"/>
        <w:rPr>
          <w:rFonts w:ascii="Helvetica" w:hAnsi="Helvetica" w:cs="Helvetica"/>
          <w:vanish/>
          <w:color w:val="333333"/>
          <w:sz w:val="21"/>
          <w:szCs w:val="21"/>
        </w:rPr>
      </w:pPr>
    </w:p>
    <w:tbl>
      <w:tblPr>
        <w:tblW w:w="9387" w:type="dxa"/>
        <w:tblCellMar>
          <w:top w:w="15" w:type="dxa"/>
          <w:left w:w="15" w:type="dxa"/>
          <w:bottom w:w="15" w:type="dxa"/>
          <w:right w:w="15" w:type="dxa"/>
        </w:tblCellMar>
        <w:tblLook w:val="04A0" w:firstRow="1" w:lastRow="0" w:firstColumn="1" w:lastColumn="0" w:noHBand="0" w:noVBand="1"/>
      </w:tblPr>
      <w:tblGrid>
        <w:gridCol w:w="1386"/>
        <w:gridCol w:w="876"/>
        <w:gridCol w:w="1239"/>
        <w:gridCol w:w="756"/>
        <w:gridCol w:w="1159"/>
        <w:gridCol w:w="1293"/>
        <w:gridCol w:w="1641"/>
        <w:gridCol w:w="1037"/>
      </w:tblGrid>
      <w:tr w:rsidR="00423F2D" w:rsidTr="00997069">
        <w:trPr>
          <w:trHeight w:val="869"/>
          <w:tblHeader/>
        </w:trPr>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423F2D" w:rsidRDefault="00423F2D" w:rsidP="00997069">
            <w:pPr>
              <w:rPr>
                <w:rFonts w:ascii="Times New Roman" w:hAnsi="Times New Roman"/>
                <w:b/>
                <w:bCs/>
                <w:szCs w:val="24"/>
              </w:rPr>
            </w:pPr>
            <w:r>
              <w:rPr>
                <w:b/>
                <w:bCs/>
              </w:rPr>
              <w:t>population</w:t>
            </w:r>
          </w:p>
          <w:p w:rsidR="00423F2D" w:rsidRDefault="00423F2D" w:rsidP="00997069">
            <w:pPr>
              <w:rPr>
                <w:color w:val="999999"/>
              </w:rPr>
            </w:pPr>
            <w:r>
              <w:rPr>
                <w:color w:val="999999"/>
              </w:rPr>
              <w:t>&lt;</w:t>
            </w:r>
            <w:proofErr w:type="spellStart"/>
            <w:r>
              <w:rPr>
                <w:color w:val="999999"/>
              </w:rPr>
              <w:t>chr</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423F2D" w:rsidRDefault="00423F2D" w:rsidP="00997069">
            <w:pPr>
              <w:rPr>
                <w:b/>
                <w:bCs/>
              </w:rPr>
            </w:pPr>
            <w:r>
              <w:rPr>
                <w:b/>
                <w:bCs/>
              </w:rPr>
              <w:t>sex</w:t>
            </w:r>
          </w:p>
          <w:p w:rsidR="00423F2D" w:rsidRDefault="00423F2D" w:rsidP="00997069">
            <w:pPr>
              <w:rPr>
                <w:color w:val="999999"/>
              </w:rPr>
            </w:pPr>
            <w:r>
              <w:rPr>
                <w:color w:val="999999"/>
              </w:rPr>
              <w:t>&lt;</w:t>
            </w:r>
            <w:proofErr w:type="spellStart"/>
            <w:r>
              <w:rPr>
                <w:color w:val="999999"/>
              </w:rPr>
              <w:t>chr</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423F2D" w:rsidRDefault="00423F2D" w:rsidP="00997069">
            <w:pPr>
              <w:jc w:val="right"/>
              <w:rPr>
                <w:b/>
                <w:bCs/>
              </w:rPr>
            </w:pPr>
            <w:proofErr w:type="spellStart"/>
            <w:r>
              <w:rPr>
                <w:b/>
                <w:bCs/>
              </w:rPr>
              <w:t>after_end</w:t>
            </w:r>
            <w:proofErr w:type="spellEnd"/>
          </w:p>
          <w:p w:rsidR="00423F2D" w:rsidRDefault="00423F2D" w:rsidP="00997069">
            <w:pPr>
              <w:jc w:val="right"/>
              <w:rPr>
                <w:color w:val="999999"/>
              </w:rPr>
            </w:pPr>
            <w:r>
              <w:rPr>
                <w:color w:val="999999"/>
              </w:rPr>
              <w:t>&lt;</w:t>
            </w:r>
            <w:proofErr w:type="spellStart"/>
            <w:r>
              <w:rPr>
                <w:color w:val="999999"/>
              </w:rPr>
              <w:t>int</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423F2D" w:rsidRDefault="00423F2D" w:rsidP="00997069">
            <w:pPr>
              <w:jc w:val="right"/>
              <w:rPr>
                <w:b/>
                <w:bCs/>
              </w:rPr>
            </w:pPr>
            <w:r>
              <w:rPr>
                <w:b/>
                <w:bCs/>
              </w:rPr>
              <w:t>perc</w:t>
            </w:r>
          </w:p>
          <w:p w:rsidR="00423F2D" w:rsidRDefault="00423F2D" w:rsidP="00997069">
            <w:pPr>
              <w:jc w:val="right"/>
              <w:rPr>
                <w:color w:val="999999"/>
              </w:rPr>
            </w:pPr>
            <w:r>
              <w:rPr>
                <w:color w:val="999999"/>
              </w:rPr>
              <w:t>&lt;</w:t>
            </w:r>
            <w:proofErr w:type="spellStart"/>
            <w:r>
              <w:rPr>
                <w:color w:val="999999"/>
              </w:rPr>
              <w:t>dbl</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423F2D" w:rsidRDefault="00423F2D" w:rsidP="00997069">
            <w:pPr>
              <w:jc w:val="right"/>
              <w:rPr>
                <w:b/>
                <w:bCs/>
              </w:rPr>
            </w:pPr>
            <w:r>
              <w:rPr>
                <w:b/>
                <w:bCs/>
              </w:rPr>
              <w:t>mu</w:t>
            </w:r>
          </w:p>
          <w:p w:rsidR="00423F2D" w:rsidRDefault="00423F2D" w:rsidP="00997069">
            <w:pPr>
              <w:jc w:val="right"/>
              <w:rPr>
                <w:color w:val="999999"/>
              </w:rPr>
            </w:pPr>
            <w:r>
              <w:rPr>
                <w:color w:val="999999"/>
              </w:rPr>
              <w:t>&lt;</w:t>
            </w:r>
            <w:proofErr w:type="spellStart"/>
            <w:r>
              <w:rPr>
                <w:color w:val="999999"/>
              </w:rPr>
              <w:t>dbl</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423F2D" w:rsidRDefault="00423F2D" w:rsidP="00997069">
            <w:pPr>
              <w:jc w:val="right"/>
              <w:rPr>
                <w:b/>
                <w:bCs/>
              </w:rPr>
            </w:pPr>
            <w:proofErr w:type="spellStart"/>
            <w:r>
              <w:rPr>
                <w:b/>
                <w:bCs/>
              </w:rPr>
              <w:t>ll</w:t>
            </w:r>
            <w:proofErr w:type="spellEnd"/>
          </w:p>
          <w:p w:rsidR="00423F2D" w:rsidRDefault="00423F2D" w:rsidP="00997069">
            <w:pPr>
              <w:jc w:val="right"/>
              <w:rPr>
                <w:color w:val="999999"/>
              </w:rPr>
            </w:pPr>
            <w:r>
              <w:rPr>
                <w:color w:val="999999"/>
              </w:rPr>
              <w:t>&lt;</w:t>
            </w:r>
            <w:proofErr w:type="spellStart"/>
            <w:r>
              <w:rPr>
                <w:color w:val="999999"/>
              </w:rPr>
              <w:t>dbl</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423F2D" w:rsidRDefault="00423F2D" w:rsidP="00997069">
            <w:pPr>
              <w:jc w:val="right"/>
              <w:rPr>
                <w:b/>
                <w:bCs/>
              </w:rPr>
            </w:pPr>
            <w:proofErr w:type="spellStart"/>
            <w:r>
              <w:rPr>
                <w:b/>
                <w:bCs/>
              </w:rPr>
              <w:t>bayes_factor</w:t>
            </w:r>
            <w:proofErr w:type="spellEnd"/>
          </w:p>
          <w:p w:rsidR="00423F2D" w:rsidRDefault="00423F2D" w:rsidP="00997069">
            <w:pPr>
              <w:jc w:val="right"/>
              <w:rPr>
                <w:color w:val="999999"/>
              </w:rPr>
            </w:pPr>
            <w:r>
              <w:rPr>
                <w:color w:val="999999"/>
              </w:rPr>
              <w:t>&lt;</w:t>
            </w:r>
            <w:proofErr w:type="spellStart"/>
            <w:r>
              <w:rPr>
                <w:color w:val="999999"/>
              </w:rPr>
              <w:t>dbl</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423F2D" w:rsidRDefault="00423F2D" w:rsidP="00997069">
            <w:pPr>
              <w:rPr>
                <w:b/>
                <w:bCs/>
              </w:rPr>
            </w:pPr>
            <w:r>
              <w:rPr>
                <w:b/>
                <w:bCs/>
              </w:rPr>
              <w:t>period</w:t>
            </w:r>
          </w:p>
          <w:p w:rsidR="00423F2D" w:rsidRDefault="00423F2D" w:rsidP="00997069">
            <w:pPr>
              <w:rPr>
                <w:color w:val="999999"/>
              </w:rPr>
            </w:pPr>
            <w:r>
              <w:rPr>
                <w:color w:val="999999"/>
              </w:rPr>
              <w:t>&lt;</w:t>
            </w:r>
            <w:proofErr w:type="spellStart"/>
            <w:r>
              <w:rPr>
                <w:color w:val="999999"/>
              </w:rPr>
              <w:t>chr</w:t>
            </w:r>
            <w:proofErr w:type="spellEnd"/>
            <w:r>
              <w:rPr>
                <w:color w:val="999999"/>
              </w:rPr>
              <w:t>&gt;</w:t>
            </w:r>
          </w:p>
        </w:tc>
      </w:tr>
      <w:tr w:rsidR="00423F2D" w:rsidTr="00997069">
        <w:trPr>
          <w:trHeight w:val="425"/>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England</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female</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2011</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1.00</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0.194500</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0.7173006</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1.0000000</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2011-11</w:t>
            </w:r>
          </w:p>
        </w:tc>
      </w:tr>
      <w:tr w:rsidR="00423F2D" w:rsidTr="00997069">
        <w:trPr>
          <w:trHeight w:val="444"/>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England</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female</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2011</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0.99</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0.192555</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0.7172876</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0.9999870</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2011-11</w:t>
            </w:r>
          </w:p>
        </w:tc>
      </w:tr>
      <w:tr w:rsidR="00423F2D" w:rsidTr="00997069">
        <w:trPr>
          <w:trHeight w:val="425"/>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England</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female</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2011</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0.98</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0.190610</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0.7172745</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0.9999739</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2011-11</w:t>
            </w:r>
          </w:p>
        </w:tc>
      </w:tr>
      <w:tr w:rsidR="00423F2D" w:rsidTr="00997069">
        <w:trPr>
          <w:trHeight w:val="425"/>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England</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female</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2011</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0.97</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0.188665</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0.7172612</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0.9999606</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2011-11</w:t>
            </w:r>
          </w:p>
        </w:tc>
      </w:tr>
      <w:tr w:rsidR="00423F2D" w:rsidTr="00997069">
        <w:trPr>
          <w:trHeight w:val="425"/>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England</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female</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2011</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0.96</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0.186720</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0.7172478</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0.9999472</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2011-11</w:t>
            </w:r>
          </w:p>
        </w:tc>
      </w:tr>
      <w:tr w:rsidR="00423F2D" w:rsidTr="00997069">
        <w:trPr>
          <w:trHeight w:val="425"/>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England</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female</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2011</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0.95</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0.184775</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0.7172342</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0.9999336</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2011-11</w:t>
            </w:r>
          </w:p>
        </w:tc>
      </w:tr>
      <w:tr w:rsidR="00423F2D" w:rsidTr="00997069">
        <w:trPr>
          <w:trHeight w:val="425"/>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lastRenderedPageBreak/>
              <w:t>England</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female</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2011</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0.94</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0.182830</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0.7172205</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0.9999199</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2011-11</w:t>
            </w:r>
          </w:p>
        </w:tc>
      </w:tr>
      <w:tr w:rsidR="00423F2D" w:rsidTr="00997069">
        <w:trPr>
          <w:trHeight w:val="425"/>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England</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female</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2011</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0.93</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0.180885</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0.7172066</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0.9999060</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2011-11</w:t>
            </w:r>
          </w:p>
        </w:tc>
      </w:tr>
      <w:tr w:rsidR="00423F2D" w:rsidTr="00997069">
        <w:trPr>
          <w:trHeight w:val="444"/>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England</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female</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2011</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0.92</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0.178940</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0.7171926</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0.9998920</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2011-11</w:t>
            </w:r>
          </w:p>
        </w:tc>
      </w:tr>
      <w:tr w:rsidR="00423F2D" w:rsidTr="00997069">
        <w:trPr>
          <w:trHeight w:val="425"/>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England</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female</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2011</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0.91</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0.176995</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0.7171785</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0.9998779</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2011-11</w:t>
            </w:r>
          </w:p>
        </w:tc>
      </w:tr>
    </w:tbl>
    <w:p w:rsidR="00423F2D" w:rsidRDefault="00423F2D" w:rsidP="00423F2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14E66609" wp14:editId="65E527A2">
            <wp:extent cx="5273675" cy="5273675"/>
            <wp:effectExtent l="0" t="0" r="317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5273675"/>
                    </a:xfrm>
                    <a:prstGeom prst="rect">
                      <a:avLst/>
                    </a:prstGeom>
                    <a:noFill/>
                  </pic:spPr>
                </pic:pic>
              </a:graphicData>
            </a:graphic>
          </wp:inline>
        </w:drawing>
      </w:r>
    </w:p>
    <w:p w:rsidR="00423F2D" w:rsidRDefault="00423F2D" w:rsidP="00423F2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For all populations except males in Northern Ireland, the addition of the 2018 single year life expectancy data led to sizeable increases in the empirical support for the belief that there has been a slowdown in life expectancy after 2010; this is seen by noting how much higher the bold line, which incorporates the 2018 data, is than the fainter lines representing cumulative data based on shorter series of observations. For most of these populations, the peak of the bold line is to the left of peaks based on earlier series, meaning not only did the 2018 observations increase the strength of evidence supporting belief in a slowdown in life expectancy improvements, but also suggested more severe </w:t>
      </w:r>
      <w:r>
        <w:rPr>
          <w:rFonts w:ascii="Helvetica" w:hAnsi="Helvetica" w:cs="Helvetica"/>
          <w:color w:val="333333"/>
          <w:sz w:val="21"/>
          <w:szCs w:val="21"/>
        </w:rPr>
        <w:lastRenderedPageBreak/>
        <w:t>magnitudes of slowdown than the series excluding this most recent observation had indicated. For the UK as a whole, the addition of the life expectancy data for 2018 suggested an overall slowdown of around 60% was most likely, compared with a most likely magnitude of slowdown of around 50% based on data up to 2017. For each of these populations, what does the Bayes Factor maximise at?</w:t>
      </w:r>
    </w:p>
    <w:p w:rsidR="00423F2D" w:rsidRDefault="00423F2D" w:rsidP="00423F2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232E4CD1" wp14:editId="4245B508">
            <wp:extent cx="5274310" cy="376745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named-chunk-44-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767455"/>
                    </a:xfrm>
                    <a:prstGeom prst="rect">
                      <a:avLst/>
                    </a:prstGeom>
                  </pic:spPr>
                </pic:pic>
              </a:graphicData>
            </a:graphic>
          </wp:inline>
        </w:drawing>
      </w:r>
    </w:p>
    <w:p w:rsidR="00423F2D" w:rsidRDefault="00423F2D" w:rsidP="00423F2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And as a table</w:t>
      </w:r>
    </w:p>
    <w:p w:rsidR="00423F2D" w:rsidRDefault="00423F2D" w:rsidP="00423F2D">
      <w:pPr>
        <w:shd w:val="clear" w:color="auto" w:fill="FFFFFF"/>
        <w:rPr>
          <w:rFonts w:ascii="Helvetica" w:hAnsi="Helvetica" w:cs="Helvetica"/>
          <w:color w:val="333333"/>
          <w:sz w:val="21"/>
          <w:szCs w:val="21"/>
        </w:rPr>
      </w:pPr>
    </w:p>
    <w:tbl>
      <w:tblPr>
        <w:tblW w:w="0" w:type="dxa"/>
        <w:tblCellMar>
          <w:top w:w="15" w:type="dxa"/>
          <w:left w:w="15" w:type="dxa"/>
          <w:bottom w:w="15" w:type="dxa"/>
          <w:right w:w="15" w:type="dxa"/>
        </w:tblCellMar>
        <w:tblLook w:val="04A0" w:firstRow="1" w:lastRow="0" w:firstColumn="1" w:lastColumn="0" w:noHBand="0" w:noVBand="1"/>
      </w:tblPr>
      <w:tblGrid>
        <w:gridCol w:w="126"/>
      </w:tblGrid>
      <w:tr w:rsidR="00423F2D" w:rsidTr="00997069">
        <w:tc>
          <w:tcPr>
            <w:tcW w:w="0" w:type="auto"/>
            <w:shd w:val="clear" w:color="auto" w:fill="auto"/>
            <w:tcMar>
              <w:top w:w="0" w:type="dxa"/>
              <w:left w:w="60" w:type="dxa"/>
              <w:bottom w:w="0" w:type="dxa"/>
              <w:right w:w="60" w:type="dxa"/>
            </w:tcMar>
            <w:vAlign w:val="center"/>
            <w:hideMark/>
          </w:tcPr>
          <w:p w:rsidR="00423F2D" w:rsidRDefault="00423F2D" w:rsidP="00997069">
            <w:pPr>
              <w:shd w:val="clear" w:color="auto" w:fill="FFFFFF"/>
              <w:rPr>
                <w:rFonts w:ascii="Helvetica" w:hAnsi="Helvetica" w:cs="Helvetica"/>
                <w:color w:val="333333"/>
                <w:sz w:val="21"/>
                <w:szCs w:val="21"/>
              </w:rPr>
            </w:pPr>
          </w:p>
        </w:tc>
      </w:tr>
    </w:tbl>
    <w:p w:rsidR="00423F2D" w:rsidRDefault="00423F2D" w:rsidP="00423F2D">
      <w:pPr>
        <w:shd w:val="clear" w:color="auto" w:fill="FFFFFF"/>
        <w:rPr>
          <w:rFonts w:ascii="Helvetica" w:hAnsi="Helvetica" w:cs="Helvetica"/>
          <w:vanish/>
          <w:color w:val="333333"/>
          <w:sz w:val="21"/>
          <w:szCs w:val="21"/>
        </w:rPr>
      </w:pPr>
    </w:p>
    <w:tbl>
      <w:tblPr>
        <w:tblW w:w="8348" w:type="dxa"/>
        <w:tblCellMar>
          <w:top w:w="15" w:type="dxa"/>
          <w:left w:w="15" w:type="dxa"/>
          <w:bottom w:w="15" w:type="dxa"/>
          <w:right w:w="15" w:type="dxa"/>
        </w:tblCellMar>
        <w:tblLook w:val="04A0" w:firstRow="1" w:lastRow="0" w:firstColumn="1" w:lastColumn="0" w:noHBand="0" w:noVBand="1"/>
      </w:tblPr>
      <w:tblGrid>
        <w:gridCol w:w="3171"/>
        <w:gridCol w:w="1386"/>
        <w:gridCol w:w="1195"/>
        <w:gridCol w:w="2596"/>
      </w:tblGrid>
      <w:tr w:rsidR="00423F2D" w:rsidTr="00997069">
        <w:trPr>
          <w:trHeight w:val="892"/>
          <w:tblHeader/>
        </w:trPr>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423F2D" w:rsidRDefault="00423F2D" w:rsidP="00997069">
            <w:pPr>
              <w:rPr>
                <w:rFonts w:ascii="Times New Roman" w:hAnsi="Times New Roman"/>
                <w:b/>
                <w:bCs/>
                <w:szCs w:val="24"/>
              </w:rPr>
            </w:pPr>
            <w:r>
              <w:rPr>
                <w:b/>
                <w:bCs/>
              </w:rPr>
              <w:t>population</w:t>
            </w:r>
          </w:p>
          <w:p w:rsidR="00423F2D" w:rsidRDefault="00423F2D" w:rsidP="00997069">
            <w:pPr>
              <w:rPr>
                <w:color w:val="999999"/>
              </w:rPr>
            </w:pPr>
            <w:r>
              <w:rPr>
                <w:color w:val="999999"/>
              </w:rPr>
              <w:t>&lt;</w:t>
            </w:r>
            <w:proofErr w:type="spellStart"/>
            <w:r>
              <w:rPr>
                <w:color w:val="999999"/>
              </w:rPr>
              <w:t>fctr</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423F2D" w:rsidRDefault="00423F2D" w:rsidP="00997069">
            <w:pPr>
              <w:rPr>
                <w:b/>
                <w:bCs/>
              </w:rPr>
            </w:pPr>
            <w:r>
              <w:rPr>
                <w:b/>
                <w:bCs/>
              </w:rPr>
              <w:t>sex</w:t>
            </w:r>
          </w:p>
          <w:p w:rsidR="00423F2D" w:rsidRDefault="00423F2D" w:rsidP="00997069">
            <w:pPr>
              <w:rPr>
                <w:color w:val="999999"/>
              </w:rPr>
            </w:pPr>
            <w:r>
              <w:rPr>
                <w:color w:val="999999"/>
              </w:rPr>
              <w:t>&lt;</w:t>
            </w:r>
            <w:proofErr w:type="spellStart"/>
            <w:r>
              <w:rPr>
                <w:color w:val="999999"/>
              </w:rPr>
              <w:t>chr</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423F2D" w:rsidRDefault="00423F2D" w:rsidP="00997069">
            <w:pPr>
              <w:jc w:val="right"/>
              <w:rPr>
                <w:b/>
                <w:bCs/>
              </w:rPr>
            </w:pPr>
            <w:r>
              <w:rPr>
                <w:b/>
                <w:bCs/>
              </w:rPr>
              <w:t>perc</w:t>
            </w:r>
          </w:p>
          <w:p w:rsidR="00423F2D" w:rsidRDefault="00423F2D" w:rsidP="00997069">
            <w:pPr>
              <w:jc w:val="right"/>
              <w:rPr>
                <w:color w:val="999999"/>
              </w:rPr>
            </w:pPr>
            <w:r>
              <w:rPr>
                <w:color w:val="999999"/>
              </w:rPr>
              <w:t>&lt;</w:t>
            </w:r>
            <w:proofErr w:type="spellStart"/>
            <w:r>
              <w:rPr>
                <w:color w:val="999999"/>
              </w:rPr>
              <w:t>dbl</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423F2D" w:rsidRDefault="00423F2D" w:rsidP="00997069">
            <w:pPr>
              <w:jc w:val="right"/>
              <w:rPr>
                <w:b/>
                <w:bCs/>
              </w:rPr>
            </w:pPr>
            <w:proofErr w:type="spellStart"/>
            <w:r>
              <w:rPr>
                <w:b/>
                <w:bCs/>
              </w:rPr>
              <w:t>bayes_factor</w:t>
            </w:r>
            <w:proofErr w:type="spellEnd"/>
          </w:p>
          <w:p w:rsidR="00423F2D" w:rsidRDefault="00423F2D" w:rsidP="00997069">
            <w:pPr>
              <w:jc w:val="right"/>
              <w:rPr>
                <w:color w:val="999999"/>
              </w:rPr>
            </w:pPr>
            <w:r>
              <w:rPr>
                <w:color w:val="999999"/>
              </w:rPr>
              <w:t>&lt;</w:t>
            </w:r>
            <w:proofErr w:type="spellStart"/>
            <w:r>
              <w:rPr>
                <w:color w:val="999999"/>
              </w:rPr>
              <w:t>dbl</w:t>
            </w:r>
            <w:proofErr w:type="spellEnd"/>
            <w:r>
              <w:rPr>
                <w:color w:val="999999"/>
              </w:rPr>
              <w:t>&gt;</w:t>
            </w:r>
          </w:p>
        </w:tc>
      </w:tr>
      <w:tr w:rsidR="00423F2D" w:rsidTr="00997069">
        <w:trPr>
          <w:trHeight w:val="436"/>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England</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female</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61</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1.002120</w:t>
            </w:r>
          </w:p>
        </w:tc>
      </w:tr>
      <w:tr w:rsidR="00423F2D" w:rsidTr="00997069">
        <w:trPr>
          <w:trHeight w:val="456"/>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England</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male</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61</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1.002958</w:t>
            </w:r>
          </w:p>
        </w:tc>
      </w:tr>
      <w:tr w:rsidR="00423F2D" w:rsidTr="00997069">
        <w:trPr>
          <w:trHeight w:val="436"/>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England &amp; Wales</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female</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62</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1.002173</w:t>
            </w:r>
          </w:p>
        </w:tc>
      </w:tr>
      <w:tr w:rsidR="00423F2D" w:rsidTr="00997069">
        <w:trPr>
          <w:trHeight w:val="436"/>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England &amp; Wales</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male</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62</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1.003081</w:t>
            </w:r>
          </w:p>
        </w:tc>
      </w:tr>
      <w:tr w:rsidR="00423F2D" w:rsidTr="00997069">
        <w:trPr>
          <w:trHeight w:val="436"/>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Great Britain</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female</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62</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1.002221</w:t>
            </w:r>
          </w:p>
        </w:tc>
      </w:tr>
      <w:tr w:rsidR="00423F2D" w:rsidTr="00997069">
        <w:trPr>
          <w:trHeight w:val="456"/>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Great Britain</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male</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62</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1.003173</w:t>
            </w:r>
          </w:p>
        </w:tc>
      </w:tr>
      <w:tr w:rsidR="00423F2D" w:rsidTr="00997069">
        <w:trPr>
          <w:trHeight w:val="436"/>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Northern Ireland</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female</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52</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1.004581</w:t>
            </w:r>
          </w:p>
        </w:tc>
      </w:tr>
      <w:tr w:rsidR="00423F2D" w:rsidTr="00997069">
        <w:trPr>
          <w:trHeight w:val="436"/>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lastRenderedPageBreak/>
              <w:t>Northern Ireland</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male</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15</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1.000435</w:t>
            </w:r>
          </w:p>
        </w:tc>
      </w:tr>
      <w:tr w:rsidR="00423F2D" w:rsidTr="00997069">
        <w:trPr>
          <w:trHeight w:val="436"/>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Scotland</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female</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73</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1.003834</w:t>
            </w:r>
          </w:p>
        </w:tc>
      </w:tr>
      <w:tr w:rsidR="00423F2D" w:rsidTr="00997069">
        <w:trPr>
          <w:trHeight w:val="436"/>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Scotland</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male</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59</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1.005845</w:t>
            </w:r>
          </w:p>
        </w:tc>
      </w:tr>
    </w:tbl>
    <w:p w:rsidR="00423F2D" w:rsidRDefault="00423F2D" w:rsidP="00423F2D">
      <w:pPr>
        <w:pStyle w:val="NormalWeb"/>
        <w:shd w:val="clear" w:color="auto" w:fill="FFFFFF"/>
        <w:spacing w:before="0" w:beforeAutospacing="0" w:after="150" w:afterAutospacing="0"/>
        <w:rPr>
          <w:rFonts w:ascii="Helvetica" w:hAnsi="Helvetica" w:cs="Helvetica"/>
          <w:color w:val="333333"/>
          <w:sz w:val="21"/>
          <w:szCs w:val="21"/>
        </w:rPr>
      </w:pPr>
    </w:p>
    <w:p w:rsidR="00423F2D" w:rsidRDefault="00423F2D" w:rsidP="00423F2D">
      <w:pPr>
        <w:rPr>
          <w:rFonts w:ascii="Helvetica" w:hAnsi="Helvetica" w:cs="Helvetica"/>
          <w:color w:val="333333"/>
          <w:sz w:val="51"/>
          <w:szCs w:val="51"/>
          <w:lang w:eastAsia="en-GB"/>
        </w:rPr>
      </w:pPr>
      <w:r>
        <w:rPr>
          <w:rFonts w:ascii="Helvetica" w:hAnsi="Helvetica" w:cs="Helvetica"/>
          <w:b/>
          <w:bCs/>
          <w:color w:val="333333"/>
          <w:sz w:val="51"/>
          <w:szCs w:val="51"/>
        </w:rPr>
        <w:t>Technical appendix</w:t>
      </w:r>
    </w:p>
    <w:p w:rsidR="00423F2D" w:rsidRDefault="00423F2D" w:rsidP="00423F2D">
      <w:pPr>
        <w:rPr>
          <w:rFonts w:ascii="inherit" w:hAnsi="inherit" w:cs="Helvetica"/>
          <w:b/>
          <w:bCs/>
          <w:color w:val="333333"/>
          <w:sz w:val="45"/>
          <w:szCs w:val="45"/>
        </w:rPr>
      </w:pPr>
      <w:r>
        <w:rPr>
          <w:rFonts w:ascii="inherit" w:hAnsi="inherit" w:cs="Helvetica"/>
          <w:b/>
          <w:bCs/>
          <w:color w:val="333333"/>
          <w:sz w:val="45"/>
          <w:szCs w:val="45"/>
        </w:rPr>
        <w:t>Likelihood and Log Likelihood of the Normal Distribution</w:t>
      </w:r>
    </w:p>
    <w:p w:rsidR="00423F2D" w:rsidRDefault="00423F2D" w:rsidP="00423F2D">
      <w:pPr>
        <w:pStyle w:val="NormalWeb"/>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For computational reasons it is more common to calculate the log likelihood of a function rather than the likelihood itself. Defining </w:t>
      </w:r>
      <w:r>
        <w:rPr>
          <w:rStyle w:val="mi"/>
          <w:rFonts w:ascii="MathJax_Math-italic" w:eastAsiaTheme="majorEastAsia" w:hAnsi="MathJax_Math-italic" w:cs="Helvetica"/>
          <w:color w:val="333333"/>
          <w:sz w:val="25"/>
          <w:szCs w:val="25"/>
          <w:bdr w:val="none" w:sz="0" w:space="0" w:color="auto" w:frame="1"/>
        </w:rPr>
        <w:t>X</w:t>
      </w:r>
      <w:r>
        <w:rPr>
          <w:rStyle w:val="mo"/>
          <w:rFonts w:ascii="MathJax_Main" w:hAnsi="MathJax_Main" w:cs="Helvetica"/>
          <w:color w:val="333333"/>
          <w:sz w:val="25"/>
          <w:szCs w:val="25"/>
          <w:bdr w:val="none" w:sz="0" w:space="0" w:color="auto" w:frame="1"/>
        </w:rPr>
        <w:t>={</w:t>
      </w:r>
      <w:r>
        <w:rPr>
          <w:rStyle w:val="mi"/>
          <w:rFonts w:ascii="MathJax_Math-italic" w:eastAsiaTheme="majorEastAsia" w:hAnsi="MathJax_Math-italic" w:cs="Helvetica"/>
          <w:color w:val="333333"/>
          <w:sz w:val="25"/>
          <w:szCs w:val="25"/>
          <w:bdr w:val="none" w:sz="0" w:space="0" w:color="auto" w:frame="1"/>
        </w:rPr>
        <w:t>x</w:t>
      </w:r>
      <w:r>
        <w:rPr>
          <w:rStyle w:val="mn"/>
          <w:rFonts w:ascii="MathJax_Main" w:eastAsiaTheme="majorEastAsia" w:hAnsi="MathJax_Main" w:cs="Helvetica"/>
          <w:color w:val="333333"/>
          <w:sz w:val="18"/>
          <w:szCs w:val="18"/>
          <w:bdr w:val="none" w:sz="0" w:space="0" w:color="auto" w:frame="1"/>
        </w:rPr>
        <w:t>1</w:t>
      </w:r>
      <w:proofErr w:type="gramStart"/>
      <w:r>
        <w:rPr>
          <w:rStyle w:val="mo"/>
          <w:rFonts w:ascii="MathJax_Main" w:hAnsi="MathJax_Main" w:cs="Helvetica"/>
          <w:color w:val="333333"/>
          <w:sz w:val="25"/>
          <w:szCs w:val="25"/>
          <w:bdr w:val="none" w:sz="0" w:space="0" w:color="auto" w:frame="1"/>
        </w:rPr>
        <w:t>,</w:t>
      </w:r>
      <w:r>
        <w:rPr>
          <w:rStyle w:val="mi"/>
          <w:rFonts w:ascii="MathJax_Math-italic" w:eastAsiaTheme="majorEastAsia" w:hAnsi="MathJax_Math-italic" w:cs="Helvetica"/>
          <w:color w:val="333333"/>
          <w:sz w:val="25"/>
          <w:szCs w:val="25"/>
          <w:bdr w:val="none" w:sz="0" w:space="0" w:color="auto" w:frame="1"/>
        </w:rPr>
        <w:t>x</w:t>
      </w:r>
      <w:r>
        <w:rPr>
          <w:rStyle w:val="mn"/>
          <w:rFonts w:ascii="MathJax_Main" w:eastAsiaTheme="majorEastAsia" w:hAnsi="MathJax_Main" w:cs="Helvetica"/>
          <w:color w:val="333333"/>
          <w:sz w:val="18"/>
          <w:szCs w:val="18"/>
          <w:bdr w:val="none" w:sz="0" w:space="0" w:color="auto" w:frame="1"/>
        </w:rPr>
        <w:t>2</w:t>
      </w:r>
      <w:proofErr w:type="gramEnd"/>
      <w:r>
        <w:rPr>
          <w:rStyle w:val="mo"/>
          <w:rFonts w:ascii="MathJax_Main" w:hAnsi="MathJax_Main" w:cs="Helvetica"/>
          <w:color w:val="333333"/>
          <w:sz w:val="25"/>
          <w:szCs w:val="25"/>
          <w:bdr w:val="none" w:sz="0" w:space="0" w:color="auto" w:frame="1"/>
        </w:rPr>
        <w:t>,...,</w:t>
      </w:r>
      <w:proofErr w:type="spellStart"/>
      <w:r>
        <w:rPr>
          <w:rStyle w:val="mi"/>
          <w:rFonts w:ascii="MathJax_Math-italic" w:eastAsiaTheme="majorEastAsia" w:hAnsi="MathJax_Math-italic" w:cs="Helvetica"/>
          <w:color w:val="333333"/>
          <w:sz w:val="25"/>
          <w:szCs w:val="25"/>
          <w:bdr w:val="none" w:sz="0" w:space="0" w:color="auto" w:frame="1"/>
        </w:rPr>
        <w:t>x</w:t>
      </w:r>
      <w:r>
        <w:rPr>
          <w:rStyle w:val="mi"/>
          <w:rFonts w:ascii="MathJax_Math-italic" w:eastAsiaTheme="majorEastAsia" w:hAnsi="MathJax_Math-italic" w:cs="Helvetica"/>
          <w:color w:val="333333"/>
          <w:sz w:val="18"/>
          <w:szCs w:val="18"/>
          <w:bdr w:val="none" w:sz="0" w:space="0" w:color="auto" w:frame="1"/>
        </w:rPr>
        <w:t>n</w:t>
      </w:r>
      <w:proofErr w:type="spellEnd"/>
      <w:r>
        <w:rPr>
          <w:rStyle w:val="mo"/>
          <w:rFonts w:ascii="MathJax_Main" w:hAnsi="MathJax_Main" w:cs="Helvetica"/>
          <w:color w:val="333333"/>
          <w:sz w:val="25"/>
          <w:szCs w:val="25"/>
          <w:bdr w:val="none" w:sz="0" w:space="0" w:color="auto" w:frame="1"/>
        </w:rPr>
        <w:t>}</w:t>
      </w:r>
      <w:r>
        <w:rPr>
          <w:rStyle w:val="mjxassistivemathml"/>
          <w:rFonts w:ascii="Helvetica" w:eastAsia="Cambria" w:hAnsi="Helvetica" w:cs="Helvetica"/>
          <w:color w:val="333333"/>
          <w:sz w:val="21"/>
          <w:szCs w:val="21"/>
          <w:bdr w:val="none" w:sz="0" w:space="0" w:color="auto" w:frame="1"/>
        </w:rPr>
        <w:t>X={x1,x2,...,</w:t>
      </w:r>
      <w:proofErr w:type="spellStart"/>
      <w:r>
        <w:rPr>
          <w:rStyle w:val="mjxassistivemathml"/>
          <w:rFonts w:ascii="Helvetica" w:eastAsia="Cambria" w:hAnsi="Helvetica" w:cs="Helvetica"/>
          <w:color w:val="333333"/>
          <w:sz w:val="21"/>
          <w:szCs w:val="21"/>
          <w:bdr w:val="none" w:sz="0" w:space="0" w:color="auto" w:frame="1"/>
        </w:rPr>
        <w:t>xn</w:t>
      </w:r>
      <w:proofErr w:type="spellEnd"/>
      <w:r>
        <w:rPr>
          <w:rStyle w:val="mjxassistivemathml"/>
          <w:rFonts w:ascii="Helvetica" w:eastAsia="Cambria" w:hAnsi="Helvetica" w:cs="Helvetica"/>
          <w:color w:val="333333"/>
          <w:sz w:val="21"/>
          <w:szCs w:val="21"/>
          <w:bdr w:val="none" w:sz="0" w:space="0" w:color="auto" w:frame="1"/>
        </w:rPr>
        <w:t>}</w:t>
      </w:r>
      <w:r>
        <w:rPr>
          <w:rFonts w:ascii="Helvetica" w:hAnsi="Helvetica" w:cs="Helvetica"/>
          <w:color w:val="333333"/>
          <w:sz w:val="21"/>
          <w:szCs w:val="21"/>
        </w:rPr>
        <w:t> as a series of </w:t>
      </w:r>
      <w:proofErr w:type="spellStart"/>
      <w:r>
        <w:rPr>
          <w:rStyle w:val="mi"/>
          <w:rFonts w:ascii="MathJax_Math-italic" w:eastAsiaTheme="majorEastAsia" w:hAnsi="MathJax_Math-italic" w:cs="Helvetica"/>
          <w:color w:val="333333"/>
          <w:sz w:val="25"/>
          <w:szCs w:val="25"/>
          <w:bdr w:val="none" w:sz="0" w:space="0" w:color="auto" w:frame="1"/>
        </w:rPr>
        <w:t>n</w:t>
      </w:r>
      <w:r>
        <w:rPr>
          <w:rStyle w:val="mjxassistivemathml"/>
          <w:rFonts w:ascii="Helvetica" w:eastAsia="Cambria" w:hAnsi="Helvetica" w:cs="Helvetica"/>
          <w:color w:val="333333"/>
          <w:sz w:val="21"/>
          <w:szCs w:val="21"/>
          <w:bdr w:val="none" w:sz="0" w:space="0" w:color="auto" w:frame="1"/>
        </w:rPr>
        <w:t>n</w:t>
      </w:r>
      <w:proofErr w:type="spellEnd"/>
      <w:r>
        <w:rPr>
          <w:rFonts w:ascii="Helvetica" w:hAnsi="Helvetica" w:cs="Helvetica"/>
          <w:color w:val="333333"/>
          <w:sz w:val="21"/>
          <w:szCs w:val="21"/>
        </w:rPr>
        <w:t> observations, the Log Likelihood of the Normal Distribution is as follows:</w:t>
      </w:r>
    </w:p>
    <w:p w:rsidR="00423F2D" w:rsidRDefault="00423F2D" w:rsidP="00423F2D">
      <w:pPr>
        <w:shd w:val="clear" w:color="auto" w:fill="FFFFFF"/>
        <w:jc w:val="center"/>
        <w:rPr>
          <w:rFonts w:ascii="Helvetica" w:hAnsi="Helvetica" w:cs="Helvetica"/>
          <w:color w:val="333333"/>
          <w:sz w:val="21"/>
          <w:szCs w:val="21"/>
        </w:rPr>
      </w:pPr>
      <w:r>
        <w:rPr>
          <w:rStyle w:val="mi"/>
          <w:rFonts w:ascii="MathJax_Math-italic" w:hAnsi="MathJax_Math-italic" w:cs="Helvetica"/>
          <w:color w:val="333333"/>
          <w:sz w:val="25"/>
          <w:szCs w:val="25"/>
          <w:bdr w:val="none" w:sz="0" w:space="0" w:color="auto" w:frame="1"/>
        </w:rPr>
        <w:t>logL</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μ</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σ</w:t>
      </w:r>
      <w:r>
        <w:rPr>
          <w:rStyle w:val="mn"/>
          <w:rFonts w:ascii="MathJax_Main" w:hAnsi="MathJax_Main" w:cs="Helvetica"/>
          <w:color w:val="333333"/>
          <w:sz w:val="18"/>
          <w:szCs w:val="18"/>
          <w:bdr w:val="none" w:sz="0" w:space="0" w:color="auto" w:frame="1"/>
        </w:rPr>
        <w:t>2</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n"/>
          <w:rFonts w:ascii="MathJax_Main" w:hAnsi="MathJax_Main" w:cs="Helvetica"/>
          <w:color w:val="333333"/>
          <w:sz w:val="18"/>
          <w:szCs w:val="18"/>
          <w:bdr w:val="none" w:sz="0" w:space="0" w:color="auto" w:frame="1"/>
        </w:rPr>
        <w:t>1</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n"/>
          <w:rFonts w:ascii="MathJax_Main" w:hAnsi="MathJax_Main" w:cs="Helvetica"/>
          <w:color w:val="333333"/>
          <w:sz w:val="18"/>
          <w:szCs w:val="18"/>
          <w:bdr w:val="none" w:sz="0" w:space="0" w:color="auto" w:frame="1"/>
        </w:rPr>
        <w:t>2</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i"/>
          <w:rFonts w:ascii="MathJax_Math-italic" w:hAnsi="MathJax_Math-italic" w:cs="Helvetica"/>
          <w:color w:val="333333"/>
          <w:sz w:val="18"/>
          <w:szCs w:val="18"/>
          <w:bdr w:val="none" w:sz="0" w:space="0" w:color="auto" w:frame="1"/>
        </w:rPr>
        <w:t>n</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n</w:t>
      </w:r>
      <w:r>
        <w:rPr>
          <w:rStyle w:val="mn"/>
          <w:rFonts w:ascii="MathJax_Main" w:hAnsi="MathJax_Main" w:cs="Helvetica"/>
          <w:color w:val="333333"/>
          <w:sz w:val="25"/>
          <w:szCs w:val="25"/>
          <w:bdr w:val="none" w:sz="0" w:space="0" w:color="auto" w:frame="1"/>
        </w:rPr>
        <w:t>2</w:t>
      </w:r>
      <w:r>
        <w:rPr>
          <w:rStyle w:val="mi"/>
          <w:rFonts w:ascii="MathJax_Math-italic" w:hAnsi="MathJax_Math-italic" w:cs="Helvetica"/>
          <w:color w:val="333333"/>
          <w:sz w:val="25"/>
          <w:szCs w:val="25"/>
          <w:bdr w:val="none" w:sz="0" w:space="0" w:color="auto" w:frame="1"/>
        </w:rPr>
        <w:t>log</w:t>
      </w:r>
      <w:r>
        <w:rPr>
          <w:rStyle w:val="mo"/>
          <w:rFonts w:ascii="MathJax_Main" w:hAnsi="MathJax_Main" w:cs="Helvetica"/>
          <w:color w:val="333333"/>
          <w:sz w:val="25"/>
          <w:szCs w:val="25"/>
          <w:bdr w:val="none" w:sz="0" w:space="0" w:color="auto" w:frame="1"/>
        </w:rPr>
        <w:t>(</w:t>
      </w:r>
      <w:r>
        <w:rPr>
          <w:rStyle w:val="mn"/>
          <w:rFonts w:ascii="MathJax_Main" w:hAnsi="MathJax_Main" w:cs="Helvetica"/>
          <w:color w:val="333333"/>
          <w:sz w:val="25"/>
          <w:szCs w:val="25"/>
          <w:bdr w:val="none" w:sz="0" w:space="0" w:color="auto" w:frame="1"/>
        </w:rPr>
        <w:t>2</w:t>
      </w:r>
      <w:r>
        <w:rPr>
          <w:rStyle w:val="mi"/>
          <w:rFonts w:ascii="MathJax_Math-italic" w:hAnsi="MathJax_Math-italic" w:cs="Helvetica"/>
          <w:color w:val="333333"/>
          <w:sz w:val="25"/>
          <w:szCs w:val="25"/>
          <w:bdr w:val="none" w:sz="0" w:space="0" w:color="auto" w:frame="1"/>
        </w:rPr>
        <w:t>π</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nlog</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σ</w:t>
      </w:r>
      <w:r>
        <w:rPr>
          <w:rStyle w:val="mo"/>
          <w:rFonts w:ascii="MathJax_Main" w:hAnsi="MathJax_Main" w:cs="Helvetica"/>
          <w:color w:val="333333"/>
          <w:sz w:val="25"/>
          <w:szCs w:val="25"/>
          <w:bdr w:val="none" w:sz="0" w:space="0" w:color="auto" w:frame="1"/>
        </w:rPr>
        <w:t>)−</w:t>
      </w:r>
      <w:r>
        <w:rPr>
          <w:rStyle w:val="mn"/>
          <w:rFonts w:ascii="MathJax_Main" w:hAnsi="MathJax_Main" w:cs="Helvetica"/>
          <w:color w:val="333333"/>
          <w:sz w:val="25"/>
          <w:szCs w:val="25"/>
          <w:bdr w:val="none" w:sz="0" w:space="0" w:color="auto" w:frame="1"/>
        </w:rPr>
        <w:t>12</w:t>
      </w:r>
      <w:r>
        <w:rPr>
          <w:rStyle w:val="mi"/>
          <w:rFonts w:ascii="MathJax_Math-italic" w:hAnsi="MathJax_Math-italic" w:cs="Helvetica"/>
          <w:color w:val="333333"/>
          <w:sz w:val="25"/>
          <w:szCs w:val="25"/>
          <w:bdr w:val="none" w:sz="0" w:space="0" w:color="auto" w:frame="1"/>
        </w:rPr>
        <w:t>σ</w:t>
      </w:r>
      <w:r>
        <w:rPr>
          <w:rStyle w:val="mn"/>
          <w:rFonts w:ascii="MathJax_Main" w:hAnsi="MathJax_Main" w:cs="Helvetica"/>
          <w:color w:val="333333"/>
          <w:sz w:val="18"/>
          <w:szCs w:val="18"/>
          <w:bdr w:val="none" w:sz="0" w:space="0" w:color="auto" w:frame="1"/>
        </w:rPr>
        <w:t>2</w:t>
      </w:r>
      <w:r>
        <w:rPr>
          <w:rStyle w:val="mo"/>
          <w:rFonts w:ascii="MathJax_Size2" w:hAnsi="MathJax_Size2" w:cs="Helvetica"/>
          <w:color w:val="333333"/>
          <w:sz w:val="25"/>
          <w:szCs w:val="25"/>
          <w:bdr w:val="none" w:sz="0" w:space="0" w:color="auto" w:frame="1"/>
        </w:rPr>
        <w:t>∑</w:t>
      </w:r>
      <w:r>
        <w:rPr>
          <w:rStyle w:val="mi"/>
          <w:rFonts w:ascii="MathJax_Math-italic" w:hAnsi="MathJax_Math-italic" w:cs="Helvetica"/>
          <w:color w:val="333333"/>
          <w:sz w:val="18"/>
          <w:szCs w:val="18"/>
          <w:bdr w:val="none" w:sz="0" w:space="0" w:color="auto" w:frame="1"/>
        </w:rPr>
        <w:t>i</w:t>
      </w:r>
      <w:r>
        <w:rPr>
          <w:rStyle w:val="mo"/>
          <w:rFonts w:ascii="MathJax_Main" w:hAnsi="MathJax_Main" w:cs="Helvetica"/>
          <w:color w:val="333333"/>
          <w:sz w:val="18"/>
          <w:szCs w:val="18"/>
          <w:bdr w:val="none" w:sz="0" w:space="0" w:color="auto" w:frame="1"/>
        </w:rPr>
        <w:t>=</w:t>
      </w:r>
      <w:r>
        <w:rPr>
          <w:rStyle w:val="mn"/>
          <w:rFonts w:ascii="MathJax_Main" w:hAnsi="MathJax_Main" w:cs="Helvetica"/>
          <w:color w:val="333333"/>
          <w:sz w:val="18"/>
          <w:szCs w:val="18"/>
          <w:bdr w:val="none" w:sz="0" w:space="0" w:color="auto" w:frame="1"/>
        </w:rPr>
        <w:t>1</w:t>
      </w:r>
      <w:r>
        <w:rPr>
          <w:rStyle w:val="mi"/>
          <w:rFonts w:ascii="MathJax_Math-italic" w:hAnsi="MathJax_Math-italic" w:cs="Helvetica"/>
          <w:color w:val="333333"/>
          <w:sz w:val="18"/>
          <w:szCs w:val="18"/>
          <w:bdr w:val="none" w:sz="0" w:space="0" w:color="auto" w:frame="1"/>
        </w:rPr>
        <w:t>n</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i"/>
          <w:rFonts w:ascii="MathJax_Math-italic" w:hAnsi="MathJax_Math-italic" w:cs="Helvetica"/>
          <w:color w:val="333333"/>
          <w:sz w:val="18"/>
          <w:szCs w:val="18"/>
          <w:bdr w:val="none" w:sz="0" w:space="0" w:color="auto" w:frame="1"/>
        </w:rPr>
        <w:t>i</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μ</w:t>
      </w:r>
      <w:r>
        <w:rPr>
          <w:rStyle w:val="mo"/>
          <w:rFonts w:ascii="MathJax_Main" w:hAnsi="MathJax_Main" w:cs="Helvetica"/>
          <w:color w:val="333333"/>
          <w:sz w:val="25"/>
          <w:szCs w:val="25"/>
          <w:bdr w:val="none" w:sz="0" w:space="0" w:color="auto" w:frame="1"/>
        </w:rPr>
        <w:t>)</w:t>
      </w:r>
      <w:r>
        <w:rPr>
          <w:rStyle w:val="mn"/>
          <w:rFonts w:ascii="MathJax_Main" w:hAnsi="MathJax_Main" w:cs="Helvetica"/>
          <w:color w:val="333333"/>
          <w:sz w:val="18"/>
          <w:szCs w:val="18"/>
          <w:bdr w:val="none" w:sz="0" w:space="0" w:color="auto" w:frame="1"/>
        </w:rPr>
        <w:t>2</w:t>
      </w:r>
      <w:r>
        <w:rPr>
          <w:rStyle w:val="mjxassistivemathml"/>
          <w:rFonts w:ascii="Helvetica" w:hAnsi="Helvetica" w:cs="Helvetica"/>
          <w:color w:val="333333"/>
          <w:sz w:val="21"/>
          <w:szCs w:val="21"/>
          <w:bdr w:val="none" w:sz="0" w:space="0" w:color="auto" w:frame="1"/>
        </w:rPr>
        <w:t>logL(μ,σ2|X={x1,x2,...,xn})=−n2log(2π)−nlog(σ)−12σ2∑i=1n(xi−μ)2</w:t>
      </w:r>
    </w:p>
    <w:p w:rsidR="00423F2D" w:rsidRDefault="00423F2D" w:rsidP="00423F2D">
      <w:pPr>
        <w:shd w:val="clear" w:color="auto" w:fill="FFFFFF"/>
        <w:rPr>
          <w:rFonts w:ascii="Helvetica" w:hAnsi="Helvetica" w:cs="Helvetica"/>
          <w:color w:val="333333"/>
          <w:sz w:val="21"/>
          <w:szCs w:val="21"/>
        </w:rPr>
      </w:pPr>
      <w:r>
        <w:rPr>
          <w:rFonts w:ascii="Helvetica" w:hAnsi="Helvetica" w:cs="Helvetica"/>
          <w:color w:val="333333"/>
          <w:sz w:val="21"/>
          <w:szCs w:val="21"/>
        </w:rPr>
        <w:t>This is implemented as a function in R as follows:</w:t>
      </w:r>
    </w:p>
    <w:p w:rsidR="00423F2D" w:rsidRDefault="00423F2D" w:rsidP="00423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Cambria"/>
          <w:color w:val="333333"/>
        </w:rPr>
      </w:pPr>
      <w:proofErr w:type="spellStart"/>
      <w:r>
        <w:rPr>
          <w:rStyle w:val="HTMLCode"/>
          <w:rFonts w:eastAsia="Cambria"/>
          <w:color w:val="333333"/>
        </w:rPr>
        <w:t>get_ll</w:t>
      </w:r>
      <w:proofErr w:type="spellEnd"/>
      <w:r>
        <w:rPr>
          <w:rStyle w:val="HTMLCode"/>
          <w:rFonts w:eastAsia="Cambria"/>
          <w:color w:val="333333"/>
        </w:rPr>
        <w:t xml:space="preserve"> &lt;- </w:t>
      </w:r>
      <w:r>
        <w:rPr>
          <w:rStyle w:val="hljs-keyword"/>
          <w:b/>
          <w:bCs/>
          <w:color w:val="990000"/>
        </w:rPr>
        <w:t>function</w:t>
      </w:r>
      <w:r>
        <w:rPr>
          <w:rStyle w:val="HTMLCode"/>
          <w:rFonts w:eastAsia="Cambria"/>
          <w:color w:val="333333"/>
        </w:rPr>
        <w:t xml:space="preserve">(x, mu, </w:t>
      </w:r>
      <w:proofErr w:type="spellStart"/>
      <w:r>
        <w:rPr>
          <w:rStyle w:val="HTMLCode"/>
          <w:rFonts w:eastAsia="Cambria"/>
          <w:color w:val="333333"/>
        </w:rPr>
        <w:t>sig_sq</w:t>
      </w:r>
      <w:proofErr w:type="spellEnd"/>
      <w:proofErr w:type="gramStart"/>
      <w:r>
        <w:rPr>
          <w:rStyle w:val="HTMLCode"/>
          <w:rFonts w:eastAsia="Cambria"/>
          <w:color w:val="333333"/>
        </w:rPr>
        <w:t>){</w:t>
      </w:r>
      <w:proofErr w:type="gramEnd"/>
    </w:p>
    <w:p w:rsidR="00423F2D" w:rsidRDefault="00423F2D" w:rsidP="00423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Cambria"/>
          <w:color w:val="333333"/>
        </w:rPr>
      </w:pPr>
      <w:r>
        <w:rPr>
          <w:rStyle w:val="HTMLCode"/>
          <w:rFonts w:eastAsia="Cambria"/>
          <w:color w:val="333333"/>
        </w:rPr>
        <w:t xml:space="preserve">  </w:t>
      </w:r>
      <w:proofErr w:type="gramStart"/>
      <w:r>
        <w:rPr>
          <w:rStyle w:val="HTMLCode"/>
          <w:rFonts w:eastAsia="Cambria"/>
          <w:color w:val="333333"/>
        </w:rPr>
        <w:t>sig</w:t>
      </w:r>
      <w:proofErr w:type="gramEnd"/>
      <w:r>
        <w:rPr>
          <w:rStyle w:val="HTMLCode"/>
          <w:rFonts w:eastAsia="Cambria"/>
          <w:color w:val="333333"/>
        </w:rPr>
        <w:t xml:space="preserve"> &lt;- </w:t>
      </w:r>
      <w:proofErr w:type="spellStart"/>
      <w:r>
        <w:rPr>
          <w:rStyle w:val="HTMLCode"/>
          <w:rFonts w:eastAsia="Cambria"/>
          <w:color w:val="333333"/>
        </w:rPr>
        <w:t>sqrt</w:t>
      </w:r>
      <w:proofErr w:type="spellEnd"/>
      <w:r>
        <w:rPr>
          <w:rStyle w:val="HTMLCode"/>
          <w:rFonts w:eastAsia="Cambria"/>
          <w:color w:val="333333"/>
        </w:rPr>
        <w:t>(</w:t>
      </w:r>
      <w:proofErr w:type="spellStart"/>
      <w:r>
        <w:rPr>
          <w:rStyle w:val="HTMLCode"/>
          <w:rFonts w:eastAsia="Cambria"/>
          <w:color w:val="333333"/>
        </w:rPr>
        <w:t>sig_sq</w:t>
      </w:r>
      <w:proofErr w:type="spellEnd"/>
      <w:r>
        <w:rPr>
          <w:rStyle w:val="HTMLCode"/>
          <w:rFonts w:eastAsia="Cambria"/>
          <w:color w:val="333333"/>
        </w:rPr>
        <w:t>)</w:t>
      </w:r>
    </w:p>
    <w:p w:rsidR="00423F2D" w:rsidRDefault="00423F2D" w:rsidP="00423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Cambria"/>
          <w:color w:val="333333"/>
        </w:rPr>
      </w:pPr>
      <w:r>
        <w:rPr>
          <w:rStyle w:val="HTMLCode"/>
          <w:rFonts w:eastAsia="Cambria"/>
          <w:color w:val="333333"/>
        </w:rPr>
        <w:t xml:space="preserve">  n &lt;- length(x)</w:t>
      </w:r>
    </w:p>
    <w:p w:rsidR="00423F2D" w:rsidRDefault="00423F2D" w:rsidP="00423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Cambria"/>
          <w:color w:val="333333"/>
        </w:rPr>
      </w:pPr>
      <w:r>
        <w:rPr>
          <w:rStyle w:val="HTMLCode"/>
          <w:rFonts w:eastAsia="Cambria"/>
          <w:color w:val="333333"/>
        </w:rPr>
        <w:t xml:space="preserve">  </w:t>
      </w:r>
    </w:p>
    <w:p w:rsidR="00423F2D" w:rsidRDefault="00423F2D" w:rsidP="00423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Cambria"/>
          <w:color w:val="333333"/>
        </w:rPr>
      </w:pPr>
      <w:r>
        <w:rPr>
          <w:rStyle w:val="HTMLCode"/>
          <w:rFonts w:eastAsia="Cambria"/>
          <w:color w:val="333333"/>
        </w:rPr>
        <w:t xml:space="preserve">  - </w:t>
      </w:r>
      <w:proofErr w:type="gramStart"/>
      <w:r>
        <w:rPr>
          <w:rStyle w:val="HTMLCode"/>
          <w:rFonts w:eastAsia="Cambria"/>
          <w:color w:val="333333"/>
        </w:rPr>
        <w:t>n</w:t>
      </w:r>
      <w:proofErr w:type="gramEnd"/>
      <w:r>
        <w:rPr>
          <w:rStyle w:val="HTMLCode"/>
          <w:rFonts w:eastAsia="Cambria"/>
          <w:color w:val="333333"/>
        </w:rPr>
        <w:t xml:space="preserve"> * log(sig)  - (n/</w:t>
      </w:r>
      <w:r>
        <w:rPr>
          <w:rStyle w:val="hljs-number"/>
          <w:rFonts w:eastAsiaTheme="minorHAnsi"/>
          <w:color w:val="009999"/>
        </w:rPr>
        <w:t>2</w:t>
      </w:r>
      <w:r>
        <w:rPr>
          <w:rStyle w:val="HTMLCode"/>
          <w:rFonts w:eastAsia="Cambria"/>
          <w:color w:val="333333"/>
        </w:rPr>
        <w:t>) * log(</w:t>
      </w:r>
      <w:r>
        <w:rPr>
          <w:rStyle w:val="hljs-number"/>
          <w:rFonts w:eastAsiaTheme="minorHAnsi"/>
          <w:color w:val="009999"/>
        </w:rPr>
        <w:t>2</w:t>
      </w:r>
      <w:r>
        <w:rPr>
          <w:rStyle w:val="HTMLCode"/>
          <w:rFonts w:eastAsia="Cambria"/>
          <w:color w:val="333333"/>
        </w:rPr>
        <w:t xml:space="preserve"> * pi) - (</w:t>
      </w:r>
      <w:r>
        <w:rPr>
          <w:rStyle w:val="hljs-number"/>
          <w:rFonts w:eastAsiaTheme="minorHAnsi"/>
          <w:color w:val="009999"/>
        </w:rPr>
        <w:t>1</w:t>
      </w:r>
      <w:r>
        <w:rPr>
          <w:rStyle w:val="HTMLCode"/>
          <w:rFonts w:eastAsia="Cambria"/>
          <w:color w:val="333333"/>
        </w:rPr>
        <w:t xml:space="preserve"> / </w:t>
      </w:r>
      <w:r>
        <w:rPr>
          <w:rStyle w:val="hljs-number"/>
          <w:rFonts w:eastAsiaTheme="minorHAnsi"/>
          <w:color w:val="009999"/>
        </w:rPr>
        <w:t>2</w:t>
      </w:r>
      <w:r>
        <w:rPr>
          <w:rStyle w:val="HTMLCode"/>
          <w:rFonts w:eastAsia="Cambria"/>
          <w:color w:val="333333"/>
        </w:rPr>
        <w:t xml:space="preserve"> * </w:t>
      </w:r>
      <w:proofErr w:type="spellStart"/>
      <w:r>
        <w:rPr>
          <w:rStyle w:val="HTMLCode"/>
          <w:rFonts w:eastAsia="Cambria"/>
          <w:color w:val="333333"/>
        </w:rPr>
        <w:t>sig_sq</w:t>
      </w:r>
      <w:proofErr w:type="spellEnd"/>
      <w:r>
        <w:rPr>
          <w:rStyle w:val="HTMLCode"/>
          <w:rFonts w:eastAsia="Cambria"/>
          <w:color w:val="333333"/>
        </w:rPr>
        <w:t>) * sum((x - mu)^</w:t>
      </w:r>
      <w:r>
        <w:rPr>
          <w:rStyle w:val="hljs-number"/>
          <w:rFonts w:eastAsiaTheme="minorHAnsi"/>
          <w:color w:val="009999"/>
        </w:rPr>
        <w:t>2</w:t>
      </w:r>
      <w:r>
        <w:rPr>
          <w:rStyle w:val="HTMLCode"/>
          <w:rFonts w:eastAsia="Cambria"/>
          <w:color w:val="333333"/>
        </w:rPr>
        <w:t>)</w:t>
      </w:r>
    </w:p>
    <w:p w:rsidR="00423F2D" w:rsidRDefault="00423F2D" w:rsidP="00423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rFonts w:eastAsia="Cambria"/>
          <w:color w:val="333333"/>
        </w:rPr>
        <w:t>}</w:t>
      </w:r>
    </w:p>
    <w:p w:rsidR="00423F2D" w:rsidRDefault="00423F2D" w:rsidP="00423F2D">
      <w:pPr>
        <w:pStyle w:val="NormalWeb"/>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The Bayes Factor is defined as ratio of Likelihoods of two models. In the general case, if </w:t>
      </w:r>
      <w:proofErr w:type="gramStart"/>
      <w:r>
        <w:rPr>
          <w:rStyle w:val="mi"/>
          <w:rFonts w:ascii="MathJax_Math-italic" w:eastAsiaTheme="majorEastAsia" w:hAnsi="MathJax_Math-italic" w:cs="Helvetica"/>
          <w:color w:val="333333"/>
          <w:sz w:val="25"/>
          <w:szCs w:val="25"/>
          <w:bdr w:val="none" w:sz="0" w:space="0" w:color="auto" w:frame="1"/>
        </w:rPr>
        <w:t>g</w:t>
      </w:r>
      <w:r>
        <w:rPr>
          <w:rStyle w:val="mo"/>
          <w:rFonts w:ascii="MathJax_Main" w:hAnsi="MathJax_Main" w:cs="Helvetica"/>
          <w:color w:val="333333"/>
          <w:sz w:val="25"/>
          <w:szCs w:val="25"/>
          <w:bdr w:val="none" w:sz="0" w:space="0" w:color="auto" w:frame="1"/>
        </w:rPr>
        <w:t>(</w:t>
      </w:r>
      <w:proofErr w:type="gramEnd"/>
      <w:r>
        <w:rPr>
          <w:rStyle w:val="mi"/>
          <w:rFonts w:ascii="MathJax_Math-italic" w:eastAsiaTheme="majorEastAsia" w:hAnsi="MathJax_Math-italic" w:cs="Helvetica"/>
          <w:color w:val="333333"/>
          <w:sz w:val="25"/>
          <w:szCs w:val="25"/>
          <w:bdr w:val="none" w:sz="0" w:space="0" w:color="auto" w:frame="1"/>
        </w:rPr>
        <w:t>θ</w:t>
      </w:r>
      <w:r>
        <w:rPr>
          <w:rStyle w:val="mo"/>
          <w:rFonts w:ascii="MathJax_Main" w:hAnsi="MathJax_Main" w:cs="Helvetica"/>
          <w:color w:val="333333"/>
          <w:sz w:val="25"/>
          <w:szCs w:val="25"/>
          <w:bdr w:val="none" w:sz="0" w:space="0" w:color="auto" w:frame="1"/>
        </w:rPr>
        <w:t>)</w:t>
      </w:r>
      <w:r>
        <w:rPr>
          <w:rStyle w:val="mjxassistivemathml"/>
          <w:rFonts w:ascii="Helvetica" w:eastAsia="Cambria" w:hAnsi="Helvetica" w:cs="Helvetica"/>
          <w:color w:val="333333"/>
          <w:sz w:val="21"/>
          <w:szCs w:val="21"/>
          <w:bdr w:val="none" w:sz="0" w:space="0" w:color="auto" w:frame="1"/>
        </w:rPr>
        <w:t>g(θ)</w:t>
      </w:r>
      <w:r>
        <w:rPr>
          <w:rFonts w:ascii="Helvetica" w:hAnsi="Helvetica" w:cs="Helvetica"/>
          <w:color w:val="333333"/>
          <w:sz w:val="21"/>
          <w:szCs w:val="21"/>
        </w:rPr>
        <w:t> refers to a model with parameters </w:t>
      </w:r>
      <w:proofErr w:type="spellStart"/>
      <w:r>
        <w:rPr>
          <w:rStyle w:val="mi"/>
          <w:rFonts w:ascii="MathJax_Math-italic" w:eastAsiaTheme="majorEastAsia" w:hAnsi="MathJax_Math-italic" w:cs="Helvetica"/>
          <w:color w:val="333333"/>
          <w:sz w:val="25"/>
          <w:szCs w:val="25"/>
          <w:bdr w:val="none" w:sz="0" w:space="0" w:color="auto" w:frame="1"/>
        </w:rPr>
        <w:t>θ</w:t>
      </w:r>
      <w:r>
        <w:rPr>
          <w:rStyle w:val="mjxassistivemathml"/>
          <w:rFonts w:ascii="Helvetica" w:eastAsia="Cambria" w:hAnsi="Helvetica" w:cs="Helvetica"/>
          <w:color w:val="333333"/>
          <w:sz w:val="21"/>
          <w:szCs w:val="21"/>
          <w:bdr w:val="none" w:sz="0" w:space="0" w:color="auto" w:frame="1"/>
        </w:rPr>
        <w:t>θ</w:t>
      </w:r>
      <w:proofErr w:type="spellEnd"/>
      <w:r>
        <w:rPr>
          <w:rFonts w:ascii="Helvetica" w:hAnsi="Helvetica" w:cs="Helvetica"/>
          <w:color w:val="333333"/>
          <w:sz w:val="21"/>
          <w:szCs w:val="21"/>
        </w:rPr>
        <w:t>, and </w:t>
      </w:r>
      <w:proofErr w:type="spellStart"/>
      <w:r>
        <w:rPr>
          <w:rStyle w:val="mi"/>
          <w:rFonts w:ascii="MathJax_Math-italic" w:eastAsiaTheme="majorEastAsia" w:hAnsi="MathJax_Math-italic" w:cs="Helvetica"/>
          <w:color w:val="333333"/>
          <w:sz w:val="25"/>
          <w:szCs w:val="25"/>
          <w:bdr w:val="none" w:sz="0" w:space="0" w:color="auto" w:frame="1"/>
        </w:rPr>
        <w:t>θ</w:t>
      </w:r>
      <w:r>
        <w:rPr>
          <w:rStyle w:val="mi"/>
          <w:rFonts w:ascii="MathJax_Math-italic" w:eastAsiaTheme="majorEastAsia" w:hAnsi="MathJax_Math-italic" w:cs="Helvetica"/>
          <w:color w:val="333333"/>
          <w:sz w:val="18"/>
          <w:szCs w:val="18"/>
          <w:bdr w:val="none" w:sz="0" w:space="0" w:color="auto" w:frame="1"/>
        </w:rPr>
        <w:t>null</w:t>
      </w:r>
      <w:r>
        <w:rPr>
          <w:rStyle w:val="mjxassistivemathml"/>
          <w:rFonts w:ascii="Helvetica" w:eastAsia="Cambria" w:hAnsi="Helvetica" w:cs="Helvetica"/>
          <w:color w:val="333333"/>
          <w:sz w:val="21"/>
          <w:szCs w:val="21"/>
          <w:bdr w:val="none" w:sz="0" w:space="0" w:color="auto" w:frame="1"/>
        </w:rPr>
        <w:t>θnull</w:t>
      </w:r>
      <w:proofErr w:type="spellEnd"/>
      <w:r>
        <w:rPr>
          <w:rFonts w:ascii="Helvetica" w:hAnsi="Helvetica" w:cs="Helvetica"/>
          <w:color w:val="333333"/>
          <w:sz w:val="21"/>
          <w:szCs w:val="21"/>
        </w:rPr>
        <w:t> and </w:t>
      </w:r>
      <w:proofErr w:type="spellStart"/>
      <w:r>
        <w:rPr>
          <w:rStyle w:val="mi"/>
          <w:rFonts w:ascii="MathJax_Math-italic" w:eastAsiaTheme="majorEastAsia" w:hAnsi="MathJax_Math-italic" w:cs="Helvetica"/>
          <w:color w:val="333333"/>
          <w:sz w:val="25"/>
          <w:szCs w:val="25"/>
          <w:bdr w:val="none" w:sz="0" w:space="0" w:color="auto" w:frame="1"/>
        </w:rPr>
        <w:t>θ</w:t>
      </w:r>
      <w:r>
        <w:rPr>
          <w:rStyle w:val="mi"/>
          <w:rFonts w:ascii="MathJax_Math-italic" w:eastAsiaTheme="majorEastAsia" w:hAnsi="MathJax_Math-italic" w:cs="Helvetica"/>
          <w:color w:val="333333"/>
          <w:sz w:val="18"/>
          <w:szCs w:val="18"/>
          <w:bdr w:val="none" w:sz="0" w:space="0" w:color="auto" w:frame="1"/>
        </w:rPr>
        <w:t>alt</w:t>
      </w:r>
      <w:r>
        <w:rPr>
          <w:rStyle w:val="mjxassistivemathml"/>
          <w:rFonts w:ascii="Helvetica" w:eastAsia="Cambria" w:hAnsi="Helvetica" w:cs="Helvetica"/>
          <w:color w:val="333333"/>
          <w:sz w:val="21"/>
          <w:szCs w:val="21"/>
          <w:bdr w:val="none" w:sz="0" w:space="0" w:color="auto" w:frame="1"/>
        </w:rPr>
        <w:t>θalt</w:t>
      </w:r>
      <w:proofErr w:type="spellEnd"/>
      <w:r>
        <w:rPr>
          <w:rFonts w:ascii="Helvetica" w:hAnsi="Helvetica" w:cs="Helvetica"/>
          <w:color w:val="333333"/>
          <w:sz w:val="21"/>
          <w:szCs w:val="21"/>
        </w:rPr>
        <w:t> to two different candidate parameters, then the Bayes Factor is</w:t>
      </w:r>
    </w:p>
    <w:p w:rsidR="00423F2D" w:rsidRDefault="00423F2D" w:rsidP="00423F2D">
      <w:pPr>
        <w:shd w:val="clear" w:color="auto" w:fill="FFFFFF"/>
        <w:jc w:val="center"/>
        <w:rPr>
          <w:rFonts w:ascii="Helvetica" w:hAnsi="Helvetica" w:cs="Helvetica"/>
          <w:color w:val="333333"/>
          <w:sz w:val="21"/>
          <w:szCs w:val="21"/>
        </w:rPr>
      </w:pPr>
      <w:r>
        <w:rPr>
          <w:rStyle w:val="mi"/>
          <w:rFonts w:ascii="MathJax_Math-italic" w:hAnsi="MathJax_Math-italic" w:cs="Helvetica"/>
          <w:color w:val="333333"/>
          <w:sz w:val="25"/>
          <w:szCs w:val="25"/>
          <w:bdr w:val="none" w:sz="0" w:space="0" w:color="auto" w:frame="1"/>
        </w:rPr>
        <w:t>L</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g</w:t>
      </w:r>
      <w:r>
        <w:rPr>
          <w:rStyle w:val="mo"/>
          <w:rFonts w:ascii="MathJax_Main" w:hAnsi="MathJax_Main" w:cs="Helvetica"/>
          <w:color w:val="333333"/>
          <w:sz w:val="25"/>
          <w:szCs w:val="25"/>
          <w:bdr w:val="none" w:sz="0" w:space="0" w:color="auto" w:frame="1"/>
        </w:rPr>
        <w:t>(</w:t>
      </w:r>
      <w:proofErr w:type="spellStart"/>
      <w:r>
        <w:rPr>
          <w:rStyle w:val="mi"/>
          <w:rFonts w:ascii="MathJax_Math-italic" w:hAnsi="MathJax_Math-italic" w:cs="Helvetica"/>
          <w:color w:val="333333"/>
          <w:sz w:val="25"/>
          <w:szCs w:val="25"/>
          <w:bdr w:val="none" w:sz="0" w:space="0" w:color="auto" w:frame="1"/>
        </w:rPr>
        <w:t>θ</w:t>
      </w:r>
      <w:r>
        <w:rPr>
          <w:rStyle w:val="mi"/>
          <w:rFonts w:ascii="MathJax_Math-italic" w:hAnsi="MathJax_Math-italic" w:cs="Helvetica"/>
          <w:color w:val="333333"/>
          <w:sz w:val="18"/>
          <w:szCs w:val="18"/>
          <w:bdr w:val="none" w:sz="0" w:space="0" w:color="auto" w:frame="1"/>
        </w:rPr>
        <w:t>alt</w:t>
      </w:r>
      <w:proofErr w:type="spellEnd"/>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L</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g</w:t>
      </w:r>
      <w:r>
        <w:rPr>
          <w:rStyle w:val="mo"/>
          <w:rFonts w:ascii="MathJax_Main" w:hAnsi="MathJax_Main" w:cs="Helvetica"/>
          <w:color w:val="333333"/>
          <w:sz w:val="25"/>
          <w:szCs w:val="25"/>
          <w:bdr w:val="none" w:sz="0" w:space="0" w:color="auto" w:frame="1"/>
        </w:rPr>
        <w:t>(</w:t>
      </w:r>
      <w:proofErr w:type="spellStart"/>
      <w:r>
        <w:rPr>
          <w:rStyle w:val="mi"/>
          <w:rFonts w:ascii="MathJax_Math-italic" w:hAnsi="MathJax_Math-italic" w:cs="Helvetica"/>
          <w:color w:val="333333"/>
          <w:sz w:val="25"/>
          <w:szCs w:val="25"/>
          <w:bdr w:val="none" w:sz="0" w:space="0" w:color="auto" w:frame="1"/>
        </w:rPr>
        <w:t>θ</w:t>
      </w:r>
      <w:r>
        <w:rPr>
          <w:rStyle w:val="mi"/>
          <w:rFonts w:ascii="MathJax_Math-italic" w:hAnsi="MathJax_Math-italic" w:cs="Helvetica"/>
          <w:color w:val="333333"/>
          <w:sz w:val="18"/>
          <w:szCs w:val="18"/>
          <w:bdr w:val="none" w:sz="0" w:space="0" w:color="auto" w:frame="1"/>
        </w:rPr>
        <w:t>null</w:t>
      </w:r>
      <w:proofErr w:type="spellEnd"/>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o"/>
          <w:rFonts w:ascii="MathJax_Main" w:hAnsi="MathJax_Main" w:cs="Helvetica"/>
          <w:color w:val="333333"/>
          <w:sz w:val="25"/>
          <w:szCs w:val="25"/>
          <w:bdr w:val="none" w:sz="0" w:space="0" w:color="auto" w:frame="1"/>
        </w:rPr>
        <w:t>)</w:t>
      </w:r>
      <w:r>
        <w:rPr>
          <w:rStyle w:val="mjxassistivemathml"/>
          <w:rFonts w:ascii="Helvetica" w:hAnsi="Helvetica" w:cs="Helvetica"/>
          <w:color w:val="333333"/>
          <w:sz w:val="21"/>
          <w:szCs w:val="21"/>
          <w:bdr w:val="none" w:sz="0" w:space="0" w:color="auto" w:frame="1"/>
        </w:rPr>
        <w:t>L(g(</w:t>
      </w:r>
      <w:proofErr w:type="spellStart"/>
      <w:r>
        <w:rPr>
          <w:rStyle w:val="mjxassistivemathml"/>
          <w:rFonts w:ascii="Helvetica" w:hAnsi="Helvetica" w:cs="Helvetica"/>
          <w:color w:val="333333"/>
          <w:sz w:val="21"/>
          <w:szCs w:val="21"/>
          <w:bdr w:val="none" w:sz="0" w:space="0" w:color="auto" w:frame="1"/>
        </w:rPr>
        <w:t>θalt</w:t>
      </w:r>
      <w:proofErr w:type="spellEnd"/>
      <w:r>
        <w:rPr>
          <w:rStyle w:val="mjxassistivemathml"/>
          <w:rFonts w:ascii="Helvetica" w:hAnsi="Helvetica" w:cs="Helvetica"/>
          <w:color w:val="333333"/>
          <w:sz w:val="21"/>
          <w:szCs w:val="21"/>
          <w:bdr w:val="none" w:sz="0" w:space="0" w:color="auto" w:frame="1"/>
        </w:rPr>
        <w:t>)|X)L(g(</w:t>
      </w:r>
      <w:proofErr w:type="spellStart"/>
      <w:r>
        <w:rPr>
          <w:rStyle w:val="mjxassistivemathml"/>
          <w:rFonts w:ascii="Helvetica" w:hAnsi="Helvetica" w:cs="Helvetica"/>
          <w:color w:val="333333"/>
          <w:sz w:val="21"/>
          <w:szCs w:val="21"/>
          <w:bdr w:val="none" w:sz="0" w:space="0" w:color="auto" w:frame="1"/>
        </w:rPr>
        <w:t>θnull</w:t>
      </w:r>
      <w:proofErr w:type="spellEnd"/>
      <w:r>
        <w:rPr>
          <w:rStyle w:val="mjxassistivemathml"/>
          <w:rFonts w:ascii="Helvetica" w:hAnsi="Helvetica" w:cs="Helvetica"/>
          <w:color w:val="333333"/>
          <w:sz w:val="21"/>
          <w:szCs w:val="21"/>
          <w:bdr w:val="none" w:sz="0" w:space="0" w:color="auto" w:frame="1"/>
        </w:rPr>
        <w:t>)|X)</w:t>
      </w:r>
    </w:p>
    <w:p w:rsidR="00423F2D" w:rsidRDefault="00423F2D" w:rsidP="00423F2D">
      <w:pPr>
        <w:pStyle w:val="NormalWeb"/>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Note that the alternative and null model specifications both contain a number of parameters in the Log likelihood that are identical. This includes </w:t>
      </w:r>
      <w:proofErr w:type="gramStart"/>
      <w:r>
        <w:rPr>
          <w:rStyle w:val="mi"/>
          <w:rFonts w:ascii="MathJax_Math-italic" w:eastAsiaTheme="majorEastAsia" w:hAnsi="MathJax_Math-italic" w:cs="Helvetica"/>
          <w:color w:val="333333"/>
          <w:sz w:val="18"/>
          <w:szCs w:val="18"/>
          <w:bdr w:val="none" w:sz="0" w:space="0" w:color="auto" w:frame="1"/>
        </w:rPr>
        <w:t>n</w:t>
      </w:r>
      <w:r>
        <w:rPr>
          <w:rStyle w:val="mn"/>
          <w:rFonts w:ascii="MathJax_Main" w:eastAsiaTheme="majorEastAsia" w:hAnsi="MathJax_Main" w:cs="Helvetica"/>
          <w:color w:val="333333"/>
          <w:sz w:val="18"/>
          <w:szCs w:val="18"/>
          <w:bdr w:val="none" w:sz="0" w:space="0" w:color="auto" w:frame="1"/>
        </w:rPr>
        <w:t>2</w:t>
      </w:r>
      <w:r>
        <w:rPr>
          <w:rStyle w:val="mi"/>
          <w:rFonts w:ascii="MathJax_Math-italic" w:eastAsiaTheme="majorEastAsia" w:hAnsi="MathJax_Math-italic" w:cs="Helvetica"/>
          <w:color w:val="333333"/>
          <w:sz w:val="25"/>
          <w:szCs w:val="25"/>
          <w:bdr w:val="none" w:sz="0" w:space="0" w:color="auto" w:frame="1"/>
        </w:rPr>
        <w:t>log</w:t>
      </w:r>
      <w:r>
        <w:rPr>
          <w:rStyle w:val="mo"/>
          <w:rFonts w:ascii="MathJax_Main" w:hAnsi="MathJax_Main" w:cs="Helvetica"/>
          <w:color w:val="333333"/>
          <w:sz w:val="25"/>
          <w:szCs w:val="25"/>
          <w:bdr w:val="none" w:sz="0" w:space="0" w:color="auto" w:frame="1"/>
        </w:rPr>
        <w:t>(</w:t>
      </w:r>
      <w:proofErr w:type="gramEnd"/>
      <w:r>
        <w:rPr>
          <w:rStyle w:val="mn"/>
          <w:rFonts w:ascii="MathJax_Main" w:eastAsiaTheme="majorEastAsia" w:hAnsi="MathJax_Main" w:cs="Helvetica"/>
          <w:color w:val="333333"/>
          <w:sz w:val="25"/>
          <w:szCs w:val="25"/>
          <w:bdr w:val="none" w:sz="0" w:space="0" w:color="auto" w:frame="1"/>
        </w:rPr>
        <w:t>2</w:t>
      </w:r>
      <w:r>
        <w:rPr>
          <w:rStyle w:val="mi"/>
          <w:rFonts w:ascii="MathJax_Math-italic" w:eastAsiaTheme="majorEastAsia" w:hAnsi="MathJax_Math-italic" w:cs="Helvetica"/>
          <w:color w:val="333333"/>
          <w:sz w:val="25"/>
          <w:szCs w:val="25"/>
          <w:bdr w:val="none" w:sz="0" w:space="0" w:color="auto" w:frame="1"/>
        </w:rPr>
        <w:t>π</w:t>
      </w:r>
      <w:r>
        <w:rPr>
          <w:rStyle w:val="mo"/>
          <w:rFonts w:ascii="MathJax_Main" w:hAnsi="MathJax_Main" w:cs="Helvetica"/>
          <w:color w:val="333333"/>
          <w:sz w:val="25"/>
          <w:szCs w:val="25"/>
          <w:bdr w:val="none" w:sz="0" w:space="0" w:color="auto" w:frame="1"/>
        </w:rPr>
        <w:t>)</w:t>
      </w:r>
      <w:r>
        <w:rPr>
          <w:rStyle w:val="mjxassistivemathml"/>
          <w:rFonts w:ascii="Helvetica" w:eastAsia="Cambria" w:hAnsi="Helvetica" w:cs="Helvetica"/>
          <w:color w:val="333333"/>
          <w:sz w:val="21"/>
          <w:szCs w:val="21"/>
          <w:bdr w:val="none" w:sz="0" w:space="0" w:color="auto" w:frame="1"/>
        </w:rPr>
        <w:t>n2log(2π)</w:t>
      </w:r>
      <w:r>
        <w:rPr>
          <w:rFonts w:ascii="Helvetica" w:hAnsi="Helvetica" w:cs="Helvetica"/>
          <w:color w:val="333333"/>
          <w:sz w:val="21"/>
          <w:szCs w:val="21"/>
        </w:rPr>
        <w:t> and </w:t>
      </w:r>
      <w:proofErr w:type="spellStart"/>
      <w:r>
        <w:rPr>
          <w:rStyle w:val="mi"/>
          <w:rFonts w:ascii="MathJax_Math-italic" w:eastAsiaTheme="majorEastAsia" w:hAnsi="MathJax_Math-italic" w:cs="Helvetica"/>
          <w:color w:val="333333"/>
          <w:sz w:val="25"/>
          <w:szCs w:val="25"/>
          <w:bdr w:val="none" w:sz="0" w:space="0" w:color="auto" w:frame="1"/>
        </w:rPr>
        <w:t>nlog</w:t>
      </w:r>
      <w:proofErr w:type="spellEnd"/>
      <w:r>
        <w:rPr>
          <w:rStyle w:val="mo"/>
          <w:rFonts w:ascii="MathJax_Main" w:hAnsi="MathJax_Main" w:cs="Helvetica"/>
          <w:color w:val="333333"/>
          <w:sz w:val="25"/>
          <w:szCs w:val="25"/>
          <w:bdr w:val="none" w:sz="0" w:space="0" w:color="auto" w:frame="1"/>
        </w:rPr>
        <w:t>(</w:t>
      </w:r>
      <w:r>
        <w:rPr>
          <w:rStyle w:val="mi"/>
          <w:rFonts w:ascii="MathJax_Math-italic" w:eastAsiaTheme="majorEastAsia" w:hAnsi="MathJax_Math-italic" w:cs="Helvetica"/>
          <w:color w:val="333333"/>
          <w:sz w:val="25"/>
          <w:szCs w:val="25"/>
          <w:bdr w:val="none" w:sz="0" w:space="0" w:color="auto" w:frame="1"/>
        </w:rPr>
        <w:t>σ</w:t>
      </w:r>
      <w:r>
        <w:rPr>
          <w:rStyle w:val="mo"/>
          <w:rFonts w:ascii="MathJax_Main" w:hAnsi="MathJax_Main" w:cs="Helvetica"/>
          <w:color w:val="333333"/>
          <w:sz w:val="25"/>
          <w:szCs w:val="25"/>
          <w:bdr w:val="none" w:sz="0" w:space="0" w:color="auto" w:frame="1"/>
        </w:rPr>
        <w:t>)</w:t>
      </w:r>
      <w:proofErr w:type="spellStart"/>
      <w:r>
        <w:rPr>
          <w:rStyle w:val="mjxassistivemathml"/>
          <w:rFonts w:ascii="Helvetica" w:eastAsia="Cambria" w:hAnsi="Helvetica" w:cs="Helvetica"/>
          <w:color w:val="333333"/>
          <w:sz w:val="21"/>
          <w:szCs w:val="21"/>
          <w:bdr w:val="none" w:sz="0" w:space="0" w:color="auto" w:frame="1"/>
        </w:rPr>
        <w:t>nlog</w:t>
      </w:r>
      <w:proofErr w:type="spellEnd"/>
      <w:r>
        <w:rPr>
          <w:rStyle w:val="mjxassistivemathml"/>
          <w:rFonts w:ascii="Helvetica" w:eastAsia="Cambria" w:hAnsi="Helvetica" w:cs="Helvetica"/>
          <w:color w:val="333333"/>
          <w:sz w:val="21"/>
          <w:szCs w:val="21"/>
          <w:bdr w:val="none" w:sz="0" w:space="0" w:color="auto" w:frame="1"/>
        </w:rPr>
        <w:t>(σ)</w:t>
      </w:r>
      <w:r>
        <w:rPr>
          <w:rFonts w:ascii="Helvetica" w:hAnsi="Helvetica" w:cs="Helvetica"/>
          <w:color w:val="333333"/>
          <w:sz w:val="21"/>
          <w:szCs w:val="21"/>
        </w:rPr>
        <w:t> (because we are not concerned about testing proposed difference in the variance before and after). This means Bayes Factor could be calculated without including these parameters. However, they have been included for completeness.</w:t>
      </w:r>
    </w:p>
    <w:p w:rsidR="00423F2D" w:rsidRDefault="00423F2D" w:rsidP="00423F2D"/>
    <w:p w:rsidR="00423F2D" w:rsidRPr="008A477A" w:rsidRDefault="00423F2D" w:rsidP="00423F2D">
      <w:pPr>
        <w:pStyle w:val="BodyText1"/>
      </w:pPr>
    </w:p>
    <w:p w:rsidR="00423F2D" w:rsidRDefault="00423F2D" w:rsidP="00423F2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lastRenderedPageBreak/>
        <w:t xml:space="preserve">An advantage of the Bayes Factor approach is that it is trivial to update it every year, taking only a minute or so to rerun with an additional year’s worth of data. This means that as soon as new data becomes available, it can be used to update our beliefs about long-term trends, and the extent of the deterioration from long-term trends if the accumulated recent data is considered </w:t>
      </w:r>
      <w:proofErr w:type="spellStart"/>
      <w:r>
        <w:rPr>
          <w:rFonts w:ascii="Helvetica" w:hAnsi="Helvetica" w:cs="Helvetica"/>
          <w:color w:val="333333"/>
          <w:sz w:val="21"/>
          <w:szCs w:val="21"/>
        </w:rPr>
        <w:t>representive</w:t>
      </w:r>
      <w:proofErr w:type="spellEnd"/>
      <w:r>
        <w:rPr>
          <w:rFonts w:ascii="Helvetica" w:hAnsi="Helvetica" w:cs="Helvetica"/>
          <w:color w:val="333333"/>
          <w:sz w:val="21"/>
          <w:szCs w:val="21"/>
        </w:rPr>
        <w:t xml:space="preserve"> of how long-term trends are likely to progress.</w:t>
      </w:r>
    </w:p>
    <w:p w:rsidR="00423F2D" w:rsidRPr="008A477A" w:rsidRDefault="00423F2D" w:rsidP="00423F2D">
      <w:pPr>
        <w:pStyle w:val="BodyText1"/>
      </w:pPr>
    </w:p>
    <w:p w:rsidR="00423F2D" w:rsidRDefault="00423F2D" w:rsidP="00423F2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So, up to 2014, the ONS was projecting a slower improvement rates than 2011-12 alone would suggest. For the 2016 and 2018 projections, the rates were slightly higher than the Bayes Factor alone would suggest, especially for females. Now, the remaining analysis (possibly the only remaining analysis) is to express the UK’s recent improvement rates and ONS projections as a % of the mean improvement from 1980 to 2010.</w:t>
      </w:r>
    </w:p>
    <w:p w:rsidR="00423F2D" w:rsidRDefault="00423F2D" w:rsidP="00423F2D">
      <w:pPr>
        <w:shd w:val="clear" w:color="auto" w:fill="FFFFFF"/>
        <w:rPr>
          <w:rFonts w:ascii="Helvetica" w:hAnsi="Helvetica" w:cs="Helvetica"/>
          <w:color w:val="333333"/>
          <w:sz w:val="21"/>
          <w:szCs w:val="21"/>
        </w:rPr>
      </w:pPr>
      <w:r>
        <w:rPr>
          <w:rFonts w:ascii="Helvetica" w:hAnsi="Helvetica" w:cs="Helvetica"/>
          <w:color w:val="333333"/>
          <w:sz w:val="21"/>
          <w:szCs w:val="21"/>
        </w:rPr>
        <w:t>Code</w:t>
      </w:r>
    </w:p>
    <w:tbl>
      <w:tblPr>
        <w:tblW w:w="0" w:type="dxa"/>
        <w:tblCellMar>
          <w:top w:w="15" w:type="dxa"/>
          <w:left w:w="15" w:type="dxa"/>
          <w:bottom w:w="15" w:type="dxa"/>
          <w:right w:w="15" w:type="dxa"/>
        </w:tblCellMar>
        <w:tblLook w:val="04A0" w:firstRow="1" w:lastRow="0" w:firstColumn="1" w:lastColumn="0" w:noHBand="0" w:noVBand="1"/>
      </w:tblPr>
      <w:tblGrid>
        <w:gridCol w:w="126"/>
      </w:tblGrid>
      <w:tr w:rsidR="00423F2D" w:rsidTr="00997069">
        <w:tc>
          <w:tcPr>
            <w:tcW w:w="0" w:type="auto"/>
            <w:shd w:val="clear" w:color="auto" w:fill="auto"/>
            <w:tcMar>
              <w:top w:w="0" w:type="dxa"/>
              <w:left w:w="60" w:type="dxa"/>
              <w:bottom w:w="0" w:type="dxa"/>
              <w:right w:w="60" w:type="dxa"/>
            </w:tcMar>
            <w:vAlign w:val="center"/>
            <w:hideMark/>
          </w:tcPr>
          <w:p w:rsidR="00423F2D" w:rsidRDefault="00423F2D" w:rsidP="00997069">
            <w:pPr>
              <w:shd w:val="clear" w:color="auto" w:fill="FFFFFF"/>
              <w:rPr>
                <w:rFonts w:ascii="Helvetica" w:hAnsi="Helvetica" w:cs="Helvetica"/>
                <w:color w:val="333333"/>
                <w:sz w:val="21"/>
                <w:szCs w:val="21"/>
              </w:rPr>
            </w:pPr>
          </w:p>
        </w:tc>
      </w:tr>
    </w:tbl>
    <w:p w:rsidR="00423F2D" w:rsidRDefault="00423F2D" w:rsidP="00423F2D">
      <w:pPr>
        <w:shd w:val="clear" w:color="auto" w:fill="FFFFFF"/>
        <w:rPr>
          <w:rFonts w:ascii="Helvetica" w:hAnsi="Helvetica" w:cs="Helvetica"/>
          <w:vanish/>
          <w:color w:val="333333"/>
          <w:sz w:val="21"/>
          <w:szCs w:val="21"/>
        </w:rPr>
      </w:pPr>
    </w:p>
    <w:tbl>
      <w:tblPr>
        <w:tblW w:w="4184" w:type="dxa"/>
        <w:tblCellMar>
          <w:top w:w="15" w:type="dxa"/>
          <w:left w:w="15" w:type="dxa"/>
          <w:bottom w:w="15" w:type="dxa"/>
          <w:right w:w="15" w:type="dxa"/>
        </w:tblCellMar>
        <w:tblLook w:val="04A0" w:firstRow="1" w:lastRow="0" w:firstColumn="1" w:lastColumn="0" w:noHBand="0" w:noVBand="1"/>
      </w:tblPr>
      <w:tblGrid>
        <w:gridCol w:w="939"/>
        <w:gridCol w:w="1716"/>
        <w:gridCol w:w="1529"/>
      </w:tblGrid>
      <w:tr w:rsidR="00423F2D" w:rsidTr="00997069">
        <w:trPr>
          <w:trHeight w:val="907"/>
          <w:tblHeader/>
        </w:trPr>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423F2D" w:rsidRDefault="00423F2D" w:rsidP="00997069">
            <w:pPr>
              <w:rPr>
                <w:rFonts w:ascii="Times New Roman" w:hAnsi="Times New Roman"/>
                <w:b/>
                <w:bCs/>
                <w:szCs w:val="24"/>
              </w:rPr>
            </w:pPr>
            <w:r>
              <w:rPr>
                <w:b/>
                <w:bCs/>
              </w:rPr>
              <w:t>sex</w:t>
            </w:r>
          </w:p>
          <w:p w:rsidR="00423F2D" w:rsidRDefault="00423F2D" w:rsidP="00997069">
            <w:pPr>
              <w:rPr>
                <w:color w:val="999999"/>
              </w:rPr>
            </w:pPr>
            <w:r>
              <w:rPr>
                <w:color w:val="999999"/>
              </w:rPr>
              <w:t>&lt;</w:t>
            </w:r>
            <w:proofErr w:type="spellStart"/>
            <w:r>
              <w:rPr>
                <w:color w:val="999999"/>
              </w:rPr>
              <w:t>chr</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423F2D" w:rsidRDefault="00423F2D" w:rsidP="00997069">
            <w:pPr>
              <w:jc w:val="right"/>
              <w:rPr>
                <w:b/>
                <w:bCs/>
              </w:rPr>
            </w:pPr>
            <w:r>
              <w:rPr>
                <w:b/>
                <w:bCs/>
              </w:rPr>
              <w:t>mean_ch_e0</w:t>
            </w:r>
          </w:p>
          <w:p w:rsidR="00423F2D" w:rsidRDefault="00423F2D" w:rsidP="00997069">
            <w:pPr>
              <w:jc w:val="right"/>
              <w:rPr>
                <w:color w:val="999999"/>
              </w:rPr>
            </w:pPr>
            <w:r>
              <w:rPr>
                <w:color w:val="999999"/>
              </w:rPr>
              <w:t>&lt;</w:t>
            </w:r>
            <w:proofErr w:type="spellStart"/>
            <w:r>
              <w:rPr>
                <w:color w:val="999999"/>
              </w:rPr>
              <w:t>dbl</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423F2D" w:rsidRDefault="00423F2D" w:rsidP="00997069">
            <w:pPr>
              <w:jc w:val="right"/>
              <w:rPr>
                <w:b/>
                <w:bCs/>
              </w:rPr>
            </w:pPr>
            <w:r>
              <w:rPr>
                <w:b/>
                <w:bCs/>
              </w:rPr>
              <w:t>var_ch_e0</w:t>
            </w:r>
          </w:p>
          <w:p w:rsidR="00423F2D" w:rsidRDefault="00423F2D" w:rsidP="00997069">
            <w:pPr>
              <w:jc w:val="right"/>
              <w:rPr>
                <w:color w:val="999999"/>
              </w:rPr>
            </w:pPr>
            <w:r>
              <w:rPr>
                <w:color w:val="999999"/>
              </w:rPr>
              <w:t>&lt;</w:t>
            </w:r>
            <w:proofErr w:type="spellStart"/>
            <w:r>
              <w:rPr>
                <w:color w:val="999999"/>
              </w:rPr>
              <w:t>dbl</w:t>
            </w:r>
            <w:proofErr w:type="spellEnd"/>
            <w:r>
              <w:rPr>
                <w:color w:val="999999"/>
              </w:rPr>
              <w:t>&gt;</w:t>
            </w:r>
          </w:p>
        </w:tc>
      </w:tr>
      <w:tr w:rsidR="00423F2D" w:rsidTr="00997069">
        <w:trPr>
          <w:trHeight w:val="443"/>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female</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0.1974194</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0.03615978</w:t>
            </w:r>
          </w:p>
        </w:tc>
      </w:tr>
      <w:tr w:rsidR="00423F2D" w:rsidTr="00997069">
        <w:trPr>
          <w:trHeight w:val="463"/>
        </w:trPr>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r>
              <w:t>male</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0.2654839</w:t>
            </w:r>
          </w:p>
        </w:tc>
        <w:tc>
          <w:tcPr>
            <w:tcW w:w="0" w:type="auto"/>
            <w:tcBorders>
              <w:top w:val="single" w:sz="6" w:space="0" w:color="DDDDDD"/>
            </w:tcBorders>
            <w:shd w:val="clear" w:color="auto" w:fill="auto"/>
            <w:tcMar>
              <w:top w:w="75" w:type="dxa"/>
              <w:left w:w="75" w:type="dxa"/>
              <w:bottom w:w="75" w:type="dxa"/>
              <w:right w:w="75" w:type="dxa"/>
            </w:tcMar>
            <w:hideMark/>
          </w:tcPr>
          <w:p w:rsidR="00423F2D" w:rsidRDefault="00423F2D" w:rsidP="00997069">
            <w:pPr>
              <w:jc w:val="right"/>
            </w:pPr>
            <w:r>
              <w:t>0.02369226</w:t>
            </w:r>
          </w:p>
        </w:tc>
      </w:tr>
    </w:tbl>
    <w:p w:rsidR="00423F2D" w:rsidRDefault="00423F2D" w:rsidP="00423F2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So, by 2012 the ONS was projecting future </w:t>
      </w:r>
      <w:r w:rsidR="00203A5A">
        <w:rPr>
          <w:rFonts w:ascii="Helvetica" w:hAnsi="Helvetica" w:cs="Helvetica"/>
          <w:color w:val="333333"/>
          <w:sz w:val="21"/>
          <w:szCs w:val="21"/>
        </w:rPr>
        <w:t>improvem</w:t>
      </w:r>
      <w:r>
        <w:rPr>
          <w:rFonts w:ascii="Helvetica" w:hAnsi="Helvetica" w:cs="Helvetica"/>
          <w:color w:val="333333"/>
          <w:sz w:val="21"/>
          <w:szCs w:val="21"/>
        </w:rPr>
        <w:t>ent rates that were around 30% lower (1 - 0.137 / 0.197) than long-term average improvement rates for females, and around 44% lower than long-term trends (1 - 0.148 / 0.265) for males. By contrast the Bayes Factor approach alone would predict slowdowns of around 18% for females, and gains of around 4% for males.</w:t>
      </w:r>
    </w:p>
    <w:p w:rsidR="00423F2D" w:rsidRDefault="00423F2D" w:rsidP="00423F2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By 2014 the ONS was projecting slowdowns of around 35% for females, and 44% for males. This contrasts with Bayes Factor estimates of around a</w:t>
      </w:r>
    </w:p>
    <w:p w:rsidR="00423F2D" w:rsidRDefault="00423F2D" w:rsidP="00423F2D">
      <w:pPr>
        <w:shd w:val="clear" w:color="auto" w:fill="FFFFFF"/>
        <w:rPr>
          <w:rFonts w:ascii="Helvetica" w:hAnsi="Helvetica" w:cs="Helvetica"/>
          <w:color w:val="333333"/>
          <w:sz w:val="21"/>
          <w:szCs w:val="21"/>
        </w:rPr>
      </w:pPr>
    </w:p>
    <w:tbl>
      <w:tblPr>
        <w:tblW w:w="7371" w:type="dxa"/>
        <w:tblCellMar>
          <w:top w:w="15" w:type="dxa"/>
          <w:left w:w="15" w:type="dxa"/>
          <w:bottom w:w="15" w:type="dxa"/>
          <w:right w:w="15" w:type="dxa"/>
        </w:tblCellMar>
        <w:tblLook w:val="04A0" w:firstRow="1" w:lastRow="0" w:firstColumn="1" w:lastColumn="0" w:noHBand="0" w:noVBand="1"/>
      </w:tblPr>
      <w:tblGrid>
        <w:gridCol w:w="1195"/>
        <w:gridCol w:w="1551"/>
        <w:gridCol w:w="1324"/>
        <w:gridCol w:w="1764"/>
        <w:gridCol w:w="1537"/>
      </w:tblGrid>
      <w:tr w:rsidR="00423F2D" w:rsidTr="00997069">
        <w:trPr>
          <w:trHeight w:val="541"/>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423F2D" w:rsidRDefault="00423F2D" w:rsidP="00997069">
            <w:pPr>
              <w:spacing w:after="300"/>
              <w:rPr>
                <w:rFonts w:ascii="Times New Roman" w:hAnsi="Times New Roman"/>
                <w:b/>
                <w:bCs/>
                <w:szCs w:val="24"/>
              </w:rPr>
            </w:pPr>
            <w:r>
              <w:rPr>
                <w:b/>
                <w:bCs/>
              </w:rPr>
              <w:t>Year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423F2D" w:rsidRDefault="00423F2D" w:rsidP="00997069">
            <w:pPr>
              <w:spacing w:after="300"/>
              <w:jc w:val="right"/>
              <w:rPr>
                <w:b/>
                <w:bCs/>
              </w:rPr>
            </w:pPr>
            <w:proofErr w:type="spellStart"/>
            <w:r>
              <w:rPr>
                <w:b/>
                <w:bCs/>
              </w:rPr>
              <w:t>BF_female</w:t>
            </w:r>
            <w:proofErr w:type="spellEnd"/>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423F2D" w:rsidRDefault="00423F2D" w:rsidP="00997069">
            <w:pPr>
              <w:spacing w:after="300"/>
              <w:jc w:val="right"/>
              <w:rPr>
                <w:b/>
                <w:bCs/>
              </w:rPr>
            </w:pPr>
            <w:proofErr w:type="spellStart"/>
            <w:r>
              <w:rPr>
                <w:b/>
                <w:bCs/>
              </w:rPr>
              <w:t>BF_male</w:t>
            </w:r>
            <w:proofErr w:type="spellEnd"/>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423F2D" w:rsidRDefault="00423F2D" w:rsidP="00997069">
            <w:pPr>
              <w:spacing w:after="300"/>
              <w:jc w:val="right"/>
              <w:rPr>
                <w:b/>
                <w:bCs/>
              </w:rPr>
            </w:pPr>
            <w:proofErr w:type="spellStart"/>
            <w:r>
              <w:rPr>
                <w:b/>
                <w:bCs/>
              </w:rPr>
              <w:t>ONS_female</w:t>
            </w:r>
            <w:proofErr w:type="spellEnd"/>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423F2D" w:rsidRDefault="00423F2D" w:rsidP="00997069">
            <w:pPr>
              <w:spacing w:after="300"/>
              <w:jc w:val="right"/>
              <w:rPr>
                <w:b/>
                <w:bCs/>
              </w:rPr>
            </w:pPr>
            <w:proofErr w:type="spellStart"/>
            <w:r>
              <w:rPr>
                <w:b/>
                <w:bCs/>
              </w:rPr>
              <w:t>ONS_male</w:t>
            </w:r>
            <w:proofErr w:type="spellEnd"/>
          </w:p>
        </w:tc>
      </w:tr>
      <w:tr w:rsidR="00423F2D" w:rsidTr="00997069">
        <w:trPr>
          <w:trHeight w:val="560"/>
        </w:trPr>
        <w:tc>
          <w:tcPr>
            <w:tcW w:w="0" w:type="auto"/>
            <w:tcBorders>
              <w:top w:val="single" w:sz="6" w:space="0" w:color="DDDDDD"/>
            </w:tcBorders>
            <w:shd w:val="clear" w:color="auto" w:fill="auto"/>
            <w:tcMar>
              <w:top w:w="120" w:type="dxa"/>
              <w:left w:w="120" w:type="dxa"/>
              <w:bottom w:w="120" w:type="dxa"/>
              <w:right w:w="120" w:type="dxa"/>
            </w:tcMar>
            <w:hideMark/>
          </w:tcPr>
          <w:p w:rsidR="00423F2D" w:rsidRDefault="00423F2D" w:rsidP="00997069">
            <w:pPr>
              <w:spacing w:after="300"/>
            </w:pPr>
            <w:r>
              <w:t>2011-12</w:t>
            </w:r>
          </w:p>
        </w:tc>
        <w:tc>
          <w:tcPr>
            <w:tcW w:w="0" w:type="auto"/>
            <w:tcBorders>
              <w:top w:val="single" w:sz="6" w:space="0" w:color="DDDDDD"/>
            </w:tcBorders>
            <w:shd w:val="clear" w:color="auto" w:fill="auto"/>
            <w:tcMar>
              <w:top w:w="120" w:type="dxa"/>
              <w:left w:w="120" w:type="dxa"/>
              <w:bottom w:w="120" w:type="dxa"/>
              <w:right w:w="120" w:type="dxa"/>
            </w:tcMar>
            <w:hideMark/>
          </w:tcPr>
          <w:p w:rsidR="00423F2D" w:rsidRDefault="00423F2D" w:rsidP="00997069">
            <w:pPr>
              <w:spacing w:after="300"/>
              <w:jc w:val="right"/>
            </w:pPr>
            <w:r>
              <w:t>0.816</w:t>
            </w:r>
          </w:p>
        </w:tc>
        <w:tc>
          <w:tcPr>
            <w:tcW w:w="0" w:type="auto"/>
            <w:tcBorders>
              <w:top w:val="single" w:sz="6" w:space="0" w:color="DDDDDD"/>
            </w:tcBorders>
            <w:shd w:val="clear" w:color="auto" w:fill="auto"/>
            <w:tcMar>
              <w:top w:w="120" w:type="dxa"/>
              <w:left w:w="120" w:type="dxa"/>
              <w:bottom w:w="120" w:type="dxa"/>
              <w:right w:w="120" w:type="dxa"/>
            </w:tcMar>
            <w:hideMark/>
          </w:tcPr>
          <w:p w:rsidR="00423F2D" w:rsidRDefault="00423F2D" w:rsidP="00997069">
            <w:pPr>
              <w:spacing w:after="300"/>
              <w:jc w:val="right"/>
            </w:pPr>
            <w:r>
              <w:t>1.040</w:t>
            </w:r>
          </w:p>
        </w:tc>
        <w:tc>
          <w:tcPr>
            <w:tcW w:w="0" w:type="auto"/>
            <w:tcBorders>
              <w:top w:val="single" w:sz="6" w:space="0" w:color="DDDDDD"/>
            </w:tcBorders>
            <w:shd w:val="clear" w:color="auto" w:fill="auto"/>
            <w:tcMar>
              <w:top w:w="120" w:type="dxa"/>
              <w:left w:w="120" w:type="dxa"/>
              <w:bottom w:w="120" w:type="dxa"/>
              <w:right w:w="120" w:type="dxa"/>
            </w:tcMar>
            <w:hideMark/>
          </w:tcPr>
          <w:p w:rsidR="00423F2D" w:rsidRDefault="00423F2D" w:rsidP="00997069">
            <w:pPr>
              <w:spacing w:after="300"/>
              <w:jc w:val="right"/>
            </w:pPr>
            <w:r>
              <w:t>0.694</w:t>
            </w:r>
          </w:p>
        </w:tc>
        <w:tc>
          <w:tcPr>
            <w:tcW w:w="0" w:type="auto"/>
            <w:tcBorders>
              <w:top w:val="single" w:sz="6" w:space="0" w:color="DDDDDD"/>
            </w:tcBorders>
            <w:shd w:val="clear" w:color="auto" w:fill="auto"/>
            <w:tcMar>
              <w:top w:w="120" w:type="dxa"/>
              <w:left w:w="120" w:type="dxa"/>
              <w:bottom w:w="120" w:type="dxa"/>
              <w:right w:w="120" w:type="dxa"/>
            </w:tcMar>
            <w:hideMark/>
          </w:tcPr>
          <w:p w:rsidR="00423F2D" w:rsidRDefault="00423F2D" w:rsidP="00997069">
            <w:pPr>
              <w:spacing w:after="300"/>
              <w:jc w:val="right"/>
            </w:pPr>
            <w:r>
              <w:t>0.557</w:t>
            </w:r>
          </w:p>
        </w:tc>
      </w:tr>
      <w:tr w:rsidR="00423F2D" w:rsidTr="00997069">
        <w:trPr>
          <w:trHeight w:val="541"/>
        </w:trPr>
        <w:tc>
          <w:tcPr>
            <w:tcW w:w="0" w:type="auto"/>
            <w:tcBorders>
              <w:top w:val="single" w:sz="6" w:space="0" w:color="DDDDDD"/>
            </w:tcBorders>
            <w:shd w:val="clear" w:color="auto" w:fill="auto"/>
            <w:tcMar>
              <w:top w:w="120" w:type="dxa"/>
              <w:left w:w="120" w:type="dxa"/>
              <w:bottom w:w="120" w:type="dxa"/>
              <w:right w:w="120" w:type="dxa"/>
            </w:tcMar>
            <w:hideMark/>
          </w:tcPr>
          <w:p w:rsidR="00423F2D" w:rsidRDefault="00423F2D" w:rsidP="00997069">
            <w:pPr>
              <w:spacing w:after="300"/>
            </w:pPr>
            <w:r>
              <w:t>2011-14</w:t>
            </w:r>
          </w:p>
        </w:tc>
        <w:tc>
          <w:tcPr>
            <w:tcW w:w="0" w:type="auto"/>
            <w:tcBorders>
              <w:top w:val="single" w:sz="6" w:space="0" w:color="DDDDDD"/>
            </w:tcBorders>
            <w:shd w:val="clear" w:color="auto" w:fill="auto"/>
            <w:tcMar>
              <w:top w:w="120" w:type="dxa"/>
              <w:left w:w="120" w:type="dxa"/>
              <w:bottom w:w="120" w:type="dxa"/>
              <w:right w:w="120" w:type="dxa"/>
            </w:tcMar>
            <w:hideMark/>
          </w:tcPr>
          <w:p w:rsidR="00423F2D" w:rsidRDefault="00423F2D" w:rsidP="00997069">
            <w:pPr>
              <w:spacing w:after="300"/>
              <w:jc w:val="right"/>
            </w:pPr>
            <w:r>
              <w:t>0.826</w:t>
            </w:r>
          </w:p>
        </w:tc>
        <w:tc>
          <w:tcPr>
            <w:tcW w:w="0" w:type="auto"/>
            <w:tcBorders>
              <w:top w:val="single" w:sz="6" w:space="0" w:color="DDDDDD"/>
            </w:tcBorders>
            <w:shd w:val="clear" w:color="auto" w:fill="auto"/>
            <w:tcMar>
              <w:top w:w="120" w:type="dxa"/>
              <w:left w:w="120" w:type="dxa"/>
              <w:bottom w:w="120" w:type="dxa"/>
              <w:right w:w="120" w:type="dxa"/>
            </w:tcMar>
            <w:hideMark/>
          </w:tcPr>
          <w:p w:rsidR="00423F2D" w:rsidRDefault="00423F2D" w:rsidP="00997069">
            <w:pPr>
              <w:spacing w:after="300"/>
              <w:jc w:val="right"/>
            </w:pPr>
            <w:r>
              <w:t>0.821</w:t>
            </w:r>
          </w:p>
        </w:tc>
        <w:tc>
          <w:tcPr>
            <w:tcW w:w="0" w:type="auto"/>
            <w:tcBorders>
              <w:top w:val="single" w:sz="6" w:space="0" w:color="DDDDDD"/>
            </w:tcBorders>
            <w:shd w:val="clear" w:color="auto" w:fill="auto"/>
            <w:tcMar>
              <w:top w:w="120" w:type="dxa"/>
              <w:left w:w="120" w:type="dxa"/>
              <w:bottom w:w="120" w:type="dxa"/>
              <w:right w:w="120" w:type="dxa"/>
            </w:tcMar>
            <w:hideMark/>
          </w:tcPr>
          <w:p w:rsidR="00423F2D" w:rsidRDefault="00423F2D" w:rsidP="00997069">
            <w:pPr>
              <w:spacing w:after="300"/>
              <w:jc w:val="right"/>
            </w:pPr>
            <w:r>
              <w:t>0.653</w:t>
            </w:r>
          </w:p>
        </w:tc>
        <w:tc>
          <w:tcPr>
            <w:tcW w:w="0" w:type="auto"/>
            <w:tcBorders>
              <w:top w:val="single" w:sz="6" w:space="0" w:color="DDDDDD"/>
            </w:tcBorders>
            <w:shd w:val="clear" w:color="auto" w:fill="auto"/>
            <w:tcMar>
              <w:top w:w="120" w:type="dxa"/>
              <w:left w:w="120" w:type="dxa"/>
              <w:bottom w:w="120" w:type="dxa"/>
              <w:right w:w="120" w:type="dxa"/>
            </w:tcMar>
            <w:hideMark/>
          </w:tcPr>
          <w:p w:rsidR="00423F2D" w:rsidRDefault="00423F2D" w:rsidP="00997069">
            <w:pPr>
              <w:spacing w:after="300"/>
              <w:jc w:val="right"/>
            </w:pPr>
            <w:r>
              <w:t>0.554</w:t>
            </w:r>
          </w:p>
        </w:tc>
      </w:tr>
      <w:tr w:rsidR="00423F2D" w:rsidTr="00997069">
        <w:trPr>
          <w:trHeight w:val="560"/>
        </w:trPr>
        <w:tc>
          <w:tcPr>
            <w:tcW w:w="0" w:type="auto"/>
            <w:tcBorders>
              <w:top w:val="single" w:sz="6" w:space="0" w:color="DDDDDD"/>
            </w:tcBorders>
            <w:shd w:val="clear" w:color="auto" w:fill="auto"/>
            <w:tcMar>
              <w:top w:w="120" w:type="dxa"/>
              <w:left w:w="120" w:type="dxa"/>
              <w:bottom w:w="120" w:type="dxa"/>
              <w:right w:w="120" w:type="dxa"/>
            </w:tcMar>
            <w:hideMark/>
          </w:tcPr>
          <w:p w:rsidR="00423F2D" w:rsidRDefault="00423F2D" w:rsidP="00997069">
            <w:pPr>
              <w:spacing w:after="300"/>
            </w:pPr>
            <w:r>
              <w:t>2011-16</w:t>
            </w:r>
          </w:p>
        </w:tc>
        <w:tc>
          <w:tcPr>
            <w:tcW w:w="0" w:type="auto"/>
            <w:tcBorders>
              <w:top w:val="single" w:sz="6" w:space="0" w:color="DDDDDD"/>
            </w:tcBorders>
            <w:shd w:val="clear" w:color="auto" w:fill="auto"/>
            <w:tcMar>
              <w:top w:w="120" w:type="dxa"/>
              <w:left w:w="120" w:type="dxa"/>
              <w:bottom w:w="120" w:type="dxa"/>
              <w:right w:w="120" w:type="dxa"/>
            </w:tcMar>
            <w:hideMark/>
          </w:tcPr>
          <w:p w:rsidR="00423F2D" w:rsidRDefault="00423F2D" w:rsidP="00997069">
            <w:pPr>
              <w:spacing w:after="300"/>
              <w:jc w:val="right"/>
            </w:pPr>
            <w:r>
              <w:t>0.446</w:t>
            </w:r>
          </w:p>
        </w:tc>
        <w:tc>
          <w:tcPr>
            <w:tcW w:w="0" w:type="auto"/>
            <w:tcBorders>
              <w:top w:val="single" w:sz="6" w:space="0" w:color="DDDDDD"/>
            </w:tcBorders>
            <w:shd w:val="clear" w:color="auto" w:fill="auto"/>
            <w:tcMar>
              <w:top w:w="120" w:type="dxa"/>
              <w:left w:w="120" w:type="dxa"/>
              <w:bottom w:w="120" w:type="dxa"/>
              <w:right w:w="120" w:type="dxa"/>
            </w:tcMar>
            <w:hideMark/>
          </w:tcPr>
          <w:p w:rsidR="00423F2D" w:rsidRDefault="00423F2D" w:rsidP="00997069">
            <w:pPr>
              <w:spacing w:after="300"/>
              <w:jc w:val="right"/>
            </w:pPr>
            <w:r>
              <w:t>0.520</w:t>
            </w:r>
          </w:p>
        </w:tc>
        <w:tc>
          <w:tcPr>
            <w:tcW w:w="0" w:type="auto"/>
            <w:tcBorders>
              <w:top w:val="single" w:sz="6" w:space="0" w:color="DDDDDD"/>
            </w:tcBorders>
            <w:shd w:val="clear" w:color="auto" w:fill="auto"/>
            <w:tcMar>
              <w:top w:w="120" w:type="dxa"/>
              <w:left w:w="120" w:type="dxa"/>
              <w:bottom w:w="120" w:type="dxa"/>
              <w:right w:w="120" w:type="dxa"/>
            </w:tcMar>
            <w:hideMark/>
          </w:tcPr>
          <w:p w:rsidR="00423F2D" w:rsidRDefault="00423F2D" w:rsidP="00997069">
            <w:pPr>
              <w:spacing w:after="300"/>
              <w:jc w:val="right"/>
            </w:pPr>
            <w:r>
              <w:t>0.583</w:t>
            </w:r>
          </w:p>
        </w:tc>
        <w:tc>
          <w:tcPr>
            <w:tcW w:w="0" w:type="auto"/>
            <w:tcBorders>
              <w:top w:val="single" w:sz="6" w:space="0" w:color="DDDDDD"/>
            </w:tcBorders>
            <w:shd w:val="clear" w:color="auto" w:fill="auto"/>
            <w:tcMar>
              <w:top w:w="120" w:type="dxa"/>
              <w:left w:w="120" w:type="dxa"/>
              <w:bottom w:w="120" w:type="dxa"/>
              <w:right w:w="120" w:type="dxa"/>
            </w:tcMar>
            <w:hideMark/>
          </w:tcPr>
          <w:p w:rsidR="00423F2D" w:rsidRDefault="00423F2D" w:rsidP="00997069">
            <w:pPr>
              <w:spacing w:after="300"/>
              <w:jc w:val="right"/>
            </w:pPr>
            <w:r>
              <w:t>0.505</w:t>
            </w:r>
          </w:p>
        </w:tc>
      </w:tr>
      <w:tr w:rsidR="00423F2D" w:rsidTr="00997069">
        <w:trPr>
          <w:trHeight w:val="541"/>
        </w:trPr>
        <w:tc>
          <w:tcPr>
            <w:tcW w:w="0" w:type="auto"/>
            <w:tcBorders>
              <w:top w:val="single" w:sz="6" w:space="0" w:color="DDDDDD"/>
            </w:tcBorders>
            <w:shd w:val="clear" w:color="auto" w:fill="auto"/>
            <w:tcMar>
              <w:top w:w="120" w:type="dxa"/>
              <w:left w:w="120" w:type="dxa"/>
              <w:bottom w:w="120" w:type="dxa"/>
              <w:right w:w="120" w:type="dxa"/>
            </w:tcMar>
            <w:hideMark/>
          </w:tcPr>
          <w:p w:rsidR="00423F2D" w:rsidRDefault="00423F2D" w:rsidP="00997069">
            <w:pPr>
              <w:spacing w:after="300"/>
            </w:pPr>
            <w:r>
              <w:t>2011-18</w:t>
            </w:r>
          </w:p>
        </w:tc>
        <w:tc>
          <w:tcPr>
            <w:tcW w:w="0" w:type="auto"/>
            <w:tcBorders>
              <w:top w:val="single" w:sz="6" w:space="0" w:color="DDDDDD"/>
            </w:tcBorders>
            <w:shd w:val="clear" w:color="auto" w:fill="auto"/>
            <w:tcMar>
              <w:top w:w="120" w:type="dxa"/>
              <w:left w:w="120" w:type="dxa"/>
              <w:bottom w:w="120" w:type="dxa"/>
              <w:right w:w="120" w:type="dxa"/>
            </w:tcMar>
            <w:hideMark/>
          </w:tcPr>
          <w:p w:rsidR="00423F2D" w:rsidRDefault="00423F2D" w:rsidP="00997069">
            <w:pPr>
              <w:spacing w:after="300"/>
              <w:jc w:val="right"/>
            </w:pPr>
            <w:r>
              <w:t>0.380</w:t>
            </w:r>
          </w:p>
        </w:tc>
        <w:tc>
          <w:tcPr>
            <w:tcW w:w="0" w:type="auto"/>
            <w:tcBorders>
              <w:top w:val="single" w:sz="6" w:space="0" w:color="DDDDDD"/>
            </w:tcBorders>
            <w:shd w:val="clear" w:color="auto" w:fill="auto"/>
            <w:tcMar>
              <w:top w:w="120" w:type="dxa"/>
              <w:left w:w="120" w:type="dxa"/>
              <w:bottom w:w="120" w:type="dxa"/>
              <w:right w:w="120" w:type="dxa"/>
            </w:tcMar>
            <w:hideMark/>
          </w:tcPr>
          <w:p w:rsidR="00423F2D" w:rsidRDefault="00423F2D" w:rsidP="00997069">
            <w:pPr>
              <w:spacing w:after="300"/>
              <w:jc w:val="right"/>
            </w:pPr>
            <w:r>
              <w:t>0.407</w:t>
            </w:r>
          </w:p>
        </w:tc>
        <w:tc>
          <w:tcPr>
            <w:tcW w:w="0" w:type="auto"/>
            <w:tcBorders>
              <w:top w:val="single" w:sz="6" w:space="0" w:color="DDDDDD"/>
            </w:tcBorders>
            <w:shd w:val="clear" w:color="auto" w:fill="auto"/>
            <w:tcMar>
              <w:top w:w="120" w:type="dxa"/>
              <w:left w:w="120" w:type="dxa"/>
              <w:bottom w:w="120" w:type="dxa"/>
              <w:right w:w="120" w:type="dxa"/>
            </w:tcMar>
            <w:hideMark/>
          </w:tcPr>
          <w:p w:rsidR="00423F2D" w:rsidRDefault="00423F2D" w:rsidP="00997069">
            <w:pPr>
              <w:spacing w:after="300"/>
              <w:jc w:val="right"/>
            </w:pPr>
            <w:r>
              <w:t>0.476</w:t>
            </w:r>
          </w:p>
        </w:tc>
        <w:tc>
          <w:tcPr>
            <w:tcW w:w="0" w:type="auto"/>
            <w:tcBorders>
              <w:top w:val="single" w:sz="6" w:space="0" w:color="DDDDDD"/>
            </w:tcBorders>
            <w:shd w:val="clear" w:color="auto" w:fill="auto"/>
            <w:tcMar>
              <w:top w:w="120" w:type="dxa"/>
              <w:left w:w="120" w:type="dxa"/>
              <w:bottom w:w="120" w:type="dxa"/>
              <w:right w:w="120" w:type="dxa"/>
            </w:tcMar>
            <w:hideMark/>
          </w:tcPr>
          <w:p w:rsidR="00423F2D" w:rsidRDefault="00423F2D" w:rsidP="00997069">
            <w:pPr>
              <w:spacing w:after="300"/>
              <w:jc w:val="right"/>
            </w:pPr>
            <w:r>
              <w:t>0.429</w:t>
            </w:r>
          </w:p>
        </w:tc>
      </w:tr>
    </w:tbl>
    <w:p w:rsidR="00423F2D" w:rsidRPr="008A477A" w:rsidRDefault="00423F2D" w:rsidP="00423F2D">
      <w:pPr>
        <w:pStyle w:val="BodyText1"/>
      </w:pPr>
    </w:p>
    <w:p w:rsidR="00423F2D" w:rsidRPr="008A477A" w:rsidRDefault="00423F2D" w:rsidP="00423F2D">
      <w:pPr>
        <w:pStyle w:val="BodyText1"/>
      </w:pPr>
    </w:p>
    <w:p w:rsidR="00423F2D" w:rsidRPr="008A477A" w:rsidRDefault="00423F2D" w:rsidP="00423F2D">
      <w:pPr>
        <w:pStyle w:val="BodyText1"/>
      </w:pPr>
    </w:p>
    <w:p w:rsidR="00B94561" w:rsidRPr="008A477A" w:rsidRDefault="00B94561" w:rsidP="00681205">
      <w:pPr>
        <w:pStyle w:val="BodyText1"/>
      </w:pPr>
      <w:bookmarkStart w:id="0" w:name="_GoBack"/>
      <w:bookmarkEnd w:id="0"/>
    </w:p>
    <w:sectPr w:rsidR="00B94561" w:rsidRPr="008A477A">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MathJax_Size2">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061B3"/>
    <w:multiLevelType w:val="hybridMultilevel"/>
    <w:tmpl w:val="60203AE8"/>
    <w:lvl w:ilvl="0" w:tplc="E3C4646C">
      <w:start w:val="1"/>
      <w:numFmt w:val="bullet"/>
      <w:pStyle w:val="Tablebullettex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31284A"/>
    <w:multiLevelType w:val="hybridMultilevel"/>
    <w:tmpl w:val="91CE0BE6"/>
    <w:lvl w:ilvl="0" w:tplc="402E83FA">
      <w:start w:val="1"/>
      <w:numFmt w:val="bullet"/>
      <w:pStyle w:val="Bulletbodytex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FB5320"/>
    <w:multiLevelType w:val="hybridMultilevel"/>
    <w:tmpl w:val="5FB64D22"/>
    <w:lvl w:ilvl="0" w:tplc="5D283A32">
      <w:start w:val="1"/>
      <w:numFmt w:val="bullet"/>
      <w:pStyle w:val="Sub-bulletbodytex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32481EFD"/>
    <w:multiLevelType w:val="hybridMultilevel"/>
    <w:tmpl w:val="E208F08E"/>
    <w:lvl w:ilvl="0" w:tplc="75C81E86">
      <w:start w:val="1"/>
      <w:numFmt w:val="bullet"/>
      <w:pStyle w:val="Tablesub-bullettex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4462ABC"/>
    <w:multiLevelType w:val="hybridMultilevel"/>
    <w:tmpl w:val="11B82C26"/>
    <w:lvl w:ilvl="0" w:tplc="212AD3A2">
      <w:start w:val="1"/>
      <w:numFmt w:val="lowerRoman"/>
      <w:pStyle w:val="Tablesub-numberedtext"/>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3DB87D9E"/>
    <w:multiLevelType w:val="hybridMultilevel"/>
    <w:tmpl w:val="A386F9DC"/>
    <w:lvl w:ilvl="0" w:tplc="C10A2E88">
      <w:start w:val="1"/>
      <w:numFmt w:val="lowerRoman"/>
      <w:pStyle w:val="Sub-numberedbodytext"/>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C3A07ED"/>
    <w:multiLevelType w:val="hybridMultilevel"/>
    <w:tmpl w:val="B5A2A0C6"/>
    <w:lvl w:ilvl="0" w:tplc="BDE45CA4">
      <w:start w:val="1"/>
      <w:numFmt w:val="decimal"/>
      <w:pStyle w:val="Numberedbodytext"/>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960203E"/>
    <w:multiLevelType w:val="hybridMultilevel"/>
    <w:tmpl w:val="3A9AA91A"/>
    <w:lvl w:ilvl="0" w:tplc="9DD0DBF4">
      <w:start w:val="1"/>
      <w:numFmt w:val="decimal"/>
      <w:pStyle w:val="Tablenumberedtext"/>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5"/>
  </w:num>
  <w:num w:numId="5">
    <w:abstractNumId w:val="0"/>
  </w:num>
  <w:num w:numId="6">
    <w:abstractNumId w:val="7"/>
  </w:num>
  <w:num w:numId="7">
    <w:abstractNumId w:val="3"/>
  </w:num>
  <w:num w:numId="8">
    <w:abstractNumId w:val="4"/>
  </w:num>
  <w:num w:numId="9">
    <w:abstractNumId w:val="1"/>
  </w:num>
  <w:num w:numId="10">
    <w:abstractNumId w:val="6"/>
  </w:num>
  <w:num w:numId="11">
    <w:abstractNumId w:val="2"/>
  </w:num>
  <w:num w:numId="12">
    <w:abstractNumId w:val="5"/>
  </w:num>
  <w:num w:numId="13">
    <w:abstractNumId w:val="0"/>
  </w:num>
  <w:num w:numId="14">
    <w:abstractNumId w:val="7"/>
  </w:num>
  <w:num w:numId="15">
    <w:abstractNumId w:val="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7E6A"/>
    <w:rsid w:val="0003231D"/>
    <w:rsid w:val="000B5054"/>
    <w:rsid w:val="000B7B14"/>
    <w:rsid w:val="000C6EB6"/>
    <w:rsid w:val="0010680F"/>
    <w:rsid w:val="00106EF1"/>
    <w:rsid w:val="00112265"/>
    <w:rsid w:val="00120525"/>
    <w:rsid w:val="0013180F"/>
    <w:rsid w:val="00140405"/>
    <w:rsid w:val="001675F3"/>
    <w:rsid w:val="00172860"/>
    <w:rsid w:val="001729BB"/>
    <w:rsid w:val="00175C38"/>
    <w:rsid w:val="00186039"/>
    <w:rsid w:val="00193FA8"/>
    <w:rsid w:val="001A170A"/>
    <w:rsid w:val="001A496F"/>
    <w:rsid w:val="001C314A"/>
    <w:rsid w:val="001D1890"/>
    <w:rsid w:val="001E602B"/>
    <w:rsid w:val="001E6745"/>
    <w:rsid w:val="00203A5A"/>
    <w:rsid w:val="00211339"/>
    <w:rsid w:val="00211922"/>
    <w:rsid w:val="00227009"/>
    <w:rsid w:val="00244AF4"/>
    <w:rsid w:val="002C5F99"/>
    <w:rsid w:val="002D1027"/>
    <w:rsid w:val="002D6BBA"/>
    <w:rsid w:val="002E2303"/>
    <w:rsid w:val="002E63B4"/>
    <w:rsid w:val="002E6736"/>
    <w:rsid w:val="00307C29"/>
    <w:rsid w:val="00315BCA"/>
    <w:rsid w:val="003347DA"/>
    <w:rsid w:val="0033754D"/>
    <w:rsid w:val="00347701"/>
    <w:rsid w:val="00352307"/>
    <w:rsid w:val="00373501"/>
    <w:rsid w:val="0038233D"/>
    <w:rsid w:val="00382649"/>
    <w:rsid w:val="00391899"/>
    <w:rsid w:val="003A1B0D"/>
    <w:rsid w:val="003C5ECF"/>
    <w:rsid w:val="003E33A5"/>
    <w:rsid w:val="003F037A"/>
    <w:rsid w:val="00400414"/>
    <w:rsid w:val="00401B91"/>
    <w:rsid w:val="00420325"/>
    <w:rsid w:val="00423F2D"/>
    <w:rsid w:val="00427A1A"/>
    <w:rsid w:val="0043239C"/>
    <w:rsid w:val="0046387F"/>
    <w:rsid w:val="0048525F"/>
    <w:rsid w:val="00497670"/>
    <w:rsid w:val="004B30D0"/>
    <w:rsid w:val="004D0601"/>
    <w:rsid w:val="004E04EF"/>
    <w:rsid w:val="004E5E5E"/>
    <w:rsid w:val="00505C29"/>
    <w:rsid w:val="00515FE4"/>
    <w:rsid w:val="0052739D"/>
    <w:rsid w:val="00552E7C"/>
    <w:rsid w:val="0056196C"/>
    <w:rsid w:val="00562226"/>
    <w:rsid w:val="005C0D9C"/>
    <w:rsid w:val="005C59C3"/>
    <w:rsid w:val="005D5A5A"/>
    <w:rsid w:val="00613A14"/>
    <w:rsid w:val="006602F3"/>
    <w:rsid w:val="006712C0"/>
    <w:rsid w:val="00681205"/>
    <w:rsid w:val="00686DE9"/>
    <w:rsid w:val="006979F9"/>
    <w:rsid w:val="006C3EFA"/>
    <w:rsid w:val="006D124E"/>
    <w:rsid w:val="00714FEC"/>
    <w:rsid w:val="00723AFA"/>
    <w:rsid w:val="00730209"/>
    <w:rsid w:val="007459AB"/>
    <w:rsid w:val="00766141"/>
    <w:rsid w:val="007A67F6"/>
    <w:rsid w:val="007A7D51"/>
    <w:rsid w:val="00801D27"/>
    <w:rsid w:val="008358DE"/>
    <w:rsid w:val="00835EB3"/>
    <w:rsid w:val="0084596C"/>
    <w:rsid w:val="00866397"/>
    <w:rsid w:val="00873481"/>
    <w:rsid w:val="00894CB7"/>
    <w:rsid w:val="008A047C"/>
    <w:rsid w:val="008A43C1"/>
    <w:rsid w:val="008A477A"/>
    <w:rsid w:val="00901272"/>
    <w:rsid w:val="00913759"/>
    <w:rsid w:val="00937026"/>
    <w:rsid w:val="009A7E6A"/>
    <w:rsid w:val="009D7E7F"/>
    <w:rsid w:val="009E3BB3"/>
    <w:rsid w:val="009E7C53"/>
    <w:rsid w:val="009F58EB"/>
    <w:rsid w:val="00A46C5D"/>
    <w:rsid w:val="00A72F88"/>
    <w:rsid w:val="00A77C1D"/>
    <w:rsid w:val="00AB0529"/>
    <w:rsid w:val="00AC7878"/>
    <w:rsid w:val="00B06AEE"/>
    <w:rsid w:val="00B1206B"/>
    <w:rsid w:val="00B366F3"/>
    <w:rsid w:val="00B51E30"/>
    <w:rsid w:val="00B64DA3"/>
    <w:rsid w:val="00B6594E"/>
    <w:rsid w:val="00B8717F"/>
    <w:rsid w:val="00B91A75"/>
    <w:rsid w:val="00B94561"/>
    <w:rsid w:val="00BA08ED"/>
    <w:rsid w:val="00BB0209"/>
    <w:rsid w:val="00BB1323"/>
    <w:rsid w:val="00BB5978"/>
    <w:rsid w:val="00BC3715"/>
    <w:rsid w:val="00BF3F19"/>
    <w:rsid w:val="00C059A2"/>
    <w:rsid w:val="00C27630"/>
    <w:rsid w:val="00C3025E"/>
    <w:rsid w:val="00C564DC"/>
    <w:rsid w:val="00C60191"/>
    <w:rsid w:val="00C81746"/>
    <w:rsid w:val="00CC4236"/>
    <w:rsid w:val="00CD1081"/>
    <w:rsid w:val="00CE5C70"/>
    <w:rsid w:val="00D1284E"/>
    <w:rsid w:val="00D279C4"/>
    <w:rsid w:val="00D41D62"/>
    <w:rsid w:val="00D434C4"/>
    <w:rsid w:val="00D86485"/>
    <w:rsid w:val="00D972DE"/>
    <w:rsid w:val="00DA1227"/>
    <w:rsid w:val="00DD36B1"/>
    <w:rsid w:val="00DE00BD"/>
    <w:rsid w:val="00DE193A"/>
    <w:rsid w:val="00DE54F8"/>
    <w:rsid w:val="00DF6EDB"/>
    <w:rsid w:val="00E15B8E"/>
    <w:rsid w:val="00E16CCF"/>
    <w:rsid w:val="00E26915"/>
    <w:rsid w:val="00E44A15"/>
    <w:rsid w:val="00E600FD"/>
    <w:rsid w:val="00E73D3B"/>
    <w:rsid w:val="00E91614"/>
    <w:rsid w:val="00E91D77"/>
    <w:rsid w:val="00F17A93"/>
    <w:rsid w:val="00F42410"/>
    <w:rsid w:val="00F42FC0"/>
    <w:rsid w:val="00F76F61"/>
    <w:rsid w:val="00F87672"/>
    <w:rsid w:val="00FA02F9"/>
    <w:rsid w:val="00FA6955"/>
    <w:rsid w:val="00FC3F94"/>
    <w:rsid w:val="00FD32F6"/>
    <w:rsid w:val="00FD4F58"/>
    <w:rsid w:val="00FE14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4DC777B3-3E6B-42BF-9880-900647AA3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GB" w:eastAsia="en-GB" w:bidi="ar-SA"/>
      </w:rPr>
    </w:rPrDefault>
    <w:pPrDefault/>
  </w:docDefaults>
  <w:latentStyles w:defLockedState="0" w:defUIPriority="0" w:defSemiHidden="0" w:defUnhideWhenUsed="0" w:defQFormat="0" w:count="37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23F2D"/>
    <w:pPr>
      <w:spacing w:after="160" w:line="259" w:lineRule="auto"/>
    </w:pPr>
    <w:rPr>
      <w:rFonts w:ascii="Arial" w:hAnsi="Arial"/>
      <w:sz w:val="24"/>
      <w:szCs w:val="22"/>
      <w:lang w:eastAsia="en-US"/>
    </w:rPr>
  </w:style>
  <w:style w:type="paragraph" w:styleId="Heading1">
    <w:name w:val="heading 1"/>
    <w:basedOn w:val="Normal"/>
    <w:next w:val="Normal"/>
    <w:link w:val="Heading1Char"/>
    <w:rsid w:val="00423F2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423F2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head">
    <w:name w:val="Section head"/>
    <w:next w:val="Normal"/>
    <w:uiPriority w:val="99"/>
    <w:qFormat/>
    <w:rsid w:val="008358DE"/>
    <w:pPr>
      <w:spacing w:after="120" w:line="360" w:lineRule="auto"/>
    </w:pPr>
    <w:rPr>
      <w:rFonts w:ascii="Arial" w:eastAsiaTheme="minorHAnsi" w:hAnsi="Arial" w:cs="Arial"/>
      <w:b/>
      <w:sz w:val="48"/>
      <w:szCs w:val="24"/>
    </w:rPr>
  </w:style>
  <w:style w:type="paragraph" w:customStyle="1" w:styleId="Ahead">
    <w:name w:val="A head"/>
    <w:basedOn w:val="Sectionhead"/>
    <w:next w:val="Normal"/>
    <w:link w:val="AheadChar"/>
    <w:qFormat/>
    <w:rsid w:val="008358DE"/>
    <w:pPr>
      <w:spacing w:before="360" w:line="240" w:lineRule="auto"/>
    </w:pPr>
    <w:rPr>
      <w:sz w:val="40"/>
    </w:rPr>
  </w:style>
  <w:style w:type="character" w:customStyle="1" w:styleId="AheadChar">
    <w:name w:val="A head Char"/>
    <w:basedOn w:val="DefaultParagraphFont"/>
    <w:link w:val="Ahead"/>
    <w:rsid w:val="008358DE"/>
    <w:rPr>
      <w:rFonts w:ascii="Arial" w:eastAsiaTheme="minorHAnsi" w:hAnsi="Arial" w:cs="Arial"/>
      <w:b/>
      <w:sz w:val="40"/>
      <w:szCs w:val="24"/>
    </w:rPr>
  </w:style>
  <w:style w:type="paragraph" w:customStyle="1" w:styleId="Bhead">
    <w:name w:val="B head"/>
    <w:basedOn w:val="Ahead"/>
    <w:next w:val="Normal"/>
    <w:link w:val="BheadChar"/>
    <w:qFormat/>
    <w:rsid w:val="008358DE"/>
    <w:pPr>
      <w:spacing w:before="240"/>
    </w:pPr>
    <w:rPr>
      <w:rFonts w:eastAsia="Cambria"/>
      <w:sz w:val="32"/>
    </w:rPr>
  </w:style>
  <w:style w:type="character" w:customStyle="1" w:styleId="BheadChar">
    <w:name w:val="B head Char"/>
    <w:basedOn w:val="DefaultParagraphFont"/>
    <w:link w:val="Bhead"/>
    <w:rsid w:val="008358DE"/>
    <w:rPr>
      <w:rFonts w:ascii="Arial" w:eastAsia="Cambria" w:hAnsi="Arial" w:cs="Arial"/>
      <w:b/>
      <w:sz w:val="32"/>
      <w:szCs w:val="24"/>
    </w:rPr>
  </w:style>
  <w:style w:type="character" w:customStyle="1" w:styleId="Bodytextbold">
    <w:name w:val="Body text bold"/>
    <w:basedOn w:val="DefaultParagraphFont"/>
    <w:uiPriority w:val="1"/>
    <w:qFormat/>
    <w:rsid w:val="008358DE"/>
    <w:rPr>
      <w:rFonts w:ascii="Arial" w:hAnsi="Arial"/>
      <w:b/>
      <w:sz w:val="24"/>
    </w:rPr>
  </w:style>
  <w:style w:type="character" w:customStyle="1" w:styleId="Bodytextitalic">
    <w:name w:val="Body text italic"/>
    <w:basedOn w:val="DefaultParagraphFont"/>
    <w:uiPriority w:val="1"/>
    <w:qFormat/>
    <w:rsid w:val="008358DE"/>
    <w:rPr>
      <w:rFonts w:ascii="Arial" w:hAnsi="Arial"/>
      <w:i/>
      <w:sz w:val="24"/>
    </w:rPr>
  </w:style>
  <w:style w:type="paragraph" w:customStyle="1" w:styleId="BodyText1">
    <w:name w:val="Body Text1"/>
    <w:qFormat/>
    <w:rsid w:val="008358DE"/>
    <w:pPr>
      <w:autoSpaceDE w:val="0"/>
      <w:autoSpaceDN w:val="0"/>
      <w:adjustRightInd w:val="0"/>
      <w:spacing w:before="240" w:after="240" w:line="360" w:lineRule="auto"/>
    </w:pPr>
    <w:rPr>
      <w:rFonts w:ascii="Arial" w:eastAsiaTheme="minorHAnsi" w:hAnsi="Arial" w:cs="Arial"/>
      <w:sz w:val="24"/>
      <w:szCs w:val="24"/>
    </w:rPr>
  </w:style>
  <w:style w:type="paragraph" w:customStyle="1" w:styleId="Bulletbodytext">
    <w:name w:val="Bullet body text"/>
    <w:basedOn w:val="BodyText1"/>
    <w:uiPriority w:val="99"/>
    <w:qFormat/>
    <w:rsid w:val="008358DE"/>
    <w:pPr>
      <w:numPr>
        <w:numId w:val="9"/>
      </w:numPr>
      <w:spacing w:before="120" w:after="120"/>
    </w:pPr>
  </w:style>
  <w:style w:type="paragraph" w:customStyle="1" w:styleId="Chead">
    <w:name w:val="C head"/>
    <w:basedOn w:val="Bhead"/>
    <w:next w:val="Normal"/>
    <w:link w:val="CheadChar"/>
    <w:qFormat/>
    <w:rsid w:val="008358DE"/>
    <w:rPr>
      <w:sz w:val="28"/>
    </w:rPr>
  </w:style>
  <w:style w:type="character" w:customStyle="1" w:styleId="CheadChar">
    <w:name w:val="C head Char"/>
    <w:basedOn w:val="DefaultParagraphFont"/>
    <w:link w:val="Chead"/>
    <w:rsid w:val="008358DE"/>
    <w:rPr>
      <w:rFonts w:ascii="Arial" w:eastAsia="Cambria" w:hAnsi="Arial" w:cs="Arial"/>
      <w:b/>
      <w:sz w:val="28"/>
      <w:szCs w:val="24"/>
    </w:rPr>
  </w:style>
  <w:style w:type="character" w:customStyle="1" w:styleId="Captionbold">
    <w:name w:val="Caption bold"/>
    <w:basedOn w:val="DefaultParagraphFont"/>
    <w:uiPriority w:val="1"/>
    <w:rsid w:val="00244AF4"/>
    <w:rPr>
      <w:b/>
    </w:rPr>
  </w:style>
  <w:style w:type="character" w:customStyle="1" w:styleId="Captionitalic">
    <w:name w:val="Caption italic"/>
    <w:basedOn w:val="DefaultParagraphFont"/>
    <w:uiPriority w:val="1"/>
    <w:rsid w:val="00244AF4"/>
    <w:rPr>
      <w:i/>
    </w:rPr>
  </w:style>
  <w:style w:type="paragraph" w:customStyle="1" w:styleId="Captiontext">
    <w:name w:val="Caption text"/>
    <w:basedOn w:val="BodyText1"/>
    <w:next w:val="BodyText1"/>
    <w:link w:val="CaptiontextChar"/>
    <w:qFormat/>
    <w:rsid w:val="008358DE"/>
    <w:rPr>
      <w:rFonts w:ascii="Arial Narrow" w:eastAsia="Cambria" w:hAnsi="Arial Narrow" w:cs="Times New Roman"/>
      <w:sz w:val="28"/>
    </w:rPr>
  </w:style>
  <w:style w:type="character" w:customStyle="1" w:styleId="CaptiontextChar">
    <w:name w:val="Caption text Char"/>
    <w:basedOn w:val="DefaultParagraphFont"/>
    <w:link w:val="Captiontext"/>
    <w:rsid w:val="008358DE"/>
    <w:rPr>
      <w:rFonts w:ascii="Arial Narrow" w:eastAsia="Cambria" w:hAnsi="Arial Narrow"/>
      <w:sz w:val="28"/>
      <w:szCs w:val="24"/>
    </w:rPr>
  </w:style>
  <w:style w:type="paragraph" w:customStyle="1" w:styleId="Dhead">
    <w:name w:val="D head"/>
    <w:basedOn w:val="Chead"/>
    <w:next w:val="BodyText1"/>
    <w:link w:val="DheadChar"/>
    <w:qFormat/>
    <w:rsid w:val="008358DE"/>
    <w:rPr>
      <w:rFonts w:cs="Times New Roman"/>
      <w:b w:val="0"/>
    </w:rPr>
  </w:style>
  <w:style w:type="character" w:customStyle="1" w:styleId="DheadChar">
    <w:name w:val="D head Char"/>
    <w:basedOn w:val="DefaultParagraphFont"/>
    <w:link w:val="Dhead"/>
    <w:rsid w:val="008358DE"/>
    <w:rPr>
      <w:rFonts w:ascii="Arial" w:eastAsia="Cambria" w:hAnsi="Arial"/>
      <w:sz w:val="28"/>
      <w:szCs w:val="24"/>
    </w:rPr>
  </w:style>
  <w:style w:type="paragraph" w:styleId="Footer">
    <w:name w:val="footer"/>
    <w:basedOn w:val="BodyText1"/>
    <w:link w:val="FooterChar"/>
    <w:uiPriority w:val="99"/>
    <w:unhideWhenUsed/>
    <w:rsid w:val="00244AF4"/>
    <w:pPr>
      <w:tabs>
        <w:tab w:val="center" w:pos="4513"/>
        <w:tab w:val="right" w:pos="9026"/>
      </w:tabs>
    </w:pPr>
    <w:rPr>
      <w:sz w:val="20"/>
    </w:rPr>
  </w:style>
  <w:style w:type="character" w:customStyle="1" w:styleId="FooterChar">
    <w:name w:val="Footer Char"/>
    <w:basedOn w:val="DefaultParagraphFont"/>
    <w:link w:val="Footer"/>
    <w:uiPriority w:val="99"/>
    <w:rsid w:val="00244AF4"/>
    <w:rPr>
      <w:rFonts w:ascii="Arial" w:eastAsiaTheme="minorHAnsi" w:hAnsi="Arial" w:cs="Arial"/>
      <w:szCs w:val="24"/>
    </w:rPr>
  </w:style>
  <w:style w:type="paragraph" w:customStyle="1" w:styleId="footnote">
    <w:name w:val="footnote"/>
    <w:basedOn w:val="BodyText1"/>
    <w:qFormat/>
    <w:rsid w:val="008358DE"/>
    <w:rPr>
      <w:sz w:val="22"/>
      <w:szCs w:val="22"/>
    </w:rPr>
  </w:style>
  <w:style w:type="character" w:styleId="Hyperlink">
    <w:name w:val="Hyperlink"/>
    <w:basedOn w:val="DefaultParagraphFont"/>
    <w:uiPriority w:val="99"/>
    <w:unhideWhenUsed/>
    <w:rsid w:val="00244AF4"/>
    <w:rPr>
      <w:color w:val="0000FF" w:themeColor="hyperlink"/>
      <w:u w:val="none"/>
    </w:rPr>
  </w:style>
  <w:style w:type="paragraph" w:customStyle="1" w:styleId="Numberedbodytext">
    <w:name w:val="Numbered body text"/>
    <w:basedOn w:val="Bulletbodytext"/>
    <w:uiPriority w:val="99"/>
    <w:qFormat/>
    <w:rsid w:val="008358DE"/>
    <w:pPr>
      <w:numPr>
        <w:numId w:val="10"/>
      </w:numPr>
    </w:pPr>
  </w:style>
  <w:style w:type="paragraph" w:customStyle="1" w:styleId="Quotetext">
    <w:name w:val="Quote text"/>
    <w:basedOn w:val="BodyText1"/>
    <w:qFormat/>
    <w:rsid w:val="008358DE"/>
    <w:pPr>
      <w:ind w:left="480"/>
    </w:pPr>
    <w:rPr>
      <w:sz w:val="26"/>
    </w:rPr>
  </w:style>
  <w:style w:type="paragraph" w:customStyle="1" w:styleId="Quotesource">
    <w:name w:val="Quote source"/>
    <w:basedOn w:val="Quotetext"/>
    <w:next w:val="BodyText1"/>
    <w:qFormat/>
    <w:rsid w:val="008358DE"/>
    <w:rPr>
      <w:rFonts w:ascii="Arial Narrow" w:hAnsi="Arial Narrow"/>
      <w:sz w:val="24"/>
    </w:rPr>
  </w:style>
  <w:style w:type="paragraph" w:customStyle="1" w:styleId="Sub-bulletbodytext">
    <w:name w:val="Sub-bullet body text"/>
    <w:basedOn w:val="Bulletbodytext"/>
    <w:uiPriority w:val="99"/>
    <w:qFormat/>
    <w:rsid w:val="008358DE"/>
    <w:pPr>
      <w:numPr>
        <w:numId w:val="11"/>
      </w:numPr>
    </w:pPr>
  </w:style>
  <w:style w:type="paragraph" w:customStyle="1" w:styleId="Sub-numberedbodytext">
    <w:name w:val="Sub-numbered body text"/>
    <w:basedOn w:val="Numberedbodytext"/>
    <w:uiPriority w:val="99"/>
    <w:qFormat/>
    <w:rsid w:val="008358DE"/>
    <w:pPr>
      <w:numPr>
        <w:numId w:val="12"/>
      </w:numPr>
    </w:pPr>
  </w:style>
  <w:style w:type="paragraph" w:customStyle="1" w:styleId="TableAhead">
    <w:name w:val="Table A head"/>
    <w:basedOn w:val="Bhead"/>
    <w:uiPriority w:val="99"/>
    <w:qFormat/>
    <w:rsid w:val="008358DE"/>
    <w:pPr>
      <w:spacing w:before="440"/>
    </w:pPr>
    <w:rPr>
      <w:b w:val="0"/>
    </w:rPr>
  </w:style>
  <w:style w:type="paragraph" w:customStyle="1" w:styleId="Tablebodytext">
    <w:name w:val="Table body text"/>
    <w:basedOn w:val="BodyText1"/>
    <w:uiPriority w:val="99"/>
    <w:qFormat/>
    <w:rsid w:val="008358DE"/>
  </w:style>
  <w:style w:type="character" w:customStyle="1" w:styleId="Tablebold">
    <w:name w:val="Table bold"/>
    <w:basedOn w:val="DefaultParagraphFont"/>
    <w:uiPriority w:val="1"/>
    <w:rsid w:val="00244AF4"/>
    <w:rPr>
      <w:b/>
    </w:rPr>
  </w:style>
  <w:style w:type="paragraph" w:customStyle="1" w:styleId="Tablebullettext">
    <w:name w:val="Table bullet text"/>
    <w:basedOn w:val="Tablebodytext"/>
    <w:uiPriority w:val="99"/>
    <w:qFormat/>
    <w:rsid w:val="008358DE"/>
    <w:pPr>
      <w:numPr>
        <w:numId w:val="13"/>
      </w:numPr>
    </w:pPr>
  </w:style>
  <w:style w:type="character" w:customStyle="1" w:styleId="Tableitalic">
    <w:name w:val="Table italic"/>
    <w:basedOn w:val="DefaultParagraphFont"/>
    <w:uiPriority w:val="1"/>
    <w:rsid w:val="00244AF4"/>
    <w:rPr>
      <w:i/>
    </w:rPr>
  </w:style>
  <w:style w:type="paragraph" w:customStyle="1" w:styleId="Tablenumberedtext">
    <w:name w:val="Table numbered text"/>
    <w:basedOn w:val="Tablebodytext"/>
    <w:uiPriority w:val="99"/>
    <w:qFormat/>
    <w:rsid w:val="008358DE"/>
    <w:pPr>
      <w:numPr>
        <w:numId w:val="14"/>
      </w:numPr>
    </w:pPr>
  </w:style>
  <w:style w:type="paragraph" w:customStyle="1" w:styleId="Tablesub-bullettext">
    <w:name w:val="Table sub-bullet text"/>
    <w:basedOn w:val="Tablebullettext"/>
    <w:uiPriority w:val="99"/>
    <w:qFormat/>
    <w:rsid w:val="008358DE"/>
    <w:pPr>
      <w:numPr>
        <w:numId w:val="15"/>
      </w:numPr>
    </w:pPr>
  </w:style>
  <w:style w:type="paragraph" w:customStyle="1" w:styleId="Tablesub-numberedtext">
    <w:name w:val="Table sub-numbered text"/>
    <w:basedOn w:val="Tablenumberedtext"/>
    <w:uiPriority w:val="99"/>
    <w:qFormat/>
    <w:rsid w:val="008358DE"/>
    <w:pPr>
      <w:numPr>
        <w:numId w:val="16"/>
      </w:numPr>
    </w:pPr>
  </w:style>
  <w:style w:type="paragraph" w:styleId="NormalWeb">
    <w:name w:val="Normal (Web)"/>
    <w:basedOn w:val="Normal"/>
    <w:uiPriority w:val="99"/>
    <w:unhideWhenUsed/>
    <w:rsid w:val="00423F2D"/>
    <w:pPr>
      <w:spacing w:before="100" w:beforeAutospacing="1" w:after="100" w:afterAutospacing="1" w:line="240" w:lineRule="auto"/>
    </w:pPr>
    <w:rPr>
      <w:rFonts w:ascii="Times New Roman" w:eastAsia="Times New Roman" w:hAnsi="Times New Roman"/>
      <w:szCs w:val="24"/>
      <w:lang w:eastAsia="en-GB"/>
    </w:rPr>
  </w:style>
  <w:style w:type="character" w:customStyle="1" w:styleId="Heading1Char">
    <w:name w:val="Heading 1 Char"/>
    <w:basedOn w:val="DefaultParagraphFont"/>
    <w:link w:val="Heading1"/>
    <w:rsid w:val="00423F2D"/>
    <w:rPr>
      <w:rFonts w:asciiTheme="majorHAnsi" w:eastAsiaTheme="majorEastAsia" w:hAnsiTheme="majorHAnsi" w:cstheme="majorBidi"/>
      <w:color w:val="365F91" w:themeColor="accent1" w:themeShade="BF"/>
      <w:sz w:val="32"/>
      <w:szCs w:val="32"/>
      <w:lang w:eastAsia="en-US"/>
    </w:rPr>
  </w:style>
  <w:style w:type="character" w:customStyle="1" w:styleId="Heading2Char">
    <w:name w:val="Heading 2 Char"/>
    <w:basedOn w:val="DefaultParagraphFont"/>
    <w:link w:val="Heading2"/>
    <w:rsid w:val="00423F2D"/>
    <w:rPr>
      <w:rFonts w:asciiTheme="majorHAnsi" w:eastAsiaTheme="majorEastAsia" w:hAnsiTheme="majorHAnsi" w:cstheme="majorBidi"/>
      <w:color w:val="365F91" w:themeColor="accent1" w:themeShade="BF"/>
      <w:sz w:val="26"/>
      <w:szCs w:val="26"/>
      <w:lang w:eastAsia="en-US"/>
    </w:rPr>
  </w:style>
  <w:style w:type="paragraph" w:styleId="Caption">
    <w:name w:val="caption"/>
    <w:basedOn w:val="Normal"/>
    <w:next w:val="Normal"/>
    <w:unhideWhenUsed/>
    <w:qFormat/>
    <w:rsid w:val="00423F2D"/>
    <w:pPr>
      <w:spacing w:after="200" w:line="240" w:lineRule="auto"/>
    </w:pPr>
    <w:rPr>
      <w:i/>
      <w:iCs/>
      <w:color w:val="1F497D" w:themeColor="text2"/>
      <w:sz w:val="18"/>
      <w:szCs w:val="18"/>
    </w:rPr>
  </w:style>
  <w:style w:type="character" w:customStyle="1" w:styleId="mi">
    <w:name w:val="mi"/>
    <w:basedOn w:val="DefaultParagraphFont"/>
    <w:rsid w:val="00423F2D"/>
  </w:style>
  <w:style w:type="character" w:customStyle="1" w:styleId="mn">
    <w:name w:val="mn"/>
    <w:basedOn w:val="DefaultParagraphFont"/>
    <w:rsid w:val="00423F2D"/>
  </w:style>
  <w:style w:type="character" w:customStyle="1" w:styleId="mjxassistivemathml">
    <w:name w:val="mjx_assistive_mathml"/>
    <w:basedOn w:val="DefaultParagraphFont"/>
    <w:rsid w:val="00423F2D"/>
  </w:style>
  <w:style w:type="paragraph" w:styleId="HTMLPreformatted">
    <w:name w:val="HTML Preformatted"/>
    <w:basedOn w:val="Normal"/>
    <w:link w:val="HTMLPreformattedChar"/>
    <w:uiPriority w:val="99"/>
    <w:semiHidden/>
    <w:unhideWhenUsed/>
    <w:rsid w:val="00423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23F2D"/>
    <w:rPr>
      <w:rFonts w:ascii="Courier New" w:eastAsia="Times New Roman" w:hAnsi="Courier New" w:cs="Courier New"/>
    </w:rPr>
  </w:style>
  <w:style w:type="character" w:styleId="HTMLCode">
    <w:name w:val="HTML Code"/>
    <w:basedOn w:val="DefaultParagraphFont"/>
    <w:uiPriority w:val="99"/>
    <w:semiHidden/>
    <w:unhideWhenUsed/>
    <w:rsid w:val="00423F2D"/>
    <w:rPr>
      <w:rFonts w:ascii="Courier New" w:eastAsia="Times New Roman" w:hAnsi="Courier New" w:cs="Courier New"/>
      <w:sz w:val="20"/>
      <w:szCs w:val="20"/>
    </w:rPr>
  </w:style>
  <w:style w:type="character" w:customStyle="1" w:styleId="mo">
    <w:name w:val="mo"/>
    <w:basedOn w:val="DefaultParagraphFont"/>
    <w:rsid w:val="00423F2D"/>
  </w:style>
  <w:style w:type="character" w:customStyle="1" w:styleId="hljs-keyword">
    <w:name w:val="hljs-keyword"/>
    <w:basedOn w:val="DefaultParagraphFont"/>
    <w:rsid w:val="00423F2D"/>
  </w:style>
  <w:style w:type="character" w:customStyle="1" w:styleId="hljs-number">
    <w:name w:val="hljs-number"/>
    <w:basedOn w:val="DefaultParagraphFont"/>
    <w:rsid w:val="00423F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18</Pages>
  <Words>2345</Words>
  <Characters>13371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NHS HealthScotland</Company>
  <LinksUpToDate>false</LinksUpToDate>
  <CharactersWithSpaces>15685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Minton</dc:creator>
  <cp:keywords/>
  <dc:description/>
  <cp:lastModifiedBy>Jon Minton</cp:lastModifiedBy>
  <cp:revision>5</cp:revision>
  <dcterms:created xsi:type="dcterms:W3CDTF">2020-01-29T09:06:00Z</dcterms:created>
  <dcterms:modified xsi:type="dcterms:W3CDTF">2020-01-29T10:22:00Z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Id">
    <vt:lpwstr>-1</vt:lpwstr>
  </property>
  <property fmtid="{D5CDD505-2E9C-101B-9397-08002B2CF9AE}" pid="3" name="FileId">
    <vt:lpwstr>919269</vt:lpwstr>
  </property>
  <property fmtid="{D5CDD505-2E9C-101B-9397-08002B2CF9AE}" pid="4" name="InsertAsFootnote">
    <vt:lpwstr>False</vt:lpwstr>
  </property>
  <property fmtid="{D5CDD505-2E9C-101B-9397-08002B2CF9AE}" pid="5" name="StyleId">
    <vt:lpwstr>http://www.zotero.org/styles/vancouver</vt:lpwstr>
  </property>
</Properties>
</file>