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03D" w:rsidRDefault="0067203D" w:rsidP="00370159">
      <w:pPr>
        <w:pStyle w:val="Heading1"/>
        <w:rPr>
          <w:lang w:eastAsia="en-GB"/>
        </w:rPr>
      </w:pPr>
      <w:r>
        <w:t>ONS life expectancy projections</w:t>
      </w:r>
    </w:p>
    <w:p w:rsidR="00C32CD3" w:rsidRDefault="00C32CD3" w:rsidP="0067203D">
      <w:pPr>
        <w:pStyle w:val="NormalWeb"/>
        <w:shd w:val="clear" w:color="auto" w:fill="FFFFFF"/>
        <w:spacing w:before="0" w:beforeAutospacing="0" w:after="150" w:afterAutospacing="0"/>
        <w:rPr>
          <w:rFonts w:ascii="Helvetica" w:hAnsi="Helvetica" w:cs="Helvetica"/>
          <w:color w:val="333333"/>
          <w:sz w:val="21"/>
          <w:szCs w:val="21"/>
        </w:rPr>
      </w:pPr>
    </w:p>
    <w:p w:rsidR="00CD4C20" w:rsidRDefault="00CD4C20" w:rsidP="006720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Figure R4.1 shows ONS life expectancy projections from 1971 to 2018, compared with observed life expectancy at birth in a black line. </w:t>
      </w:r>
      <w:r w:rsidR="00C32CD3">
        <w:rPr>
          <w:rFonts w:ascii="Helvetica" w:hAnsi="Helvetica" w:cs="Helvetica"/>
          <w:color w:val="333333"/>
          <w:sz w:val="21"/>
          <w:szCs w:val="21"/>
        </w:rPr>
        <w:t xml:space="preserve">ONS life expectancies have, since 1971, tended to consistently under-predict the life expectancies that were achieved up until around 2010. </w:t>
      </w:r>
      <w:r>
        <w:rPr>
          <w:rFonts w:ascii="Helvetica" w:hAnsi="Helvetica" w:cs="Helvetica"/>
          <w:color w:val="333333"/>
          <w:sz w:val="21"/>
          <w:szCs w:val="21"/>
        </w:rPr>
        <w:t xml:space="preserve">After 2012, there are increasing indications that life expectancy projections may now be over-predicting life expectancy gains instead, with the most recent projections returning to around those levels assumed in projections from the early 2000s. </w:t>
      </w:r>
    </w:p>
    <w:p w:rsidR="00CD4C20" w:rsidRDefault="0018271E" w:rsidP="00CD4C20">
      <w:pPr>
        <w:pStyle w:val="NormalWeb"/>
        <w:keepNext/>
        <w:shd w:val="clear" w:color="auto" w:fill="FFFFFF"/>
        <w:spacing w:before="0" w:beforeAutospacing="0" w:after="150" w:afterAutospacing="0"/>
      </w:pPr>
      <w:r>
        <w:rPr>
          <w:rFonts w:ascii="Helvetica" w:hAnsi="Helvetica" w:cs="Helvetica"/>
          <w:noProof/>
          <w:color w:val="333333"/>
          <w:sz w:val="21"/>
          <w:szCs w:val="21"/>
        </w:rPr>
        <w:drawing>
          <wp:inline distT="0" distB="0" distL="0" distR="0">
            <wp:extent cx="5267325" cy="3952875"/>
            <wp:effectExtent l="0" t="0" r="9525" b="9525"/>
            <wp:docPr id="1" name="Picture 1" descr="X:\mortality_trends\repos\Bayes_Factor_Slowdown\bayes_paper\figures\R4_01_projections1971_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rtality_trends\repos\Bayes_Factor_Slowdown\bayes_paper\figures\R4_01_projections1971_201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CD4C20" w:rsidRDefault="00CD4C20" w:rsidP="00CD4C20">
      <w:pPr>
        <w:pStyle w:val="Caption"/>
        <w:rPr>
          <w:rFonts w:ascii="Helvetica" w:hAnsi="Helvetica" w:cs="Helvetica"/>
          <w:color w:val="333333"/>
          <w:sz w:val="21"/>
          <w:szCs w:val="21"/>
        </w:rPr>
      </w:pPr>
      <w:r>
        <w:t xml:space="preserve">Figure </w:t>
      </w:r>
      <w:r w:rsidR="0018271E">
        <w:rPr>
          <w:noProof/>
        </w:rPr>
        <w:t>R4.1</w:t>
      </w:r>
      <w:r>
        <w:t xml:space="preserve"> ONS UK life expectancy projections compared with observed life expectancy (black line)</w:t>
      </w:r>
    </w:p>
    <w:p w:rsidR="0067203D" w:rsidRDefault="0018271E" w:rsidP="0067203D">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It is apparent from the differences in projection shapes that a range of different methods have been used to produce ONS projections, with some of the earliest projections shown resulting in straight lines, but later projections being curved. These earlier straight line projections are likely to have been based on simple linear life expectancy trends, whereas later projections have tended to involve making a range of different assumptions about rates of change in age-specific mortality risks over a range of time periods. Historically, mortality rates based on age-specific mortality risks have tended to underestimate achieved life expectancy gains in high income countries. </w:t>
      </w:r>
      <w:r>
        <w:rPr>
          <w:rFonts w:ascii="Helvetica" w:hAnsi="Helvetica" w:cs="Helvetica"/>
          <w:color w:val="333333"/>
          <w:sz w:val="21"/>
          <w:szCs w:val="21"/>
        </w:rPr>
        <w:fldChar w:fldCharType="begin"/>
      </w:r>
      <w:r>
        <w:rPr>
          <w:rFonts w:ascii="Helvetica" w:hAnsi="Helvetica" w:cs="Helvetica"/>
          <w:color w:val="333333"/>
          <w:sz w:val="21"/>
          <w:szCs w:val="21"/>
        </w:rPr>
        <w:instrText>ADDIN F1000_CSL_CITATION&lt;~#@#~&gt;[{"title":"The impact of the choice of life table statistics when forecasting mortality","id":"8054907","type":"article-journal","author":[{"family":"Bergeron-Boucher","given":"M P"},{"family":"Kjærgaard","given":"S"}],"issued":{"date-parts":[["2019"]]},"container-title":"Demographic …","container-title-short":"Demographic …","journalAbbreviation":"Demographic …","citation-label":"8054907","Abstract":"Background: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…","CleanAbstract":"Background: Different ways to forecast mortality have been suggested, with many forecasting models based on the extrapolation of age-speciﬁc death rates. Recent studies, however, have looked into forecasting models based on other mortality indicators, such as life expectancy or life table deaths. Objective: Here we ask, what are the implications of choosing one indicator over another to forecast mortality? Methods: We compare ﬁve extrapolative models based on different life table statistics: death rates, death probabilities …"}]</w:instrText>
      </w:r>
      <w:r>
        <w:rPr>
          <w:rFonts w:ascii="Helvetica" w:hAnsi="Helvetica" w:cs="Helvetica"/>
          <w:color w:val="333333"/>
          <w:sz w:val="21"/>
          <w:szCs w:val="21"/>
        </w:rPr>
        <w:fldChar w:fldCharType="separate"/>
      </w:r>
      <w:r>
        <w:rPr>
          <w:rFonts w:ascii="Helvetica" w:hAnsi="Helvetica" w:cs="Helvetica"/>
          <w:color w:val="333333"/>
          <w:sz w:val="21"/>
          <w:szCs w:val="21"/>
        </w:rPr>
        <w:t>(1)</w:t>
      </w:r>
      <w:r>
        <w:rPr>
          <w:rFonts w:ascii="Helvetica" w:hAnsi="Helvetica" w:cs="Helvetica"/>
          <w:color w:val="333333"/>
          <w:sz w:val="21"/>
          <w:szCs w:val="21"/>
        </w:rPr>
        <w:fldChar w:fldCharType="end"/>
      </w:r>
      <w:r>
        <w:rPr>
          <w:rFonts w:ascii="Helvetica" w:hAnsi="Helvetica" w:cs="Helvetica"/>
          <w:color w:val="333333"/>
          <w:sz w:val="21"/>
          <w:szCs w:val="21"/>
        </w:rPr>
        <w:t xml:space="preserve"> Assumptions about different rates of age-specific mortality risk affect conditional life expectancy estimates too, as shown in the Lexis surfaces of conditional life expectancy for 2012-2018 projections shown in </w:t>
      </w:r>
      <w:r w:rsidR="00370159" w:rsidRPr="0018271E">
        <w:rPr>
          <w:rFonts w:ascii="Helvetica" w:hAnsi="Helvetica" w:cs="Helvetica"/>
          <w:color w:val="333333"/>
          <w:sz w:val="21"/>
          <w:szCs w:val="21"/>
          <w:highlight w:val="yellow"/>
        </w:rPr>
        <w:t>Figure R4.2A</w:t>
      </w:r>
      <w:r w:rsidR="00370159">
        <w:rPr>
          <w:rFonts w:ascii="Helvetica" w:hAnsi="Helvetica" w:cs="Helvetica"/>
          <w:color w:val="333333"/>
          <w:sz w:val="21"/>
          <w:szCs w:val="21"/>
        </w:rPr>
        <w:t xml:space="preserve"> in the web appendix, along with changes between conditional life expectancy between successive revision</w:t>
      </w:r>
      <w:r>
        <w:rPr>
          <w:rFonts w:ascii="Helvetica" w:hAnsi="Helvetica" w:cs="Helvetica"/>
          <w:color w:val="333333"/>
          <w:sz w:val="21"/>
          <w:szCs w:val="21"/>
        </w:rPr>
        <w:t>s</w:t>
      </w:r>
      <w:r w:rsidR="00370159">
        <w:rPr>
          <w:rFonts w:ascii="Helvetica" w:hAnsi="Helvetica" w:cs="Helvetica"/>
          <w:color w:val="333333"/>
          <w:sz w:val="21"/>
          <w:szCs w:val="21"/>
        </w:rPr>
        <w:t xml:space="preserve">, as shown in </w:t>
      </w:r>
      <w:r w:rsidR="00370159" w:rsidRPr="0018271E">
        <w:rPr>
          <w:rFonts w:ascii="Helvetica" w:hAnsi="Helvetica" w:cs="Helvetica"/>
          <w:color w:val="333333"/>
          <w:sz w:val="21"/>
          <w:szCs w:val="21"/>
          <w:highlight w:val="yellow"/>
        </w:rPr>
        <w:t>Figure R4.3A</w:t>
      </w:r>
      <w:r w:rsidR="00370159">
        <w:rPr>
          <w:rFonts w:ascii="Helvetica" w:hAnsi="Helvetica" w:cs="Helvetica"/>
          <w:color w:val="333333"/>
          <w:sz w:val="21"/>
          <w:szCs w:val="21"/>
        </w:rPr>
        <w:t xml:space="preserve"> </w:t>
      </w:r>
      <w:r>
        <w:rPr>
          <w:rFonts w:ascii="Helvetica" w:hAnsi="Helvetica" w:cs="Helvetica"/>
          <w:color w:val="333333"/>
          <w:sz w:val="21"/>
          <w:szCs w:val="21"/>
        </w:rPr>
        <w:t xml:space="preserve">in the web appendix. </w:t>
      </w:r>
      <w:r w:rsidRPr="0018271E">
        <w:rPr>
          <w:rFonts w:ascii="Helvetica" w:hAnsi="Helvetica" w:cs="Helvetica"/>
          <w:color w:val="333333"/>
          <w:sz w:val="21"/>
          <w:szCs w:val="21"/>
          <w:highlight w:val="yellow"/>
        </w:rPr>
        <w:t>Figure R4.3A</w:t>
      </w:r>
      <w:r>
        <w:rPr>
          <w:rFonts w:ascii="Helvetica" w:hAnsi="Helvetica" w:cs="Helvetica"/>
          <w:color w:val="333333"/>
          <w:sz w:val="21"/>
          <w:szCs w:val="21"/>
        </w:rPr>
        <w:t xml:space="preserve"> shows, for instance, that there was little downgrading of conditional life expectancies for males up to around age 60, between the 2012 to 2014 projection, whereas there was moderate downgrading between these two revisions for females. After 2014 successive revisions have continued to downgrade projections at all ages, in particular for males aged under 50 years between the 2016 and 2018 revisions.</w:t>
      </w:r>
    </w:p>
    <w:p w:rsidR="0068523F" w:rsidRDefault="0018271E" w:rsidP="008A0554">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Table R4.1 shows the average annual long-term change in life expectancy at birth assumed by each ONS projection from 2012 onwards, along with </w:t>
      </w:r>
      <w:r w:rsidR="0068523F">
        <w:rPr>
          <w:rFonts w:ascii="Helvetica" w:hAnsi="Helvetica" w:cs="Helvetica"/>
          <w:color w:val="333333"/>
          <w:sz w:val="21"/>
          <w:szCs w:val="21"/>
        </w:rPr>
        <w:t xml:space="preserve">the standard deviation in the implied annual projections. For the UK as a whole, life expectancy was expected to improve by 0.137 years/year for females, and 0.149 years/year for males. By the 2018 the projected long-term improvement rates had been cut to 0.094 years/year for females (a </w:t>
      </w:r>
      <w:r w:rsidR="008E40F5">
        <w:rPr>
          <w:rFonts w:ascii="Helvetica" w:hAnsi="Helvetica" w:cs="Helvetica"/>
          <w:color w:val="333333"/>
          <w:sz w:val="21"/>
          <w:szCs w:val="21"/>
        </w:rPr>
        <w:t>31</w:t>
      </w:r>
      <w:r w:rsidR="0068523F">
        <w:rPr>
          <w:rFonts w:ascii="Helvetica" w:hAnsi="Helvetica" w:cs="Helvetica"/>
          <w:color w:val="333333"/>
          <w:sz w:val="21"/>
          <w:szCs w:val="21"/>
        </w:rPr>
        <w:t xml:space="preserve">% fall) and to 0.114 years/year for males (a </w:t>
      </w:r>
      <w:r w:rsidR="008E40F5">
        <w:rPr>
          <w:rFonts w:ascii="Helvetica" w:hAnsi="Helvetica" w:cs="Helvetica"/>
          <w:color w:val="333333"/>
          <w:sz w:val="21"/>
          <w:szCs w:val="21"/>
        </w:rPr>
        <w:t>23</w:t>
      </w:r>
      <w:r w:rsidR="0068523F">
        <w:rPr>
          <w:rFonts w:ascii="Helvetica" w:hAnsi="Helvetica" w:cs="Helvetica"/>
          <w:color w:val="333333"/>
          <w:sz w:val="21"/>
          <w:szCs w:val="21"/>
        </w:rPr>
        <w:t>% fall)</w:t>
      </w:r>
      <w:r w:rsidR="008E40F5">
        <w:rPr>
          <w:rFonts w:ascii="Helvetica" w:hAnsi="Helvetica" w:cs="Helvetica"/>
          <w:color w:val="333333"/>
          <w:sz w:val="21"/>
          <w:szCs w:val="21"/>
        </w:rPr>
        <w:t>. It is important to note that even the 2012 projections were lower than the observed rates in the UK in the 1980s (female 0.168 years/year, male 0.230 years/year), 1990s (0.170 and 0.232 years/year respectively) and 2000s (0.241 and 0.313)</w:t>
      </w:r>
      <w:r w:rsidR="00FC62C5">
        <w:rPr>
          <w:rFonts w:ascii="Helvetica" w:hAnsi="Helvetica" w:cs="Helvetica"/>
          <w:color w:val="333333"/>
          <w:sz w:val="21"/>
          <w:szCs w:val="21"/>
        </w:rPr>
        <w:t xml:space="preserve">, and so may have been considered pessimistic/conservative estimates at the time. </w:t>
      </w:r>
      <w:bookmarkStart w:id="0" w:name="_GoBack"/>
      <w:bookmarkEnd w:id="0"/>
      <w:r w:rsidR="008E40F5">
        <w:rPr>
          <w:rFonts w:ascii="Helvetica" w:hAnsi="Helvetica" w:cs="Helvetica"/>
          <w:color w:val="333333"/>
          <w:sz w:val="21"/>
          <w:szCs w:val="21"/>
        </w:rPr>
        <w:t xml:space="preserve"> </w:t>
      </w:r>
    </w:p>
    <w:p w:rsidR="008E40F5" w:rsidRDefault="008E40F5" w:rsidP="008A0554">
      <w:pPr>
        <w:pStyle w:val="NormalWeb"/>
        <w:shd w:val="clear" w:color="auto" w:fill="FFFFFF"/>
        <w:spacing w:before="0" w:beforeAutospacing="0" w:after="150" w:afterAutospacing="0"/>
        <w:rPr>
          <w:rFonts w:ascii="Helvetica" w:hAnsi="Helvetica" w:cs="Helvetica"/>
          <w:color w:val="333333"/>
          <w:sz w:val="21"/>
          <w:szCs w:val="21"/>
        </w:rPr>
      </w:pPr>
    </w:p>
    <w:p w:rsidR="008E40F5" w:rsidRDefault="008E40F5" w:rsidP="008A0554">
      <w:pPr>
        <w:pStyle w:val="NormalWeb"/>
        <w:shd w:val="clear" w:color="auto" w:fill="FFFFFF"/>
        <w:spacing w:before="0" w:beforeAutospacing="0" w:after="150" w:afterAutospacing="0"/>
        <w:rPr>
          <w:rFonts w:ascii="Helvetica" w:hAnsi="Helvetica" w:cs="Helvetica"/>
          <w:color w:val="333333"/>
          <w:sz w:val="21"/>
          <w:szCs w:val="21"/>
        </w:rPr>
      </w:pPr>
    </w:p>
    <w:p w:rsidR="008E40F5" w:rsidRDefault="008E40F5" w:rsidP="008A0554">
      <w:pPr>
        <w:pStyle w:val="NormalWeb"/>
        <w:shd w:val="clear" w:color="auto" w:fill="FFFFFF"/>
        <w:spacing w:before="0" w:beforeAutospacing="0" w:after="150" w:afterAutospacing="0"/>
        <w:rPr>
          <w:rFonts w:ascii="Helvetica" w:hAnsi="Helvetica" w:cs="Helvetica"/>
          <w:color w:val="333333"/>
          <w:sz w:val="21"/>
          <w:szCs w:val="21"/>
        </w:rPr>
        <w:sectPr w:rsidR="008E40F5">
          <w:pgSz w:w="11906" w:h="16838"/>
          <w:pgMar w:top="1440" w:right="1800" w:bottom="1440" w:left="1800" w:header="708" w:footer="708" w:gutter="0"/>
          <w:cols w:space="708"/>
          <w:docGrid w:linePitch="360"/>
        </w:sectPr>
      </w:pPr>
    </w:p>
    <w:p w:rsidR="0068523F" w:rsidRDefault="0068523F" w:rsidP="008A0554">
      <w:pPr>
        <w:pStyle w:val="NormalWeb"/>
        <w:shd w:val="clear" w:color="auto" w:fill="FFFFFF"/>
        <w:spacing w:before="0" w:beforeAutospacing="0" w:after="150" w:afterAutospacing="0"/>
        <w:rPr>
          <w:rFonts w:ascii="Helvetica" w:hAnsi="Helvetica" w:cs="Helvetica"/>
          <w:color w:val="333333"/>
          <w:sz w:val="21"/>
          <w:szCs w:val="21"/>
        </w:rPr>
      </w:pPr>
    </w:p>
    <w:tbl>
      <w:tblPr>
        <w:tblW w:w="13280" w:type="dxa"/>
        <w:tblInd w:w="108" w:type="dxa"/>
        <w:tblLook w:val="04A0" w:firstRow="1" w:lastRow="0" w:firstColumn="1" w:lastColumn="0" w:noHBand="0" w:noVBand="1"/>
      </w:tblPr>
      <w:tblGrid>
        <w:gridCol w:w="1760"/>
        <w:gridCol w:w="1440"/>
        <w:gridCol w:w="1440"/>
        <w:gridCol w:w="1440"/>
        <w:gridCol w:w="1440"/>
        <w:gridCol w:w="1440"/>
        <w:gridCol w:w="1440"/>
        <w:gridCol w:w="1440"/>
        <w:gridCol w:w="1440"/>
      </w:tblGrid>
      <w:tr w:rsidR="0068523F" w:rsidRPr="0068523F" w:rsidTr="0068523F">
        <w:trPr>
          <w:trHeight w:val="300"/>
        </w:trPr>
        <w:tc>
          <w:tcPr>
            <w:tcW w:w="176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jc w:val="center"/>
              <w:rPr>
                <w:rFonts w:ascii="Calibri" w:eastAsia="Times New Roman" w:hAnsi="Calibri"/>
                <w:b/>
                <w:bCs/>
                <w:color w:val="000000"/>
                <w:sz w:val="22"/>
                <w:lang w:eastAsia="en-GB"/>
              </w:rPr>
            </w:pPr>
          </w:p>
        </w:tc>
        <w:tc>
          <w:tcPr>
            <w:tcW w:w="5760" w:type="dxa"/>
            <w:gridSpan w:val="4"/>
            <w:tcBorders>
              <w:top w:val="nil"/>
              <w:left w:val="nil"/>
              <w:bottom w:val="nil"/>
              <w:right w:val="nil"/>
            </w:tcBorders>
            <w:shd w:val="clear" w:color="auto" w:fill="auto"/>
            <w:noWrap/>
            <w:vAlign w:val="bottom"/>
            <w:hideMark/>
          </w:tcPr>
          <w:p w:rsidR="0068523F" w:rsidRPr="0068523F" w:rsidRDefault="0068523F" w:rsidP="0068523F">
            <w:pPr>
              <w:spacing w:after="0" w:line="240" w:lineRule="auto"/>
              <w:jc w:val="center"/>
              <w:rPr>
                <w:rFonts w:ascii="Calibri" w:eastAsia="Times New Roman" w:hAnsi="Calibri"/>
                <w:b/>
                <w:bCs/>
                <w:color w:val="000000"/>
                <w:sz w:val="22"/>
                <w:lang w:eastAsia="en-GB"/>
              </w:rPr>
            </w:pPr>
            <w:r w:rsidRPr="0068523F">
              <w:rPr>
                <w:rFonts w:ascii="Calibri" w:eastAsia="Times New Roman" w:hAnsi="Calibri"/>
                <w:b/>
                <w:bCs/>
                <w:color w:val="000000"/>
                <w:sz w:val="22"/>
                <w:lang w:eastAsia="en-GB"/>
              </w:rPr>
              <w:t>Female</w:t>
            </w:r>
          </w:p>
        </w:tc>
        <w:tc>
          <w:tcPr>
            <w:tcW w:w="5760" w:type="dxa"/>
            <w:gridSpan w:val="4"/>
            <w:tcBorders>
              <w:top w:val="nil"/>
              <w:left w:val="nil"/>
              <w:bottom w:val="nil"/>
              <w:right w:val="nil"/>
            </w:tcBorders>
            <w:shd w:val="clear" w:color="auto" w:fill="auto"/>
            <w:noWrap/>
            <w:vAlign w:val="bottom"/>
            <w:hideMark/>
          </w:tcPr>
          <w:p w:rsidR="0068523F" w:rsidRPr="0068523F" w:rsidRDefault="0068523F" w:rsidP="0068523F">
            <w:pPr>
              <w:spacing w:after="0" w:line="240" w:lineRule="auto"/>
              <w:jc w:val="center"/>
              <w:rPr>
                <w:rFonts w:ascii="Calibri" w:eastAsia="Times New Roman" w:hAnsi="Calibri"/>
                <w:b/>
                <w:bCs/>
                <w:color w:val="000000"/>
                <w:sz w:val="22"/>
                <w:lang w:eastAsia="en-GB"/>
              </w:rPr>
            </w:pPr>
            <w:r w:rsidRPr="0068523F">
              <w:rPr>
                <w:rFonts w:ascii="Calibri" w:eastAsia="Times New Roman" w:hAnsi="Calibri"/>
                <w:b/>
                <w:bCs/>
                <w:color w:val="000000"/>
                <w:sz w:val="22"/>
                <w:lang w:eastAsia="en-GB"/>
              </w:rPr>
              <w:t>Male</w:t>
            </w:r>
          </w:p>
        </w:tc>
      </w:tr>
      <w:tr w:rsidR="0068523F" w:rsidRPr="0068523F" w:rsidTr="0068523F">
        <w:trPr>
          <w:trHeight w:val="300"/>
        </w:trPr>
        <w:tc>
          <w:tcPr>
            <w:tcW w:w="1760" w:type="dxa"/>
            <w:tcBorders>
              <w:top w:val="nil"/>
              <w:left w:val="nil"/>
              <w:bottom w:val="single" w:sz="4" w:space="0" w:color="000000"/>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Country</w:t>
            </w:r>
          </w:p>
        </w:tc>
        <w:tc>
          <w:tcPr>
            <w:tcW w:w="1440" w:type="dxa"/>
            <w:tcBorders>
              <w:top w:val="nil"/>
              <w:left w:val="single" w:sz="4" w:space="0" w:color="000000"/>
              <w:bottom w:val="single" w:sz="4" w:space="0" w:color="000000"/>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2012</w:t>
            </w:r>
          </w:p>
        </w:tc>
        <w:tc>
          <w:tcPr>
            <w:tcW w:w="1440" w:type="dxa"/>
            <w:tcBorders>
              <w:top w:val="nil"/>
              <w:left w:val="nil"/>
              <w:bottom w:val="single" w:sz="4" w:space="0" w:color="000000"/>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2014</w:t>
            </w:r>
          </w:p>
        </w:tc>
        <w:tc>
          <w:tcPr>
            <w:tcW w:w="1440" w:type="dxa"/>
            <w:tcBorders>
              <w:top w:val="nil"/>
              <w:left w:val="nil"/>
              <w:bottom w:val="single" w:sz="4" w:space="0" w:color="000000"/>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2016</w:t>
            </w:r>
          </w:p>
        </w:tc>
        <w:tc>
          <w:tcPr>
            <w:tcW w:w="1440" w:type="dxa"/>
            <w:tcBorders>
              <w:top w:val="nil"/>
              <w:left w:val="nil"/>
              <w:bottom w:val="single" w:sz="4" w:space="0" w:color="000000"/>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2018</w:t>
            </w:r>
          </w:p>
        </w:tc>
        <w:tc>
          <w:tcPr>
            <w:tcW w:w="1440" w:type="dxa"/>
            <w:tcBorders>
              <w:top w:val="nil"/>
              <w:left w:val="nil"/>
              <w:bottom w:val="single" w:sz="4" w:space="0" w:color="000000"/>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2012</w:t>
            </w:r>
          </w:p>
        </w:tc>
        <w:tc>
          <w:tcPr>
            <w:tcW w:w="1440" w:type="dxa"/>
            <w:tcBorders>
              <w:top w:val="nil"/>
              <w:left w:val="nil"/>
              <w:bottom w:val="single" w:sz="4" w:space="0" w:color="000000"/>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2014</w:t>
            </w:r>
          </w:p>
        </w:tc>
        <w:tc>
          <w:tcPr>
            <w:tcW w:w="1440" w:type="dxa"/>
            <w:tcBorders>
              <w:top w:val="nil"/>
              <w:left w:val="nil"/>
              <w:bottom w:val="single" w:sz="4" w:space="0" w:color="000000"/>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2016</w:t>
            </w:r>
          </w:p>
        </w:tc>
        <w:tc>
          <w:tcPr>
            <w:tcW w:w="1440" w:type="dxa"/>
            <w:tcBorders>
              <w:top w:val="nil"/>
              <w:left w:val="nil"/>
              <w:bottom w:val="single" w:sz="4" w:space="0" w:color="000000"/>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2018</w:t>
            </w:r>
          </w:p>
        </w:tc>
      </w:tr>
      <w:tr w:rsidR="0068523F" w:rsidRPr="0068523F" w:rsidTr="0068523F">
        <w:trPr>
          <w:trHeight w:val="300"/>
        </w:trPr>
        <w:tc>
          <w:tcPr>
            <w:tcW w:w="176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United Kingdom</w:t>
            </w:r>
          </w:p>
        </w:tc>
        <w:tc>
          <w:tcPr>
            <w:tcW w:w="1440" w:type="dxa"/>
            <w:tcBorders>
              <w:top w:val="nil"/>
              <w:left w:val="single" w:sz="4" w:space="0" w:color="000000"/>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(0.054)</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0.129 (0.046)</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0.115 (0.036)</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0.094 (0.032)</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(0.055)</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0.147 (0.055)</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0.134 (0.048)</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0.114 (0.041)</w:t>
            </w:r>
          </w:p>
        </w:tc>
      </w:tr>
      <w:tr w:rsidR="0068523F" w:rsidRPr="0068523F" w:rsidTr="0068523F">
        <w:trPr>
          <w:trHeight w:val="300"/>
        </w:trPr>
        <w:tc>
          <w:tcPr>
            <w:tcW w:w="176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England</w:t>
            </w:r>
          </w:p>
        </w:tc>
        <w:tc>
          <w:tcPr>
            <w:tcW w:w="1440" w:type="dxa"/>
            <w:tcBorders>
              <w:top w:val="nil"/>
              <w:left w:val="single" w:sz="4" w:space="0" w:color="000000"/>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0.135 (0.048)</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0.127 (0.045)</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0.113 (0.034)</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0.092 (0.034)</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0.147 (0.055)</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0.144 (0.055)</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0.132 (0.047)</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0.110 (0.037)</w:t>
            </w:r>
          </w:p>
        </w:tc>
      </w:tr>
      <w:tr w:rsidR="0068523F" w:rsidRPr="0068523F" w:rsidTr="0068523F">
        <w:trPr>
          <w:trHeight w:val="300"/>
        </w:trPr>
        <w:tc>
          <w:tcPr>
            <w:tcW w:w="176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Scotland</w:t>
            </w:r>
          </w:p>
        </w:tc>
        <w:tc>
          <w:tcPr>
            <w:tcW w:w="1440" w:type="dxa"/>
            <w:tcBorders>
              <w:top w:val="nil"/>
              <w:left w:val="single" w:sz="4" w:space="0" w:color="000000"/>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0.140 (0.049)</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0.131 (0.047)</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0.119 (0.040)</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0.100 (0.041)</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0.156 (0.055)</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0.156 (0.059)</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0.143 (0.050)</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0.122 (0.042)</w:t>
            </w:r>
          </w:p>
        </w:tc>
      </w:tr>
      <w:tr w:rsidR="0068523F" w:rsidRPr="0068523F" w:rsidTr="0068523F">
        <w:trPr>
          <w:trHeight w:val="300"/>
        </w:trPr>
        <w:tc>
          <w:tcPr>
            <w:tcW w:w="176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Wales</w:t>
            </w:r>
          </w:p>
        </w:tc>
        <w:tc>
          <w:tcPr>
            <w:tcW w:w="1440" w:type="dxa"/>
            <w:tcBorders>
              <w:top w:val="nil"/>
              <w:left w:val="single" w:sz="4" w:space="0" w:color="000000"/>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(0.049)</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0.131 (0.047)</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0.117 (0.038)</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0.098 (0.025)</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0.136 (0.049)</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0.118 (0.039)</w:t>
            </w:r>
          </w:p>
        </w:tc>
      </w:tr>
      <w:tr w:rsidR="0068523F" w:rsidRPr="0068523F" w:rsidTr="0068523F">
        <w:trPr>
          <w:trHeight w:val="300"/>
        </w:trPr>
        <w:tc>
          <w:tcPr>
            <w:tcW w:w="176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Northern Ireland</w:t>
            </w:r>
          </w:p>
        </w:tc>
        <w:tc>
          <w:tcPr>
            <w:tcW w:w="1440" w:type="dxa"/>
            <w:tcBorders>
              <w:top w:val="nil"/>
              <w:left w:val="single" w:sz="4" w:space="0" w:color="000000"/>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0.137 (0.054)</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0.129 (0.046)</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0.117 (0.038)</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0.096 (0.035)</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0.151 (0.055)</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0.149 (0.059)</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0.138 (0.049)</w:t>
            </w:r>
          </w:p>
        </w:tc>
        <w:tc>
          <w:tcPr>
            <w:tcW w:w="1440" w:type="dxa"/>
            <w:tcBorders>
              <w:top w:val="nil"/>
              <w:left w:val="nil"/>
              <w:bottom w:val="nil"/>
              <w:right w:val="nil"/>
            </w:tcBorders>
            <w:shd w:val="clear" w:color="auto" w:fill="auto"/>
            <w:noWrap/>
            <w:vAlign w:val="bottom"/>
            <w:hideMark/>
          </w:tcPr>
          <w:p w:rsidR="0068523F" w:rsidRPr="0068523F" w:rsidRDefault="0068523F" w:rsidP="0068523F">
            <w:pPr>
              <w:keepNext/>
              <w:spacing w:after="0" w:line="240" w:lineRule="auto"/>
              <w:rPr>
                <w:rFonts w:ascii="Calibri" w:eastAsia="Times New Roman" w:hAnsi="Calibri"/>
                <w:color w:val="000000"/>
                <w:sz w:val="22"/>
                <w:lang w:eastAsia="en-GB"/>
              </w:rPr>
            </w:pPr>
            <w:r w:rsidRPr="0068523F">
              <w:rPr>
                <w:rFonts w:ascii="Calibri" w:eastAsia="Times New Roman" w:hAnsi="Calibri"/>
                <w:color w:val="000000"/>
                <w:sz w:val="22"/>
                <w:lang w:eastAsia="en-GB"/>
              </w:rPr>
              <w:t>0.116 (0.043)</w:t>
            </w:r>
          </w:p>
        </w:tc>
      </w:tr>
    </w:tbl>
    <w:p w:rsidR="0067203D" w:rsidRDefault="0068523F" w:rsidP="0068523F">
      <w:pPr>
        <w:pStyle w:val="Caption"/>
      </w:pPr>
      <w:r>
        <w:t>Table R4.1 Mean long-term annual change in life expectancy (Standard deviation) by UK and constituent nation, sex, and ONS projection revision</w:t>
      </w:r>
    </w:p>
    <w:p w:rsidR="0068523F" w:rsidRDefault="0068523F" w:rsidP="0067203D">
      <w:pPr>
        <w:sectPr w:rsidR="0068523F" w:rsidSect="0068523F">
          <w:pgSz w:w="16838" w:h="11906" w:orient="landscape"/>
          <w:pgMar w:top="1800" w:right="1440" w:bottom="1800" w:left="1440" w:header="708" w:footer="708" w:gutter="0"/>
          <w:cols w:space="708"/>
          <w:docGrid w:linePitch="360"/>
        </w:sectPr>
      </w:pPr>
    </w:p>
    <w:p w:rsidR="0068523F" w:rsidRDefault="0068523F" w:rsidP="0067203D"/>
    <w:p w:rsidR="0068523F" w:rsidRPr="004B370A" w:rsidRDefault="0068523F" w:rsidP="0067203D"/>
    <w:p w:rsidR="00B94561" w:rsidRPr="008A477A" w:rsidRDefault="00B94561" w:rsidP="00681205">
      <w:pPr>
        <w:pStyle w:val="BodyText1"/>
      </w:pPr>
    </w:p>
    <w:sectPr w:rsidR="00B94561"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F37"/>
    <w:rsid w:val="0003231D"/>
    <w:rsid w:val="000B5054"/>
    <w:rsid w:val="000B7B14"/>
    <w:rsid w:val="000C6EB6"/>
    <w:rsid w:val="0010680F"/>
    <w:rsid w:val="00106EF1"/>
    <w:rsid w:val="00112265"/>
    <w:rsid w:val="00120525"/>
    <w:rsid w:val="0013180F"/>
    <w:rsid w:val="00140405"/>
    <w:rsid w:val="001675F3"/>
    <w:rsid w:val="00172860"/>
    <w:rsid w:val="001729BB"/>
    <w:rsid w:val="00175C38"/>
    <w:rsid w:val="0018271E"/>
    <w:rsid w:val="00186039"/>
    <w:rsid w:val="00193FA8"/>
    <w:rsid w:val="001A170A"/>
    <w:rsid w:val="001A496F"/>
    <w:rsid w:val="001D1890"/>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0159"/>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7203D"/>
    <w:rsid w:val="00681205"/>
    <w:rsid w:val="0068523F"/>
    <w:rsid w:val="00686DE9"/>
    <w:rsid w:val="006979F9"/>
    <w:rsid w:val="006C3EFA"/>
    <w:rsid w:val="006D124E"/>
    <w:rsid w:val="00714FEC"/>
    <w:rsid w:val="00723AFA"/>
    <w:rsid w:val="00730209"/>
    <w:rsid w:val="007459AB"/>
    <w:rsid w:val="00766141"/>
    <w:rsid w:val="007A67F6"/>
    <w:rsid w:val="007A7D51"/>
    <w:rsid w:val="00801D27"/>
    <w:rsid w:val="008358DE"/>
    <w:rsid w:val="00835EB3"/>
    <w:rsid w:val="0084596C"/>
    <w:rsid w:val="00866397"/>
    <w:rsid w:val="00873481"/>
    <w:rsid w:val="00894CB7"/>
    <w:rsid w:val="008A047C"/>
    <w:rsid w:val="008A0554"/>
    <w:rsid w:val="008A43C1"/>
    <w:rsid w:val="008A477A"/>
    <w:rsid w:val="008E40F5"/>
    <w:rsid w:val="00901272"/>
    <w:rsid w:val="00937026"/>
    <w:rsid w:val="009D7E7F"/>
    <w:rsid w:val="009E3BB3"/>
    <w:rsid w:val="009E7C53"/>
    <w:rsid w:val="009F58EB"/>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D1F37"/>
    <w:rsid w:val="00BF3F19"/>
    <w:rsid w:val="00C059A2"/>
    <w:rsid w:val="00C27630"/>
    <w:rsid w:val="00C3025E"/>
    <w:rsid w:val="00C32CD3"/>
    <w:rsid w:val="00C564DC"/>
    <w:rsid w:val="00C60191"/>
    <w:rsid w:val="00C81746"/>
    <w:rsid w:val="00CC4236"/>
    <w:rsid w:val="00CD1081"/>
    <w:rsid w:val="00CD4C20"/>
    <w:rsid w:val="00CE5C70"/>
    <w:rsid w:val="00D1284E"/>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F17A93"/>
    <w:rsid w:val="00F42410"/>
    <w:rsid w:val="00F42FC0"/>
    <w:rsid w:val="00F76F61"/>
    <w:rsid w:val="00F87672"/>
    <w:rsid w:val="00FA02F9"/>
    <w:rsid w:val="00FA6955"/>
    <w:rsid w:val="00FC3F94"/>
    <w:rsid w:val="00FC62C5"/>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FCAF1A8-09FF-4018-907E-22D7646F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7203D"/>
    <w:pPr>
      <w:spacing w:after="160" w:line="259" w:lineRule="auto"/>
    </w:pPr>
    <w:rPr>
      <w:rFonts w:ascii="Arial" w:hAnsi="Arial"/>
      <w:sz w:val="24"/>
      <w:szCs w:val="22"/>
      <w:lang w:eastAsia="en-US"/>
    </w:rPr>
  </w:style>
  <w:style w:type="paragraph" w:styleId="Heading1">
    <w:name w:val="heading 1"/>
    <w:basedOn w:val="Normal"/>
    <w:next w:val="Normal"/>
    <w:link w:val="Heading1Char"/>
    <w:rsid w:val="003701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67203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character" w:customStyle="1" w:styleId="Heading2Char">
    <w:name w:val="Heading 2 Char"/>
    <w:basedOn w:val="DefaultParagraphFont"/>
    <w:link w:val="Heading2"/>
    <w:rsid w:val="0067203D"/>
    <w:rPr>
      <w:rFonts w:asciiTheme="majorHAnsi" w:eastAsiaTheme="majorEastAsia" w:hAnsiTheme="majorHAnsi" w:cstheme="majorBidi"/>
      <w:color w:val="365F91" w:themeColor="accent1" w:themeShade="BF"/>
      <w:sz w:val="26"/>
      <w:szCs w:val="26"/>
      <w:lang w:eastAsia="en-US"/>
    </w:rPr>
  </w:style>
  <w:style w:type="paragraph" w:styleId="NormalWeb">
    <w:name w:val="Normal (Web)"/>
    <w:basedOn w:val="Normal"/>
    <w:uiPriority w:val="99"/>
    <w:unhideWhenUsed/>
    <w:rsid w:val="0067203D"/>
    <w:pPr>
      <w:spacing w:before="100" w:beforeAutospacing="1" w:after="100" w:afterAutospacing="1" w:line="240" w:lineRule="auto"/>
    </w:pPr>
    <w:rPr>
      <w:rFonts w:ascii="Times New Roman" w:eastAsia="Times New Roman" w:hAnsi="Times New Roman"/>
      <w:szCs w:val="24"/>
      <w:lang w:eastAsia="en-GB"/>
    </w:rPr>
  </w:style>
  <w:style w:type="character" w:customStyle="1" w:styleId="Heading1Char">
    <w:name w:val="Heading 1 Char"/>
    <w:basedOn w:val="DefaultParagraphFont"/>
    <w:link w:val="Heading1"/>
    <w:rsid w:val="00370159"/>
    <w:rPr>
      <w:rFonts w:asciiTheme="majorHAnsi" w:eastAsiaTheme="majorEastAsia" w:hAnsiTheme="majorHAnsi" w:cstheme="majorBidi"/>
      <w:color w:val="365F91" w:themeColor="accent1" w:themeShade="BF"/>
      <w:sz w:val="32"/>
      <w:szCs w:val="32"/>
      <w:lang w:eastAsia="en-US"/>
    </w:rPr>
  </w:style>
  <w:style w:type="paragraph" w:styleId="Caption">
    <w:name w:val="caption"/>
    <w:basedOn w:val="Normal"/>
    <w:next w:val="Normal"/>
    <w:unhideWhenUsed/>
    <w:qFormat/>
    <w:rsid w:val="00CD4C2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55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5</cp:revision>
  <dcterms:created xsi:type="dcterms:W3CDTF">2020-01-09T14:13:00Z</dcterms:created>
  <dcterms:modified xsi:type="dcterms:W3CDTF">2020-01-10T15:31:00Z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896677</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