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r>
        <w:rPr>
          <w:rFonts w:ascii="Helvetica" w:hAnsi="Helvetica" w:cs="Helvetica"/>
          <w:color w:val="333333"/>
          <w:sz w:val="21"/>
          <w:szCs w:val="21"/>
        </w:rPr>
        <w:t xml:space="preserve">An advantage of the Bayes Factor approach is that it is trivial to update it every year, taking only a minute or so to rerun with an additional year’s worth of data. This means that as soon as new data becomes available, it can be used to update our beliefs about long-term trends, and the extent of the deterioration from long-term trends if the accumulated recent data is considered </w:t>
      </w:r>
      <w:proofErr w:type="spellStart"/>
      <w:r>
        <w:rPr>
          <w:rFonts w:ascii="Helvetica" w:hAnsi="Helvetica" w:cs="Helvetica"/>
          <w:color w:val="333333"/>
          <w:sz w:val="21"/>
          <w:szCs w:val="21"/>
        </w:rPr>
        <w:t>representive</w:t>
      </w:r>
      <w:proofErr w:type="spellEnd"/>
      <w:r>
        <w:rPr>
          <w:rFonts w:ascii="Helvetica" w:hAnsi="Helvetica" w:cs="Helvetica"/>
          <w:color w:val="333333"/>
          <w:sz w:val="21"/>
          <w:szCs w:val="21"/>
        </w:rPr>
        <w:t xml:space="preserve"> of how long-term trends are likely to progress.</w:t>
      </w:r>
    </w:p>
    <w:p w:rsidR="00A843CA" w:rsidRPr="008A477A" w:rsidRDefault="00A843CA" w:rsidP="00A843CA">
      <w:pPr>
        <w:pStyle w:val="BodyText1"/>
      </w:pPr>
    </w:p>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 up to 2014, the ONS was projecting a slower improvement rates than 2011-12 alone would suggest. For the 2016 and 2018 projections, the rates were slightly higher than the Bayes Factor alone would suggest, especially for females. Now, the remaining analysis (possibly the only remaining analysis) is to express the UK’s recent improvement rates and ONS projections as a % of the mean improvement from 1980 to 2010.</w:t>
      </w:r>
    </w:p>
    <w:p w:rsidR="00A843CA" w:rsidRDefault="00A843CA" w:rsidP="00A843CA">
      <w:pPr>
        <w:shd w:val="clear" w:color="auto" w:fill="FFFFFF"/>
        <w:rPr>
          <w:rFonts w:ascii="Helvetica" w:hAnsi="Helvetica" w:cs="Helvetica"/>
          <w:color w:val="333333"/>
          <w:sz w:val="21"/>
          <w:szCs w:val="21"/>
        </w:rPr>
      </w:pPr>
      <w:r>
        <w:rPr>
          <w:rFonts w:ascii="Helvetica" w:hAnsi="Helvetica" w:cs="Helvetica"/>
          <w:color w:val="333333"/>
          <w:sz w:val="21"/>
          <w:szCs w:val="21"/>
        </w:rPr>
        <w:t>Code</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843CA" w:rsidTr="000342AF">
        <w:tc>
          <w:tcPr>
            <w:tcW w:w="0" w:type="auto"/>
            <w:shd w:val="clear" w:color="auto" w:fill="auto"/>
            <w:tcMar>
              <w:top w:w="0" w:type="dxa"/>
              <w:left w:w="60" w:type="dxa"/>
              <w:bottom w:w="0" w:type="dxa"/>
              <w:right w:w="60" w:type="dxa"/>
            </w:tcMar>
            <w:vAlign w:val="center"/>
            <w:hideMark/>
          </w:tcPr>
          <w:p w:rsidR="00A843CA" w:rsidRDefault="00A843CA" w:rsidP="000342AF">
            <w:pPr>
              <w:shd w:val="clear" w:color="auto" w:fill="FFFFFF"/>
              <w:rPr>
                <w:rFonts w:ascii="Helvetica" w:hAnsi="Helvetica" w:cs="Helvetica"/>
                <w:color w:val="333333"/>
                <w:sz w:val="21"/>
                <w:szCs w:val="21"/>
              </w:rPr>
            </w:pPr>
          </w:p>
        </w:tc>
      </w:tr>
    </w:tbl>
    <w:p w:rsidR="00A843CA" w:rsidRDefault="00A843CA" w:rsidP="00A843CA">
      <w:pPr>
        <w:shd w:val="clear" w:color="auto" w:fill="FFFFFF"/>
        <w:rPr>
          <w:rFonts w:ascii="Helvetica" w:hAnsi="Helvetica" w:cs="Helvetica"/>
          <w:vanish/>
          <w:color w:val="333333"/>
          <w:sz w:val="21"/>
          <w:szCs w:val="21"/>
        </w:rPr>
      </w:pPr>
    </w:p>
    <w:tbl>
      <w:tblPr>
        <w:tblW w:w="4184" w:type="dxa"/>
        <w:tblCellMar>
          <w:top w:w="15" w:type="dxa"/>
          <w:left w:w="15" w:type="dxa"/>
          <w:bottom w:w="15" w:type="dxa"/>
          <w:right w:w="15" w:type="dxa"/>
        </w:tblCellMar>
        <w:tblLook w:val="04A0" w:firstRow="1" w:lastRow="0" w:firstColumn="1" w:lastColumn="0" w:noHBand="0" w:noVBand="1"/>
      </w:tblPr>
      <w:tblGrid>
        <w:gridCol w:w="939"/>
        <w:gridCol w:w="1716"/>
        <w:gridCol w:w="1529"/>
      </w:tblGrid>
      <w:tr w:rsidR="00A843CA" w:rsidTr="000342AF">
        <w:trPr>
          <w:trHeight w:val="907"/>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843CA" w:rsidRDefault="00A843CA" w:rsidP="000342AF">
            <w:pPr>
              <w:rPr>
                <w:rFonts w:ascii="Times New Roman" w:hAnsi="Times New Roman"/>
                <w:b/>
                <w:bCs/>
                <w:szCs w:val="24"/>
              </w:rPr>
            </w:pPr>
            <w:r>
              <w:rPr>
                <w:b/>
                <w:bCs/>
              </w:rPr>
              <w:t>sex</w:t>
            </w:r>
          </w:p>
          <w:p w:rsidR="00A843CA" w:rsidRDefault="00A843CA"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843CA" w:rsidRDefault="00A843CA" w:rsidP="000342AF">
            <w:pPr>
              <w:jc w:val="right"/>
              <w:rPr>
                <w:b/>
                <w:bCs/>
              </w:rPr>
            </w:pPr>
            <w:r>
              <w:rPr>
                <w:b/>
                <w:bCs/>
              </w:rPr>
              <w:t>mean_ch_e0</w:t>
            </w:r>
          </w:p>
          <w:p w:rsidR="00A843CA" w:rsidRDefault="00A843CA"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843CA" w:rsidRDefault="00A843CA" w:rsidP="000342AF">
            <w:pPr>
              <w:jc w:val="right"/>
              <w:rPr>
                <w:b/>
                <w:bCs/>
              </w:rPr>
            </w:pPr>
            <w:r>
              <w:rPr>
                <w:b/>
                <w:bCs/>
              </w:rPr>
              <w:t>var_ch_e0</w:t>
            </w:r>
          </w:p>
          <w:p w:rsidR="00A843CA" w:rsidRDefault="00A843CA" w:rsidP="000342AF">
            <w:pPr>
              <w:jc w:val="right"/>
              <w:rPr>
                <w:color w:val="999999"/>
              </w:rPr>
            </w:pPr>
            <w:r>
              <w:rPr>
                <w:color w:val="999999"/>
              </w:rPr>
              <w:t>&lt;</w:t>
            </w:r>
            <w:proofErr w:type="spellStart"/>
            <w:r>
              <w:rPr>
                <w:color w:val="999999"/>
              </w:rPr>
              <w:t>dbl</w:t>
            </w:r>
            <w:proofErr w:type="spellEnd"/>
            <w:r>
              <w:rPr>
                <w:color w:val="999999"/>
              </w:rPr>
              <w:t>&gt;</w:t>
            </w:r>
          </w:p>
        </w:tc>
      </w:tr>
      <w:tr w:rsidR="00A843CA" w:rsidTr="000342AF">
        <w:trPr>
          <w:trHeight w:val="443"/>
        </w:trPr>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0.1974194</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0.03615978</w:t>
            </w:r>
          </w:p>
        </w:tc>
      </w:tr>
      <w:tr w:rsidR="00A843CA" w:rsidTr="000342AF">
        <w:trPr>
          <w:trHeight w:val="463"/>
        </w:trPr>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0.2654839</w:t>
            </w:r>
          </w:p>
        </w:tc>
        <w:tc>
          <w:tcPr>
            <w:tcW w:w="0" w:type="auto"/>
            <w:tcBorders>
              <w:top w:val="single" w:sz="6" w:space="0" w:color="DDDDDD"/>
            </w:tcBorders>
            <w:shd w:val="clear" w:color="auto" w:fill="auto"/>
            <w:tcMar>
              <w:top w:w="75" w:type="dxa"/>
              <w:left w:w="75" w:type="dxa"/>
              <w:bottom w:w="75" w:type="dxa"/>
              <w:right w:w="75" w:type="dxa"/>
            </w:tcMar>
            <w:hideMark/>
          </w:tcPr>
          <w:p w:rsidR="00A843CA" w:rsidRDefault="00A843CA" w:rsidP="000342AF">
            <w:pPr>
              <w:jc w:val="right"/>
            </w:pPr>
            <w:r>
              <w:t>0.02369226</w:t>
            </w:r>
          </w:p>
        </w:tc>
      </w:tr>
    </w:tbl>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So, by 2012 the ONS was projecting future </w:t>
      </w:r>
      <w:proofErr w:type="spellStart"/>
      <w:r>
        <w:rPr>
          <w:rFonts w:ascii="Helvetica" w:hAnsi="Helvetica" w:cs="Helvetica"/>
          <w:color w:val="333333"/>
          <w:sz w:val="21"/>
          <w:szCs w:val="21"/>
        </w:rPr>
        <w:t>improvmeent</w:t>
      </w:r>
      <w:proofErr w:type="spellEnd"/>
      <w:r>
        <w:rPr>
          <w:rFonts w:ascii="Helvetica" w:hAnsi="Helvetica" w:cs="Helvetica"/>
          <w:color w:val="333333"/>
          <w:sz w:val="21"/>
          <w:szCs w:val="21"/>
        </w:rPr>
        <w:t xml:space="preserve"> rates that were around 30% lower (1 - 0.137 / 0.197) than long-term average improvement rates for females, and around 44% lower than long-term trends (1 - 0.148 / 0.265) for males. By contrast the Bayes Factor approach alone would predict slowdowns of around 18% for females, and gains of around 4% for males.</w:t>
      </w:r>
    </w:p>
    <w:p w:rsidR="00A843CA" w:rsidRDefault="00A843CA" w:rsidP="00A843C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By 2014 the ONS was projecting slowdowns of around 35% for females, and 44% for males. This contrasts with Bayes Factor estimates of around a</w:t>
      </w:r>
    </w:p>
    <w:p w:rsidR="00A843CA" w:rsidRDefault="00A843CA" w:rsidP="00A843CA">
      <w:pPr>
        <w:shd w:val="clear" w:color="auto" w:fill="FFFFFF"/>
        <w:rPr>
          <w:rFonts w:ascii="Helvetica" w:hAnsi="Helvetica" w:cs="Helvetica"/>
          <w:color w:val="333333"/>
          <w:sz w:val="21"/>
          <w:szCs w:val="21"/>
        </w:rPr>
      </w:pPr>
    </w:p>
    <w:tbl>
      <w:tblPr>
        <w:tblW w:w="7371" w:type="dxa"/>
        <w:tblCellMar>
          <w:top w:w="15" w:type="dxa"/>
          <w:left w:w="15" w:type="dxa"/>
          <w:bottom w:w="15" w:type="dxa"/>
          <w:right w:w="15" w:type="dxa"/>
        </w:tblCellMar>
        <w:tblLook w:val="04A0" w:firstRow="1" w:lastRow="0" w:firstColumn="1" w:lastColumn="0" w:noHBand="0" w:noVBand="1"/>
      </w:tblPr>
      <w:tblGrid>
        <w:gridCol w:w="1195"/>
        <w:gridCol w:w="1551"/>
        <w:gridCol w:w="1324"/>
        <w:gridCol w:w="1764"/>
        <w:gridCol w:w="1537"/>
      </w:tblGrid>
      <w:tr w:rsidR="00A843CA" w:rsidTr="000342AF">
        <w:trPr>
          <w:trHeight w:val="541"/>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rPr>
                <w:rFonts w:ascii="Times New Roman" w:hAnsi="Times New Roman"/>
                <w:b/>
                <w:bCs/>
                <w:szCs w:val="24"/>
              </w:rPr>
            </w:pPr>
            <w:r>
              <w:rPr>
                <w:b/>
                <w:bCs/>
              </w:rPr>
              <w:t>Year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BF_female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BF_male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ONS_female</w:t>
            </w:r>
            <w:proofErr w:type="spell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A843CA" w:rsidRDefault="00A843CA" w:rsidP="000342AF">
            <w:pPr>
              <w:spacing w:after="300"/>
              <w:jc w:val="right"/>
              <w:rPr>
                <w:b/>
                <w:bCs/>
              </w:rPr>
            </w:pPr>
            <w:proofErr w:type="spellStart"/>
            <w:r>
              <w:rPr>
                <w:b/>
                <w:bCs/>
              </w:rPr>
              <w:t>ONS_male</w:t>
            </w:r>
            <w:proofErr w:type="spellEnd"/>
          </w:p>
        </w:tc>
      </w:tr>
      <w:tr w:rsidR="00A843CA" w:rsidTr="000342AF">
        <w:trPr>
          <w:trHeight w:val="560"/>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2011-12</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0.816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1.040</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0.694</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0.557</w:t>
            </w:r>
          </w:p>
        </w:tc>
      </w:tr>
      <w:tr w:rsidR="00A843CA" w:rsidTr="000342AF">
        <w:trPr>
          <w:trHeight w:val="541"/>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2011-14</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0.826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0.821</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0.653</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0.554</w:t>
            </w:r>
          </w:p>
        </w:tc>
      </w:tr>
      <w:tr w:rsidR="00A843CA" w:rsidTr="000342AF">
        <w:trPr>
          <w:trHeight w:val="560"/>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0.446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0.520</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0.583</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0.505</w:t>
            </w:r>
          </w:p>
        </w:tc>
      </w:tr>
      <w:tr w:rsidR="00A843CA" w:rsidTr="000342AF">
        <w:trPr>
          <w:trHeight w:val="541"/>
        </w:trPr>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pPr>
            <w:r>
              <w:t>2011-18</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0.380</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0.407</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0.476</w:t>
            </w:r>
          </w:p>
        </w:tc>
        <w:tc>
          <w:tcPr>
            <w:tcW w:w="0" w:type="auto"/>
            <w:tcBorders>
              <w:top w:val="single" w:sz="6" w:space="0" w:color="DDDDDD"/>
            </w:tcBorders>
            <w:shd w:val="clear" w:color="auto" w:fill="auto"/>
            <w:tcMar>
              <w:top w:w="120" w:type="dxa"/>
              <w:left w:w="120" w:type="dxa"/>
              <w:bottom w:w="120" w:type="dxa"/>
              <w:right w:w="120" w:type="dxa"/>
            </w:tcMar>
            <w:hideMark/>
          </w:tcPr>
          <w:p w:rsidR="00A843CA" w:rsidRDefault="00A843CA" w:rsidP="000342AF">
            <w:pPr>
              <w:spacing w:after="300"/>
              <w:jc w:val="right"/>
            </w:pPr>
            <w:r>
              <w:t>0.429</w:t>
            </w:r>
          </w:p>
        </w:tc>
      </w:tr>
    </w:tbl>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E4B"/>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24A9"/>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46C5D"/>
    <w:rsid w:val="00A72F88"/>
    <w:rsid w:val="00A77C1D"/>
    <w:rsid w:val="00A843CA"/>
    <w:rsid w:val="00AB0529"/>
    <w:rsid w:val="00AC7878"/>
    <w:rsid w:val="00B06AEE"/>
    <w:rsid w:val="00B1206B"/>
    <w:rsid w:val="00B366F3"/>
    <w:rsid w:val="00B37E1F"/>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00E4B"/>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3E5401A-E495-4F23-8158-6DF37DC1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24A9"/>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3E24A9"/>
    <w:pPr>
      <w:spacing w:before="100" w:beforeAutospacing="1" w:after="100" w:afterAutospacing="1" w:line="240" w:lineRule="auto"/>
    </w:pPr>
    <w:rPr>
      <w:rFonts w:ascii="Times New Roman" w:eastAsia="Times New Roman" w:hAnsi="Times New Roman"/>
      <w:szCs w:val="24"/>
      <w:lang w:eastAsia="en-GB"/>
    </w:rPr>
  </w:style>
  <w:style w:type="character" w:customStyle="1" w:styleId="mi">
    <w:name w:val="mi"/>
    <w:basedOn w:val="DefaultParagraphFont"/>
    <w:rsid w:val="003E24A9"/>
  </w:style>
  <w:style w:type="character" w:customStyle="1" w:styleId="mn">
    <w:name w:val="mn"/>
    <w:basedOn w:val="DefaultParagraphFont"/>
    <w:rsid w:val="003E24A9"/>
  </w:style>
  <w:style w:type="character" w:customStyle="1" w:styleId="mjxassistivemathml">
    <w:name w:val="mjx_assistive_mathml"/>
    <w:basedOn w:val="DefaultParagraphFont"/>
    <w:rsid w:val="003E24A9"/>
  </w:style>
  <w:style w:type="paragraph" w:styleId="HTMLPreformatted">
    <w:name w:val="HTML Preformatted"/>
    <w:basedOn w:val="Normal"/>
    <w:link w:val="HTMLPreformattedChar"/>
    <w:uiPriority w:val="99"/>
    <w:semiHidden/>
    <w:unhideWhenUsed/>
    <w:rsid w:val="003E2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E24A9"/>
    <w:rPr>
      <w:rFonts w:ascii="Courier New" w:eastAsia="Times New Roman" w:hAnsi="Courier New" w:cs="Courier New"/>
    </w:rPr>
  </w:style>
  <w:style w:type="character" w:styleId="HTMLCode">
    <w:name w:val="HTML Code"/>
    <w:basedOn w:val="DefaultParagraphFont"/>
    <w:uiPriority w:val="99"/>
    <w:semiHidden/>
    <w:unhideWhenUsed/>
    <w:rsid w:val="003E24A9"/>
    <w:rPr>
      <w:rFonts w:ascii="Courier New" w:eastAsia="Times New Roman" w:hAnsi="Courier New" w:cs="Courier New"/>
      <w:sz w:val="20"/>
      <w:szCs w:val="20"/>
    </w:rPr>
  </w:style>
  <w:style w:type="character" w:customStyle="1" w:styleId="mo">
    <w:name w:val="mo"/>
    <w:basedOn w:val="DefaultParagraphFont"/>
    <w:rsid w:val="003E24A9"/>
  </w:style>
  <w:style w:type="character" w:customStyle="1" w:styleId="hljs-keyword">
    <w:name w:val="hljs-keyword"/>
    <w:basedOn w:val="DefaultParagraphFont"/>
    <w:rsid w:val="003E24A9"/>
  </w:style>
  <w:style w:type="character" w:customStyle="1" w:styleId="hljs-number">
    <w:name w:val="hljs-number"/>
    <w:basedOn w:val="DefaultParagraphFont"/>
    <w:rsid w:val="003E2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247</Words>
  <Characters>1410</Characters>
  <Application>Microsoft Office Word</Application>
  <DocSecurity>0</DocSecurity>
  <Lines>11</Lines>
  <Paragraphs>3</Paragraphs>
  <ScaleCrop>false</ScaleCrop>
  <Company>NHS HealthScotland</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2020-01-09T15:01:00Z</dcterms:created>
  <dcterms:modified xsi:type="dcterms:W3CDTF">2020-01-29T09:55:00Z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896769</vt:lpwstr>
  </property>
  <property fmtid="{D5CDD505-2E9C-101B-9397-08002B2CF9AE}" pid="3" name="InsertAsFootnote">
    <vt:lpwstr>False</vt:lpwstr>
  </property>
  <property fmtid="{D5CDD505-2E9C-101B-9397-08002B2CF9AE}" pid="4" name="ProjectId">
    <vt:lpwstr>0</vt:lpwstr>
  </property>
  <property fmtid="{D5CDD505-2E9C-101B-9397-08002B2CF9AE}" pid="5" name="StyleId">
    <vt:lpwstr>http://www.zotero.org/styles/vancouver</vt:lpwstr>
  </property>
</Properties>
</file>