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1.png" ContentType="image/png"/>
  <Override PartName="/word/media/rId27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45.png" ContentType="image/png"/>
  <Override PartName="/word/media/rId54.png" ContentType="image/png"/>
  <Override PartName="/word/media/rId49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Running out of runway: fertility trends for 45 countries revisited - Supplementary materials</w:t>
      </w:r>
    </w:p>
    <w:p>
      <w:pPr>
        <w:pStyle w:val="Subtitle"/>
      </w:pPr>
      <w:r>
        <w:t xml:space="preserve">Supplement to the MERGED DRAFT v0.2 (2026-07-19); sections S1-S8</w:t>
      </w:r>
    </w:p>
    <w:p>
      <w:pPr>
        <w:pStyle w:val="Author"/>
      </w:pPr>
      <w:r>
        <w:t xml:space="preserve">Jon Minton</w:t>
      </w:r>
    </w:p>
    <w:p>
      <w:pPr>
        <w:pStyle w:val="Date"/>
      </w:pPr>
      <w:r>
        <w:t xml:space="preserve">2026-07-19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All materials here are generated from the public project repository</w:t>
            </w:r>
            <w:r>
              <w:t xml:space="preserve"> </w:t>
            </w:r>
            <w:r>
              <w:t xml:space="preserve">(</w:t>
            </w:r>
            <w:hyperlink r:id="rId12">
              <w:r>
                <w:rPr>
                  <w:rStyle w:val="Hyperlink"/>
                </w:rPr>
                <w:t xml:space="preserve">https://github.com/JonMinton/comparative_fertility</w:t>
              </w:r>
            </w:hyperlink>
            <w:r>
              <w:t xml:space="preserve">); each section names</w:t>
            </w:r>
            <w:r>
              <w:t xml:space="preserve"> </w:t>
            </w:r>
            <w:r>
              <w:t xml:space="preserve">its generating script. The 2020-vintage state of the repository is</w:t>
            </w:r>
            <w:r>
              <w:t xml:space="preserve"> </w:t>
            </w:r>
            <w:r>
              <w:t xml:space="preserve">preserved at tag</w:t>
            </w:r>
            <w:r>
              <w:t xml:space="preserve"> </w:t>
            </w:r>
            <w:r>
              <w:rPr>
                <w:rStyle w:val="VerbatimChar"/>
              </w:rPr>
              <w:t xml:space="preserve">demres-2020</w:t>
            </w:r>
            <w:r>
              <w:t xml:space="preserve">. Terms: AAPF = age and amount of peak</w:t>
            </w:r>
            <w:r>
              <w:t xml:space="preserve"> </w:t>
            </w:r>
            <w:r>
              <w:t xml:space="preserve">fertility; ANR = age of no return; CPCFR = cumulative pseudo-cohort</w:t>
            </w:r>
            <w:r>
              <w:t xml:space="preserve"> </w:t>
            </w:r>
            <w:r>
              <w:t xml:space="preserve">fertility rate; definitions in the main paper, Section 3.2.</w:t>
            </w:r>
          </w:p>
          <w:p/>
        </w:tc>
      </w:tr>
    </w:tbl>
    <w:bookmarkStart w:id="26" w:name="s1.-the-full-45-country-composite-panel"/>
    <w:p>
      <w:pPr>
        <w:pStyle w:val="Heading1"/>
      </w:pPr>
      <w:r>
        <w:t xml:space="preserve">S1. The full 45-country composite panel</w:t>
      </w:r>
    </w:p>
    <w:p>
      <w:pPr>
        <w:pStyle w:val="FirstParagraph"/>
      </w:pPr>
      <w:r>
        <w:t xml:space="preserve">The main paper features Norway and the United States; the full panel,</w:t>
      </w:r>
      <w:r>
        <w:t xml:space="preserve"> </w:t>
      </w:r>
      <w:r>
        <w:t xml:space="preserve">updated to 2023-25 and ordered by CPCFR at 2007 as in</w:t>
      </w:r>
      <w:r>
        <w:t xml:space="preserve"> </w:t>
      </w:r>
      <w:r>
        <w:t xml:space="preserve">Pattaro et al. (2020)</w:t>
      </w:r>
      <w:r>
        <w:t xml:space="preserve">, is</w:t>
      </w:r>
      <w:r>
        <w:t xml:space="preserve"> </w:t>
      </w:r>
      <w:r>
        <w:t xml:space="preserve">shown here in three blocks of fifteen. An interactive version, with</w:t>
      </w:r>
      <w:r>
        <w:t xml:space="preserve"> </w:t>
      </w:r>
      <w:r>
        <w:t xml:space="preserve">country selection and animation over time, is maintained at</w:t>
      </w:r>
      <w:r>
        <w:t xml:space="preserve"> </w:t>
      </w:r>
      <w:hyperlink r:id="rId13">
        <w:r>
          <w:rPr>
            <w:rStyle w:val="Hyperlink"/>
          </w:rPr>
          <w:t xml:space="preserve">https://datascapes.shinyapps.io/cumulative_fertility_app/</w:t>
        </w:r>
      </w:hyperlink>
      <w:r>
        <w:t xml:space="preserve">.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scripts/figures_2026.R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s1a"/>
          <w:p>
            <w:pPr>
              <w:pStyle w:val="Compact"/>
              <w:jc w:val="center"/>
            </w:pPr>
            <w:r>
              <w:drawing>
                <wp:inline>
                  <wp:extent cx="5334000" cy="444541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figures/overall_split_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5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Countries ranked 31-45 by CPCFR at 2007, updated to 2023-25.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s1b"/>
          <w:p>
            <w:pPr>
              <w:pStyle w:val="Compact"/>
              <w:jc w:val="center"/>
            </w:pPr>
            <w:r>
              <w:drawing>
                <wp:inline>
                  <wp:extent cx="5334000" cy="4445418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figures/overall_split_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5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Countries ranked 16-30 by CPCFR at 2007, updated to 2023-25.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1c"/>
          <w:p>
            <w:pPr>
              <w:pStyle w:val="Compact"/>
              <w:jc w:val="center"/>
            </w:pPr>
            <w:r>
              <w:drawing>
                <wp:inline>
                  <wp:extent cx="5334000" cy="444541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figures/overall_split_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5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Countries ranked 1-15 by CPCFR at 2007, updated to 2023-25.</w:t>
            </w:r>
          </w:p>
          <w:bookmarkEnd w:id="25"/>
        </w:tc>
      </w:tr>
    </w:tbl>
    <w:bookmarkEnd w:id="26"/>
    <w:bookmarkStart w:id="35" w:name="X4dd50970fec1640eadd7e1869e8c1f89c25e25f"/>
    <w:p>
      <w:pPr>
        <w:pStyle w:val="Heading1"/>
      </w:pPr>
      <w:r>
        <w:t xml:space="preserve">S2. Featured ANR overlays: censored versus wall-terminated</w:t>
      </w:r>
    </w:p>
    <w:p>
      <w:pPr>
        <w:pStyle w:val="FirstParagraph"/>
      </w:pPr>
      <w:r>
        <w:t xml:space="preserve">The main paper’s featured Norway panel shows both escapes of</w:t>
      </w:r>
      <w:r>
        <w:t xml:space="preserve"> </w:t>
      </w:r>
      <w:r>
        <w:t xml:space="preserve">the replacement contour terminating at the ANR. The United States panel</w:t>
      </w:r>
      <w:r>
        <w:t xml:space="preserve"> </w:t>
      </w:r>
      <w:r>
        <w:t xml:space="preserve">below shows the contrast that matters for the still-open US verdict: its</w:t>
      </w:r>
      <w:r>
        <w:t xml:space="preserve"> </w:t>
      </w:r>
      <w:r>
        <w:t xml:space="preserve">contour’s right end is cut by the data edge - censored, not</w:t>
      </w:r>
      <w:r>
        <w:t xml:space="preserve"> </w:t>
      </w:r>
      <w:r>
        <w:t xml:space="preserve">wall-terminated. South Korea, the panel’s extreme case, is included for</w:t>
      </w:r>
      <w:r>
        <w:t xml:space="preserve"> </w:t>
      </w:r>
      <w:r>
        <w:t xml:space="preserve">comparison. Script:</w:t>
      </w:r>
      <w:r>
        <w:t xml:space="preserve"> </w:t>
      </w:r>
      <w:r>
        <w:rPr>
          <w:rStyle w:val="VerbatimChar"/>
        </w:rPr>
        <w:t xml:space="preserve">scripts/wall_2026.R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s2a"/>
          <w:p>
            <w:pPr>
              <w:pStyle w:val="Compact"/>
              <w:jc w:val="center"/>
            </w:pPr>
            <w:r>
              <w:drawing>
                <wp:inline>
                  <wp:extent cx="5334000" cy="466760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figures/featured_wall_usa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United States: composite surface with the ANR overdrawn (dotted). The replacement contour climbs toward the boundary but its right end is censored - the verdict on the 1985+ cohorts is still open.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2b"/>
          <w:p>
            <w:pPr>
              <w:pStyle w:val="Compact"/>
              <w:jc w:val="center"/>
            </w:pPr>
            <w:r>
              <w:drawing>
                <wp:inline>
                  <wp:extent cx="5334000" cy="466760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figures/featured_wall_kor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South Korea: composite surface with the ANR overdrawn (dotted).</w:t>
            </w:r>
          </w:p>
          <w:bookmarkEnd w:id="34"/>
        </w:tc>
      </w:tr>
    </w:tbl>
    <w:bookmarkEnd w:id="35"/>
    <w:bookmarkStart w:id="36" w:name="Xeefb1b3da9bf97d459f61c6a60a682b4b91e6bc"/>
    <w:p>
      <w:pPr>
        <w:pStyle w:val="Heading1"/>
      </w:pPr>
      <w:r>
        <w:t xml:space="preserve">S3. Per-country squeeze trajectories: ordering and derived data</w:t>
      </w:r>
    </w:p>
    <w:p>
      <w:pPr>
        <w:pStyle w:val="FirstParagraph"/>
      </w:pPr>
      <w:r>
        <w:t xml:space="preserve">The full 45-country panel of AAPF and ANR trajectories appears in the</w:t>
      </w:r>
      <w:r>
        <w:t xml:space="preserve"> </w:t>
      </w:r>
      <w:r>
        <w:t xml:space="preserve">main paper (Section 6.2), ordered by latest period TFR, highest first -</w:t>
      </w:r>
      <w:r>
        <w:t xml:space="preserve"> </w:t>
      </w:r>
      <w:r>
        <w:t xml:space="preserve">from Moldova (1.66) to the Republic of Korea (0.75). This section</w:t>
      </w:r>
      <w:r>
        <w:t xml:space="preserve"> </w:t>
      </w:r>
      <w:r>
        <w:t xml:space="preserve">records what stands behind that ordering. TFRs are computed as the sum</w:t>
      </w:r>
      <w:r>
        <w:t xml:space="preserve"> </w:t>
      </w:r>
      <w:r>
        <w:t xml:space="preserve">of single-year ASFRs; country-years with fewer than 30 observed ages</w:t>
      </w:r>
      <w:r>
        <w:t xml:space="preserve"> </w:t>
      </w:r>
      <w:r>
        <w:t xml:space="preserve">are skipped, so a partial final year cannot understate a country’s TFR.</w:t>
      </w:r>
    </w:p>
    <w:p>
      <w:pPr>
        <w:pStyle w:val="BodyText"/>
      </w:pPr>
      <w:r>
        <w:t xml:space="preserve">Latest observed years are not common across the panel: nine series end</w:t>
      </w:r>
      <w:r>
        <w:t xml:space="preserve"> </w:t>
      </w:r>
      <w:r>
        <w:t xml:space="preserve">in 2021 or earlier (Albania 2008, Greece and Latvia 2009, Romania 2013,</w:t>
      </w:r>
      <w:r>
        <w:t xml:space="preserve"> </w:t>
      </w:r>
      <w:r>
        <w:t xml:space="preserve">both Germanys 2017, Belarus 2018, Ukraine and Bulgaria 2021), and since</w:t>
      </w:r>
      <w:r>
        <w:t xml:space="preserve"> </w:t>
      </w:r>
      <w:r>
        <w:t xml:space="preserve">TFRs have declined almost everywhere since, ordering raw last-observed</w:t>
      </w:r>
      <w:r>
        <w:t xml:space="preserve"> </w:t>
      </w:r>
      <w:r>
        <w:t xml:space="preserve">values would rank stale series systematically too high. The last year</w:t>
      </w:r>
      <w:r>
        <w:t xml:space="preserve"> </w:t>
      </w:r>
      <w:r>
        <w:t xml:space="preserve">common to all 45 series is 2008 - before the acceleration this paper</w:t>
      </w:r>
      <w:r>
        <w:t xml:space="preserve"> </w:t>
      </w:r>
      <w:r>
        <w:t xml:space="preserve">concerns - so a common-year ordering is no remedy. Instead, series</w:t>
      </w:r>
      <w:r>
        <w:t xml:space="preserve"> </w:t>
      </w:r>
      <w:r>
        <w:t xml:space="preserve">ending before 2022 are</w:t>
      </w:r>
      <w:r>
        <w:t xml:space="preserve"> </w:t>
      </w:r>
      <w:r>
        <w:rPr>
          <w:i/>
          <w:iCs/>
        </w:rPr>
        <w:t xml:space="preserve">vintage-adjusted</w:t>
      </w:r>
      <w:r>
        <w:t xml:space="preserve"> </w:t>
      </w:r>
      <w:r>
        <w:t xml:space="preserve">from the panel itself: the</w:t>
      </w:r>
      <w:r>
        <w:t xml:space="preserve"> </w:t>
      </w:r>
      <w:r>
        <w:t xml:space="preserve">last observed TFR is multiplied by the panel-median ratio of latest to</w:t>
      </w:r>
      <w:r>
        <w:t xml:space="preserve"> </w:t>
      </w:r>
      <w:r>
        <w:t xml:space="preserve">same-year TFR among the 36 series observed in 2022-25. The correction</w:t>
      </w:r>
      <w:r>
        <w:t xml:space="preserve"> </w:t>
      </w:r>
      <w:r>
        <w:t xml:space="preserve">is thus the panel-wide decline the paper documents, applied at the</w:t>
      </w:r>
      <w:r>
        <w:t xml:space="preserve"> </w:t>
      </w:r>
      <w:r>
        <w:t xml:space="preserve">median; it uses no external data. It moves Greece from 12th to 32nd</w:t>
      </w:r>
      <w:r>
        <w:t xml:space="preserve"> </w:t>
      </w:r>
      <w:r>
        <w:t xml:space="preserve">(1.52 observed in 2009, 1.22 adjusted) and both Germanys out of the top</w:t>
      </w:r>
      <w:r>
        <w:t xml:space="preserve"> </w:t>
      </w:r>
      <w:r>
        <w:t xml:space="preserve">ten to mid-table (~1.36-1.40) - in each case close to externally</w:t>
      </w:r>
      <w:r>
        <w:t xml:space="preserve"> </w:t>
      </w:r>
      <w:r>
        <w:t xml:space="preserve">reported recent values. Ukraine’s adjusted value (1.03) is still likely</w:t>
      </w:r>
      <w:r>
        <w:t xml:space="preserve"> </w:t>
      </w:r>
      <w:r>
        <w:t xml:space="preserve">optimistic, since a panel-median correction cannot reflect the war.</w:t>
      </w:r>
      <w:r>
        <w:t xml:space="preserve"> </w:t>
      </w:r>
      <w:r>
        <w:t xml:space="preserve">Adjusted panels carry both values in their strip labels (year: observed</w:t>
      </w:r>
      <w:r>
        <w:t xml:space="preserve"> </w:t>
      </w:r>
      <w:r>
        <w:t xml:space="preserve">→ adjusted); the ordering is a presentational choice only and no</w:t>
      </w:r>
      <w:r>
        <w:t xml:space="preserve"> </w:t>
      </w:r>
      <w:r>
        <w:t xml:space="preserve">analytical quantity depends on it.</w:t>
      </w:r>
      <w:r>
        <w:t xml:space="preserve"> </w:t>
      </w:r>
      <w:r>
        <w:t xml:space="preserve">Ordering table (observed and adjusted values, factors, ranks):</w:t>
      </w:r>
      <w:r>
        <w:t xml:space="preserve"> </w:t>
      </w:r>
      <w:r>
        <w:rPr>
          <w:rStyle w:val="VerbatimChar"/>
        </w:rPr>
        <w:t xml:space="preserve">data/derived_2026/latest_tfr_by_country.csv</w:t>
      </w:r>
      <w:r>
        <w:t xml:space="preserve">.</w:t>
      </w:r>
      <w:r>
        <w:t xml:space="preserve"> </w:t>
      </w:r>
      <w:r>
        <w:t xml:space="preserve">Trajectory data:</w:t>
      </w:r>
      <w:r>
        <w:t xml:space="preserve"> </w:t>
      </w:r>
      <w:r>
        <w:rPr>
          <w:rStyle w:val="VerbatimChar"/>
        </w:rPr>
        <w:t xml:space="preserve">data/derived_2026/squeeze_by_country_year.csv</w:t>
      </w:r>
      <w:r>
        <w:t xml:space="preserve">.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scripts/squeeze_2026.R</w:t>
      </w:r>
      <w:r>
        <w:t xml:space="preserve">.</w:t>
      </w:r>
    </w:p>
    <w:bookmarkEnd w:id="36"/>
    <w:bookmarkStart w:id="41" w:name="X2cdaaaa0e68f57564f9bee7ddfa5d84d3a2617b"/>
    <w:p>
      <w:pPr>
        <w:pStyle w:val="Heading1"/>
      </w:pPr>
      <w:r>
        <w:t xml:space="preserve">S4. ANR trajectories, sensitivity, and the full last-cohort table</w:t>
      </w:r>
    </w:p>
    <w:p>
      <w:pPr>
        <w:pStyle w:val="FirstParagraph"/>
      </w:pPr>
      <w:r>
        <w:t xml:space="preserve">Per-country ANR trajectories at both thresholds are shown below: the</w:t>
      </w:r>
      <w:r>
        <w:t xml:space="preserve"> </w:t>
      </w:r>
      <w:r>
        <w:t xml:space="preserve">1/1000 boundary sits roughly two years above the primary 1/200 boundary</w:t>
      </w:r>
      <w:r>
        <w:t xml:space="preserve"> </w:t>
      </w:r>
      <w:r>
        <w:t xml:space="preserve">and moves in parallel, so the narrative in the main paper is not sensitive</w:t>
      </w:r>
      <w:r>
        <w:t xml:space="preserve"> </w:t>
      </w:r>
      <w:r>
        <w:t xml:space="preserve">to the choice. Late-fertility mass trajectories (cumulative ASFR at ages</w:t>
      </w:r>
      <w:r>
        <w:t xml:space="preserve"> </w:t>
      </w:r>
      <w:r>
        <w:t xml:space="preserve">40+ and 35+) are in the repository (</w:t>
      </w:r>
      <w:r>
        <w:rPr>
          <w:rStyle w:val="VerbatimChar"/>
        </w:rPr>
        <w:t xml:space="preserve">late_mass_trends.png</w:t>
      </w:r>
      <w:r>
        <w:t xml:space="preserve">). The full</w:t>
      </w:r>
      <w:r>
        <w:t xml:space="preserve"> </w:t>
      </w:r>
      <w:r>
        <w:t xml:space="preserve">45-country version of the main paper’s last-cohort table is at</w:t>
      </w:r>
      <w:r>
        <w:t xml:space="preserve"> </w:t>
      </w:r>
      <w:r>
        <w:rPr>
          <w:rStyle w:val="VerbatimChar"/>
        </w:rPr>
        <w:t xml:space="preserve">data/derived_2026/last_cohort_replacement.csv</w:t>
      </w:r>
      <w:r>
        <w:t xml:space="preserve">.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scripts/wall_2026.R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s4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figures/wall_trajectorie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Effective ANR trajectories by country, 1950-2025: highest age with ASFR at or above 1/200 (solid) and 1/1000 (dashed).</w:t>
            </w:r>
          </w:p>
          <w:bookmarkEnd w:id="40"/>
        </w:tc>
      </w:tr>
    </w:tbl>
    <w:bookmarkEnd w:id="41"/>
    <w:bookmarkStart w:id="43" w:name="X676e9f60383ecbcedcaba57ac70e85702596846"/>
    <w:p>
      <w:pPr>
        <w:pStyle w:val="Heading1"/>
      </w:pPr>
      <w:r>
        <w:t xml:space="preserve">S5. From reading surfaces to testing causes: candidate geometries and their mimics</w:t>
      </w:r>
    </w:p>
    <w:p>
      <w:pPr>
        <w:pStyle w:val="FirstParagraph"/>
      </w:pPr>
      <w:r>
        <w:t xml:space="preserve">This section sets out the reasoning, summarised in the main paper’s</w:t>
      </w:r>
      <w:r>
        <w:t xml:space="preserve"> </w:t>
      </w:r>
      <w:r>
        <w:t xml:space="preserve">Discussion, that connects surface reading to the preregistered protocol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osf.io/j3tbq</w:t>
        </w:r>
      </w:hyperlink>
      <w:r>
        <w:t xml:space="preserve">).</w:t>
      </w:r>
    </w:p>
    <w:p>
      <w:pPr>
        <w:pStyle w:val="BodyText"/>
      </w:pPr>
      <w:r>
        <w:t xml:space="preserve">The candidate explanations for the post-2008 acceleration differ precisely</w:t>
      </w:r>
      <w:r>
        <w:t xml:space="preserve"> </w:t>
      </w:r>
      <w:r>
        <w:t xml:space="preserve">in the surface geometry they imply. A</w:t>
      </w:r>
      <w:r>
        <w:t xml:space="preserve"> </w:t>
      </w:r>
      <w:r>
        <w:rPr>
          <w:i/>
          <w:iCs/>
        </w:rPr>
        <w:t xml:space="preserve">period shock</w:t>
      </w:r>
      <w:r>
        <w:t xml:space="preserve"> </w:t>
      </w:r>
      <w:r>
        <w:t xml:space="preserve">- the 2008 financial</w:t>
      </w:r>
      <w:r>
        <w:t xml:space="preserve"> </w:t>
      </w:r>
      <w:r>
        <w:t xml:space="preserve">crisis and its long shadow</w:t>
      </w:r>
      <w:r>
        <w:t xml:space="preserve"> </w:t>
      </w:r>
      <w:r>
        <w:t xml:space="preserve">(Sobotka et al. 2011; Goldstein et al. 2009)</w:t>
      </w:r>
      <w:r>
        <w:t xml:space="preserve"> </w:t>
      </w:r>
      <w:r>
        <w:t xml:space="preserve">- should appear</w:t>
      </w:r>
      <w:r>
        <w:t xml:space="preserve"> </w:t>
      </w:r>
      <w:r>
        <w:t xml:space="preserve">as a vertical front: fertility falling across all childbearing ages in the</w:t>
      </w:r>
      <w:r>
        <w:t xml:space="preserve"> </w:t>
      </w:r>
      <w:r>
        <w:t xml:space="preserve">same calendar years, with intensity graded by each country’s economic</w:t>
      </w:r>
      <w:r>
        <w:t xml:space="preserve"> </w:t>
      </w:r>
      <w:r>
        <w:t xml:space="preserve">exposure. A</w:t>
      </w:r>
      <w:r>
        <w:t xml:space="preserve"> </w:t>
      </w:r>
      <w:r>
        <w:rPr>
          <w:i/>
          <w:iCs/>
        </w:rPr>
        <w:t xml:space="preserve">diffusion process</w:t>
      </w:r>
      <w:r>
        <w:t xml:space="preserve"> </w:t>
      </w:r>
      <w:r>
        <w:t xml:space="preserve">riding a new communication technology -</w:t>
      </w:r>
      <w:r>
        <w:t xml:space="preserve"> </w:t>
      </w:r>
      <w:r>
        <w:t xml:space="preserve">the smartphone thesis in its behaviourally explicit form</w:t>
      </w:r>
      <w:r>
        <w:t xml:space="preserve"> </w:t>
      </w:r>
      <w:r>
        <w:t xml:space="preserve">(Hudson and Moscoso Boedo 2026; Moscoso Boedo and Hudson 2026; Myers and Hooper 2026; Billari et al. 2019)</w:t>
      </w:r>
      <w:r>
        <w:t xml:space="preserve"> </w:t>
      </w:r>
      <w:r>
        <w:t xml:space="preserve">- should</w:t>
      </w:r>
      <w:r>
        <w:t xml:space="preserve"> </w:t>
      </w:r>
      <w:r>
        <w:t xml:space="preserve">appear, in its simplest young-first variant, as a</w:t>
      </w:r>
      <w:r>
        <w:t xml:space="preserve"> </w:t>
      </w:r>
      <w:r>
        <w:rPr>
          <w:i/>
          <w:iCs/>
        </w:rPr>
        <w:t xml:space="preserve">sloped</w:t>
      </w:r>
      <w:r>
        <w:t xml:space="preserve"> </w:t>
      </w:r>
      <w:r>
        <w:t xml:space="preserve">front: onset</w:t>
      </w:r>
      <w:r>
        <w:t xml:space="preserve"> </w:t>
      </w:r>
      <w:r>
        <w:t xml:space="preserve">earliest at the youngest, most-connected ages and arriving at older ages</w:t>
      </w:r>
      <w:r>
        <w:t xml:space="preserve"> </w:t>
      </w:r>
      <w:r>
        <w:t xml:space="preserve">with a lag, in country after country regardless of development level, as</w:t>
      </w:r>
      <w:r>
        <w:t xml:space="preserve"> </w:t>
      </w:r>
      <w:r>
        <w:t xml:space="preserve">the older diffusion literature would expect of behaviour spreading through</w:t>
      </w:r>
      <w:r>
        <w:t xml:space="preserve"> </w:t>
      </w:r>
      <w:r>
        <w:t xml:space="preserve">communication networks</w:t>
      </w:r>
      <w:r>
        <w:t xml:space="preserve"> </w:t>
      </w:r>
      <w:r>
        <w:t xml:space="preserve">(Bongaarts and Watkins 1996; Casterline 2001; Rosero-Bixby and Casterline 1993)</w:t>
      </w:r>
      <w:r>
        <w:t xml:space="preserve">. A</w:t>
      </w:r>
      <w:r>
        <w:t xml:space="preserve"> </w:t>
      </w:r>
      <w:r>
        <w:rPr>
          <w:i/>
          <w:iCs/>
        </w:rPr>
        <w:t xml:space="preserve">cohort-carried</w:t>
      </w:r>
      <w:r>
        <w:t xml:space="preserve"> </w:t>
      </w:r>
      <w:r>
        <w:t xml:space="preserve">change - new cohorts bringing</w:t>
      </w:r>
      <w:r>
        <w:t xml:space="preserve"> </w:t>
      </w:r>
      <w:r>
        <w:t xml:space="preserve">revised intentions with them as they age through the childbearing years -</w:t>
      </w:r>
      <w:r>
        <w:t xml:space="preserve"> </w:t>
      </w:r>
      <w:r>
        <w:t xml:space="preserve">should travel along the 45-degree diagonal of the Lexis surface.</w:t>
      </w:r>
    </w:p>
    <w:p>
      <w:pPr>
        <w:pStyle w:val="BodyText"/>
      </w:pPr>
      <w:r>
        <w:t xml:space="preserve">The updated panels are suggestive on inspection: post-2008 lightening of</w:t>
      </w:r>
      <w:r>
        <w:t xml:space="preserve"> </w:t>
      </w:r>
      <w:r>
        <w:t xml:space="preserve">the surface is visible at young ages in many countries, including several</w:t>
      </w:r>
      <w:r>
        <w:t xml:space="preserve"> </w:t>
      </w:r>
      <w:r>
        <w:t xml:space="preserve">where the crisis narrative fits poorly. But adjudication by eye fails,</w:t>
      </w:r>
      <w:r>
        <w:t xml:space="preserve"> </w:t>
      </w:r>
      <w:r>
        <w:t xml:space="preserve">for exactly the reason the main paper’s forecast check teaches: unaided</w:t>
      </w:r>
      <w:r>
        <w:t xml:space="preserve"> </w:t>
      </w:r>
      <w:r>
        <w:t xml:space="preserve">surface reading is powerful at generating hypotheses and systematically</w:t>
      </w:r>
      <w:r>
        <w:t xml:space="preserve"> </w:t>
      </w:r>
      <w:r>
        <w:t xml:space="preserve">fallible at extrapolating them. Two specific mimics discipline any</w:t>
      </w:r>
      <w:r>
        <w:t xml:space="preserve"> </w:t>
      </w:r>
      <w:r>
        <w:t xml:space="preserve">reading of the acceleration.</w:t>
      </w:r>
      <w:r>
        <w:t xml:space="preserve"> </w:t>
      </w:r>
      <w:r>
        <w:rPr>
          <w:i/>
          <w:iCs/>
        </w:rPr>
        <w:t xml:space="preserve">Tempo mimicry</w:t>
      </w:r>
      <w:r>
        <w:t xml:space="preserve">: postponement alone moves</w:t>
      </w:r>
      <w:r>
        <w:t xml:space="preserve"> </w:t>
      </w:r>
      <w:r>
        <w:t xml:space="preserve">fertility out of young ages first, so a young-first front can be produced</w:t>
      </w:r>
      <w:r>
        <w:t xml:space="preserve"> </w:t>
      </w:r>
      <w:r>
        <w:t xml:space="preserve">by delay without any quantum change - distinguishing them requires</w:t>
      </w:r>
      <w:r>
        <w:t xml:space="preserve"> </w:t>
      </w:r>
      <w:r>
        <w:t xml:space="preserve">following cohort cumulative milestones, which the CPCFR contours carry.</w:t>
      </w:r>
      <w:r>
        <w:t xml:space="preserve"> </w:t>
      </w:r>
      <w:r>
        <w:rPr>
          <w:i/>
          <w:iCs/>
        </w:rPr>
        <w:t xml:space="preserve">Mean-reversion mimicry</w:t>
      </w:r>
      <w:r>
        <w:t xml:space="preserve">: several countries entered 2008 at the top of a</w:t>
      </w:r>
      <w:r>
        <w:t xml:space="preserve"> </w:t>
      </w:r>
      <w:r>
        <w:t xml:space="preserve">recuperation upswing</w:t>
      </w:r>
      <w:r>
        <w:t xml:space="preserve"> </w:t>
      </w:r>
      <w:r>
        <w:t xml:space="preserve">(Goldstein et al. 2009; Myrskylä et al. 2013)</w:t>
      </w:r>
      <w:r>
        <w:t xml:space="preserve">, so a post-2008</w:t>
      </w:r>
      <w:r>
        <w:t xml:space="preserve"> </w:t>
      </w:r>
      <w:r>
        <w:t xml:space="preserve">“break”</w:t>
      </w:r>
      <w:r>
        <w:t xml:space="preserve"> </w:t>
      </w:r>
      <w:r>
        <w:t xml:space="preserve">can be manufactured by reversion to an older trend. Existing</w:t>
      </w:r>
      <w:r>
        <w:t xml:space="preserve"> </w:t>
      </w:r>
      <w:r>
        <w:t xml:space="preserve">evidence on the digital thesis, moreover, is largely teen-focused or</w:t>
      </w:r>
      <w:r>
        <w:t xml:space="preserve"> </w:t>
      </w:r>
      <w:r>
        <w:t xml:space="preserve">single-country</w:t>
      </w:r>
      <w:r>
        <w:t xml:space="preserve"> </w:t>
      </w:r>
      <w:r>
        <w:t xml:space="preserve">(Guldi and Herbst 2017; Kearney and Levine 2015; Jaeger et al. 2020)</w:t>
      </w:r>
      <w:r>
        <w:t xml:space="preserve">, and the most</w:t>
      </w:r>
      <w:r>
        <w:t xml:space="preserve"> </w:t>
      </w:r>
      <w:r>
        <w:t xml:space="preserve">prominent null for ages 25+ rests on a detrending that removes any effect</w:t>
      </w:r>
      <w:r>
        <w:t xml:space="preserve"> </w:t>
      </w:r>
      <w:r>
        <w:t xml:space="preserve">common to all ages by construction</w:t>
      </w:r>
      <w:r>
        <w:t xml:space="preserve"> </w:t>
      </w:r>
      <w:r>
        <w:t xml:space="preserve">(Moscoso Boedo and Hudson 2026)</w:t>
      </w:r>
      <w:r>
        <w:t xml:space="preserve"> </w:t>
      </w:r>
      <w:r>
        <w:t xml:space="preserve">- so the question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response across the full age range remains open.</w:t>
      </w:r>
    </w:p>
    <w:p>
      <w:pPr>
        <w:pStyle w:val="BodyText"/>
      </w:pPr>
      <w:r>
        <w:t xml:space="preserve">These considerations motivate the preregistered universality test: a</w:t>
      </w:r>
      <w:r>
        <w:t xml:space="preserve"> </w:t>
      </w:r>
      <w:r>
        <w:t xml:space="preserve">global panel (UN World Population Prospects 2024, escaping the</w:t>
      </w:r>
      <w:r>
        <w:t xml:space="preserve"> </w:t>
      </w:r>
      <w:r>
        <w:t xml:space="preserve">rich-country selection of the HFD/HFC), break-date estimation, an</w:t>
      </w:r>
      <w:r>
        <w:t xml:space="preserve"> </w:t>
      </w:r>
      <w:r>
        <w:t xml:space="preserve">age-gradient classification of onset (period-shock versus young-first</w:t>
      </w:r>
      <w:r>
        <w:t xml:space="preserve"> </w:t>
      </w:r>
      <w:r>
        <w:t xml:space="preserve">versus cohort-carried), tempo guards built from CPCFR milestones, and</w:t>
      </w:r>
      <w:r>
        <w:t xml:space="preserve"> </w:t>
      </w:r>
      <w:r>
        <w:t xml:space="preserve">equivalence tests against development gradients. The protocol was frozen</w:t>
      </w:r>
      <w:r>
        <w:t xml:space="preserve"> </w:t>
      </w:r>
      <w:r>
        <w:t xml:space="preserve">and registered publicly on 12 July 2026, before its outcome data were</w:t>
      </w:r>
      <w:r>
        <w:t xml:space="preserve"> </w:t>
      </w:r>
      <w:r>
        <w:t xml:space="preserve">downloaded; the main paper deliberately runs none of its estimators.</w:t>
      </w:r>
    </w:p>
    <w:bookmarkEnd w:id="43"/>
    <w:bookmarkStart w:id="44" w:name="s6.-covid-19-on-the-surfaces"/>
    <w:p>
      <w:pPr>
        <w:pStyle w:val="Heading1"/>
      </w:pPr>
      <w:r>
        <w:t xml:space="preserve">S6. COVID-19 on the surfaces</w:t>
      </w:r>
    </w:p>
    <w:p>
      <w:pPr>
        <w:pStyle w:val="FirstParagraph"/>
      </w:pPr>
      <w:r>
        <w:t xml:space="preserve">COVID-19 arrived on these surfaces as texture, not trend: dips in 2020-21</w:t>
      </w:r>
      <w:r>
        <w:t xml:space="preserve"> </w:t>
      </w:r>
      <w:r>
        <w:t xml:space="preserve">births and partial rebounds in several countries, superimposed on an</w:t>
      </w:r>
      <w:r>
        <w:t xml:space="preserve"> </w:t>
      </w:r>
      <w:r>
        <w:t xml:space="preserve">acceleration that was already a decade old at the pandemic’s onset. The</w:t>
      </w:r>
      <w:r>
        <w:t xml:space="preserve"> </w:t>
      </w:r>
      <w:r>
        <w:t xml:space="preserve">runway quantities (AAPF, ANR, late mass, reachability) move smoothly</w:t>
      </w:r>
      <w:r>
        <w:t xml:space="preserve"> </w:t>
      </w:r>
      <w:r>
        <w:t xml:space="preserve">through the pandemic years in the per-country trajectories of the main</w:t>
      </w:r>
      <w:r>
        <w:t xml:space="preserve"> </w:t>
      </w:r>
      <w:r>
        <w:t xml:space="preserve">paper’s 45-country squeeze figure and of S4.</w:t>
      </w:r>
      <w:r>
        <w:t xml:space="preserve"> </w:t>
      </w:r>
      <w:r>
        <w:t xml:space="preserve">Whether the pandemic left a persistent mark - or shared causes with the</w:t>
      </w:r>
      <w:r>
        <w:t xml:space="preserve"> </w:t>
      </w:r>
      <w:r>
        <w:t xml:space="preserve">broader decline - is exactly the kind of question the eye cannot settle;</w:t>
      </w:r>
      <w:r>
        <w:t xml:space="preserve"> </w:t>
      </w:r>
      <w:r>
        <w:t xml:space="preserve">the preregistered protocol excludes 2020-24 from its estimation windows</w:t>
      </w:r>
      <w:r>
        <w:t xml:space="preserve"> </w:t>
      </w:r>
      <w:r>
        <w:t xml:space="preserve">and treats pandemic-era displays as exploratory.</w:t>
      </w:r>
    </w:p>
    <w:bookmarkEnd w:id="44"/>
    <w:bookmarkStart w:id="53" w:name="X7187d9bc53c056cb31dcff18deccff5ddd1fc6f"/>
    <w:p>
      <w:pPr>
        <w:pStyle w:val="Heading1"/>
      </w:pPr>
      <w:r>
        <w:t xml:space="preserve">S7. Provenance of the 2020 extrapolations</w:t>
      </w:r>
    </w:p>
    <w:p>
      <w:pPr>
        <w:pStyle w:val="FirstParagraph"/>
      </w:pPr>
      <w:r>
        <w:t xml:space="preserve">The main paper’s forecast-check figure redraws the 2020-era</w:t>
      </w:r>
      <w:r>
        <w:t xml:space="preserve"> </w:t>
      </w:r>
      <w:r>
        <w:t xml:space="preserve">extrapolations onto re-rendered surfaces. The two source artifacts are</w:t>
      </w:r>
      <w:r>
        <w:t xml:space="preserve"> </w:t>
      </w:r>
      <w:r>
        <w:t xml:space="preserve">reproduced here.</w:t>
      </w:r>
    </w:p>
    <w:p>
      <w:pPr>
        <w:pStyle w:val="BodyText"/>
      </w:pPr>
      <w:r>
        <w:t xml:space="preserve">The published Figure 2 of</w:t>
      </w:r>
      <w:r>
        <w:t xml:space="preserve"> </w:t>
      </w:r>
      <w:r>
        <w:t xml:space="preserve">Pattaro et al. (2020)</w:t>
      </w:r>
      <w:r>
        <w:t xml:space="preserve"> </w:t>
      </w:r>
      <w:r>
        <w:t xml:space="preserve">carried pedagogic annotations -</w:t>
      </w:r>
      <w:r>
        <w:t xml:space="preserve"> </w:t>
      </w:r>
      <w:r>
        <w:t xml:space="preserve">including the terminal contour readings</w:t>
      </w:r>
      <w:r>
        <w:t xml:space="preserve"> </w:t>
      </w:r>
      <w:r>
        <w:t xml:space="preserve">“Replacement age 43”</w:t>
      </w:r>
      <w:r>
        <w:t xml:space="preserve"> </w:t>
      </w:r>
      <w:r>
        <w:t xml:space="preserve">(Norway) and</w:t>
      </w:r>
      <w:r>
        <w:t xml:space="preserve"> </w:t>
      </w:r>
      <w:r>
        <w:t xml:space="preserve">“Replacement age 37”</w:t>
      </w:r>
      <w:r>
        <w:t xml:space="preserve"> </w:t>
      </w:r>
      <w:r>
        <w:t xml:space="preserve">(United States) - but no drawn extrapolation lines;</w:t>
      </w:r>
      <w:r>
        <w:t xml:space="preserve"> </w:t>
      </w:r>
      <w:r>
        <w:t xml:space="preserve">the forecasts appear in the published text: the contour</w:t>
      </w:r>
      <w:r>
        <w:t xml:space="preserve"> </w:t>
      </w:r>
      <w:r>
        <w:t xml:space="preserve">“has been trending</w:t>
      </w:r>
      <w:r>
        <w:t xml:space="preserve"> </w:t>
      </w:r>
      <w:r>
        <w:t xml:space="preserve">upwards for Norway but falling for the United States”</w:t>
      </w:r>
      <w:r>
        <w:t xml:space="preserve">;</w:t>
      </w:r>
      <w:r>
        <w:t xml:space="preserve"> </w:t>
      </w:r>
      <w:r>
        <w:t xml:space="preserve">“Norway looks</w:t>
      </w:r>
      <w:r>
        <w:t xml:space="preserve"> </w:t>
      </w:r>
      <w:r>
        <w:t xml:space="preserve">likely to lose replacement fertility levels over the next few years”</w:t>
      </w:r>
      <w:r>
        <w:t xml:space="preserve">;</w:t>
      </w:r>
      <w:r>
        <w:t xml:space="preserve"> </w:t>
      </w:r>
      <w:r>
        <w:t xml:space="preserve">“we might assume that replacement levels will be sustained for longer in</w:t>
      </w:r>
      <w:r>
        <w:t xml:space="preserve"> </w:t>
      </w:r>
      <w:r>
        <w:t xml:space="preserve">the United States”</w:t>
      </w:r>
      <w:r>
        <w:t xml:space="preserve"> </w:t>
      </w:r>
      <w:r>
        <w:t xml:space="preserve">(Pattaro et al. 2020, 699–700)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7a"/>
          <w:p>
            <w:pPr>
              <w:pStyle w:val="Compact"/>
              <w:jc w:val="center"/>
            </w:pPr>
            <w:r>
              <w:drawing>
                <wp:inline>
                  <wp:extent cx="5334000" cy="473064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figures/pattaro2020_fig2_published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30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Figure 2 of</w:t>
            </w:r>
            <w:r>
              <w:t xml:space="preserve"> </w:t>
            </w:r>
            <w:r>
              <w:t xml:space="preserve">Pattaro et al. (2020)</w:t>
            </w:r>
            <w:r>
              <w:t xml:space="preserve"> </w:t>
            </w:r>
            <w:r>
              <w:t xml:space="preserve">as published (CC BY 3.0 DE): composite fertility lattice plots for Norway and the United States with the original annotations.</w:t>
            </w:r>
          </w:p>
          <w:bookmarkEnd w:id="48"/>
        </w:tc>
      </w:tr>
    </w:tbl>
    <w:p>
      <w:pPr>
        <w:pStyle w:val="BodyText"/>
      </w:pPr>
      <w:r>
        <w:t xml:space="preserve">The extrapolations were drawn explicitly in a pre-publication working</w:t>
      </w:r>
      <w:r>
        <w:t xml:space="preserve"> </w:t>
      </w:r>
      <w:r>
        <w:t xml:space="preserve">version of the figure, publicly timestamped in the project repository in</w:t>
      </w:r>
      <w:r>
        <w:t xml:space="preserve"> </w:t>
      </w:r>
      <w:r>
        <w:t xml:space="preserve">September 2018, as dotted lines labelled</w:t>
      </w:r>
      <w:r>
        <w:t xml:space="preserve"> </w:t>
      </w:r>
      <w:r>
        <w:t xml:space="preserve">“speculative extrapolation of</w:t>
      </w:r>
      <w:r>
        <w:t xml:space="preserve"> </w:t>
      </w:r>
      <w:r>
        <w:t xml:space="preserve">replacement contour”</w:t>
      </w:r>
      <w:r>
        <w:t xml:space="preserve">: for Norway holding near age 43 for a further decade</w:t>
      </w:r>
      <w:r>
        <w:t xml:space="preserve"> </w:t>
      </w:r>
      <w:r>
        <w:t xml:space="preserve">of cohorts before turning vertical; for the United States continuing</w:t>
      </w:r>
      <w:r>
        <w:t xml:space="preserve"> </w:t>
      </w:r>
      <w:r>
        <w:t xml:space="preserve">nearly flat, near age 37-38, to the panel’s edge. The drawn lines were dropped in</w:t>
      </w:r>
      <w:r>
        <w:t xml:space="preserve"> </w:t>
      </w:r>
      <w:r>
        <w:t xml:space="preserve">revision; the published text retained their verbal equivalents. The</w:t>
      </w:r>
      <w:r>
        <w:t xml:space="preserve"> </w:t>
      </w:r>
      <w:r>
        <w:t xml:space="preserve">working figure uses a draft-era colour palette that differs from the</w:t>
      </w:r>
      <w:r>
        <w:t xml:space="preserve"> </w:t>
      </w:r>
      <w:r>
        <w:t xml:space="preserve">published specification - one reason the main paper re-renders the</w:t>
      </w:r>
      <w:r>
        <w:t xml:space="preserve"> </w:t>
      </w:r>
      <w:r>
        <w:t xml:space="preserve">2020-vintage data (repository tag</w:t>
      </w:r>
      <w:r>
        <w:t xml:space="preserve"> </w:t>
      </w:r>
      <w:r>
        <w:rPr>
          <w:rStyle w:val="VerbatimChar"/>
        </w:rPr>
        <w:t xml:space="preserve">demres-2020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data/data_combined_and_standardised.csv</w:t>
      </w:r>
      <w:r>
        <w:t xml:space="preserve">) in the current specification</w:t>
      </w:r>
      <w:r>
        <w:t xml:space="preserve"> </w:t>
      </w:r>
      <w:r>
        <w:t xml:space="preserve">rather than reproducing this figure in the comparison.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s7b"/>
          <w:p>
            <w:pPr>
              <w:pStyle w:val="Compact"/>
              <w:jc w:val="center"/>
            </w:pPr>
            <w:r>
              <w:drawing>
                <wp:inline>
                  <wp:extent cx="5334000" cy="473064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figures/usanor_extrapolation_2018draf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30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Pre-publication working version (project repository, September 2018), with the drawn</w:t>
            </w:r>
            <w:r>
              <w:t xml:space="preserve"> </w:t>
            </w:r>
            <w:r>
              <w:t xml:space="preserve">“speculative extrapolation”</w:t>
            </w:r>
            <w:r>
              <w:t xml:space="preserve"> </w:t>
            </w:r>
            <w:r>
              <w:t xml:space="preserve">lines.</w:t>
            </w:r>
          </w:p>
          <w:bookmarkEnd w:id="52"/>
        </w:tc>
      </w:tr>
    </w:tbl>
    <w:p>
      <w:pPr>
        <w:pStyle w:val="BodyText"/>
      </w:pPr>
      <w:r>
        <w:t xml:space="preserve">The magenta lines in the main paper’s forecast check are digitized</w:t>
      </w:r>
      <w:r>
        <w:t xml:space="preserve"> </w:t>
      </w:r>
      <w:r>
        <w:t xml:space="preserve">programmatically from</w:t>
      </w:r>
      <w:r>
        <w:t xml:space="preserve"> </w:t>
      </w:r>
      <w:hyperlink w:anchor="fig-s7b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by pixel extraction with tick-mark</w:t>
      </w:r>
      <w:r>
        <w:t xml:space="preserve"> </w:t>
      </w:r>
      <w:r>
        <w:t xml:space="preserve">calibration (</w:t>
      </w:r>
      <w:r>
        <w:rPr>
          <w:rStyle w:val="VerbatimChar"/>
        </w:rPr>
        <w:t xml:space="preserve">scripts/extract_2018_extrapolation.py</w:t>
      </w:r>
      <w:r>
        <w:t xml:space="preserve">, with a QC overlay</w:t>
      </w:r>
      <w:r>
        <w:t xml:space="preserve"> </w:t>
      </w:r>
      <w:r>
        <w:t xml:space="preserve">in the repository); the coordinates are at</w:t>
      </w:r>
      <w:r>
        <w:t xml:space="preserve"> </w:t>
      </w:r>
      <w:r>
        <w:rPr>
          <w:rStyle w:val="VerbatimChar"/>
        </w:rPr>
        <w:t xml:space="preserve">data/derived_2026/extrapolation_2018_digitized.csv</w:t>
      </w:r>
      <w:r>
        <w:t xml:space="preserve">.</w:t>
      </w:r>
    </w:p>
    <w:bookmarkEnd w:id="53"/>
    <w:bookmarkStart w:id="58" w:name="s8.-the-vanished-us-plateau"/>
    <w:p>
      <w:pPr>
        <w:pStyle w:val="Heading1"/>
      </w:pPr>
      <w:r>
        <w:t xml:space="preserve">S8. The vanished US plateau</w:t>
      </w:r>
    </w:p>
    <w:p>
      <w:pPr>
        <w:pStyle w:val="FirstParagraph"/>
      </w:pPr>
      <w:r>
        <w:t xml:space="preserve">The United States was historically unusual for a flat-peaked - potentially</w:t>
      </w:r>
      <w:r>
        <w:t xml:space="preserve"> </w:t>
      </w:r>
      <w:r>
        <w:t xml:space="preserve">bimodal, subgroup-mixture - ASFR age profile, which is why the AAPF’s</w:t>
      </w:r>
      <w:r>
        <w:t xml:space="preserve"> </w:t>
      </w:r>
      <w:r>
        <w:t xml:space="preserve">tie-to-youngest rule matters there and why the US is not used as the</w:t>
      </w:r>
      <w:r>
        <w:t xml:space="preserve"> </w:t>
      </w:r>
      <w:r>
        <w:t xml:space="preserve">terrain example in the main paper. Operationalising plateau width as the</w:t>
      </w:r>
      <w:r>
        <w:t xml:space="preserve"> </w:t>
      </w:r>
      <w:r>
        <w:t xml:space="preserve">number of single-year ages whose ASFR is within 90% of that year’s</w:t>
      </w:r>
      <w:r>
        <w:t xml:space="preserve"> </w:t>
      </w:r>
      <w:r>
        <w:t xml:space="preserve">maximum, and calling a country-year a plateau year at width 9 or more:</w:t>
      </w:r>
      <w:r>
        <w:t xml:space="preserve"> </w:t>
      </w:r>
      <w:r>
        <w:t xml:space="preserve">the United States had thirteen plateau years, 1992-2006 - by far the</w:t>
      </w:r>
      <w:r>
        <w:t xml:space="preserve"> </w:t>
      </w:r>
      <w:r>
        <w:t xml:space="preserve">longest run in the panel (the next longest is Albania’s six years in the</w:t>
      </w:r>
      <w:r>
        <w:t xml:space="preserve"> </w:t>
      </w:r>
      <w:r>
        <w:t xml:space="preserve">1950s-60s; only five countries have any). The plateau collapsed from the</w:t>
      </w:r>
      <w:r>
        <w:t xml:space="preserve"> </w:t>
      </w:r>
      <w:r>
        <w:t xml:space="preserve">left after the late 2000s with the teen and early-twenties fertility</w:t>
      </w:r>
      <w:r>
        <w:t xml:space="preserve"> </w:t>
      </w:r>
      <w:r>
        <w:t xml:space="preserve">decline, and by the 2020s the US profile is a conventional late single</w:t>
      </w:r>
      <w:r>
        <w:t xml:space="preserve"> </w:t>
      </w:r>
      <w:r>
        <w:t xml:space="preserve">peak (median width 6, matching its pre-1990 value). Total-schedule</w:t>
      </w:r>
      <w:r>
        <w:t xml:space="preserve"> </w:t>
      </w:r>
      <w:r>
        <w:t xml:space="preserve">analysis cannot distinguish subgroup convergence from early-subgroup</w:t>
      </w:r>
      <w:r>
        <w:t xml:space="preserve"> </w:t>
      </w:r>
      <w:r>
        <w:t xml:space="preserve">collapse; birth-order data would</w:t>
      </w:r>
      <w:r>
        <w:t xml:space="preserve"> </w:t>
      </w:r>
      <w:r>
        <w:t xml:space="preserve">(Zeman et al. 2018)</w:t>
      </w:r>
      <w:r>
        <w:t xml:space="preserve">, and the by-birth-order</w:t>
      </w:r>
      <w:r>
        <w:t xml:space="preserve"> </w:t>
      </w:r>
      <w:r>
        <w:t xml:space="preserve">collections already assembled in the repository are the natural extension.</w:t>
      </w:r>
      <w:r>
        <w:t xml:space="preserve"> </w:t>
      </w:r>
      <w:r>
        <w:t xml:space="preserve">Derived data:</w:t>
      </w:r>
      <w:r>
        <w:t xml:space="preserve"> </w:t>
      </w:r>
      <w:r>
        <w:rPr>
          <w:rStyle w:val="VerbatimChar"/>
        </w:rPr>
        <w:t xml:space="preserve">data/derived_2026/plateau_width_by_country_year.csv</w:t>
      </w:r>
      <w:r>
        <w:t xml:space="preserve">.</w:t>
      </w:r>
      <w:r>
        <w:t xml:space="preserve"> </w:t>
      </w:r>
      <w:r>
        <w:t xml:space="preserve">Script:</w:t>
      </w:r>
      <w:r>
        <w:t xml:space="preserve"> </w:t>
      </w:r>
      <w:r>
        <w:rPr>
          <w:rStyle w:val="VerbatimChar"/>
        </w:rPr>
        <w:t xml:space="preserve">scripts/us_plateau_2026.R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s8"/>
          <w:p>
            <w:pPr>
              <w:pStyle w:val="Compact"/>
              <w:jc w:val="center"/>
            </w:pPr>
            <w:r>
              <w:drawing>
                <wp:inline>
                  <wp:extent cx="5334000" cy="355683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figures/us_plateau_width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Width of the near-peak age range (ages within 90% of the year’s peak ASFR): United States versus the 45-country median, 1950-2025. Dashed line: the plateau criterion (9 ages).</w:t>
            </w:r>
          </w:p>
          <w:bookmarkEnd w:id="57"/>
        </w:tc>
      </w:tr>
    </w:tbl>
    <w:bookmarkEnd w:id="58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0" w:name="ref-billari2019broadband"/>
    <w:p>
      <w:pPr>
        <w:pStyle w:val="Bibliography"/>
      </w:pPr>
      <w:r>
        <w:t xml:space="preserve">Billari, Francesco C., Osea Giuntella, and Luca Stella. 2019.</w:t>
      </w:r>
      <w:r>
        <w:t xml:space="preserve"> </w:t>
      </w:r>
      <w:r>
        <w:t xml:space="preserve">“Does Broadband Internet Affect Fertility?”</w:t>
      </w:r>
      <w:r>
        <w:t xml:space="preserve"> </w:t>
      </w:r>
      <w:r>
        <w:rPr>
          <w:i/>
          <w:iCs/>
        </w:rPr>
        <w:t xml:space="preserve">Population Studies</w:t>
      </w:r>
      <w:r>
        <w:t xml:space="preserve"> </w:t>
      </w:r>
      <w:r>
        <w:t xml:space="preserve">73 (3): 297–316.</w:t>
      </w:r>
      <w:r>
        <w:t xml:space="preserve"> </w:t>
      </w:r>
      <w:hyperlink r:id="rId59">
        <w:r>
          <w:rPr>
            <w:rStyle w:val="Hyperlink"/>
          </w:rPr>
          <w:t xml:space="preserve">https://doi.org/10.1080/00324728.2019.1584327</w:t>
        </w:r>
      </w:hyperlink>
      <w:r>
        <w:t xml:space="preserve">.</w:t>
      </w:r>
    </w:p>
    <w:bookmarkEnd w:id="60"/>
    <w:bookmarkStart w:id="62" w:name="ref-bongaartswatkins1996"/>
    <w:p>
      <w:pPr>
        <w:pStyle w:val="Bibliography"/>
      </w:pPr>
      <w:r>
        <w:t xml:space="preserve">Bongaarts, John, and Susan Cotts Watkins. 1996.</w:t>
      </w:r>
      <w:r>
        <w:t xml:space="preserve"> </w:t>
      </w:r>
      <w:r>
        <w:t xml:space="preserve">“Social Interactions and Contemporary Fertility Transitions.”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22 (4): 639–82.</w:t>
      </w:r>
      <w:r>
        <w:t xml:space="preserve"> </w:t>
      </w:r>
      <w:hyperlink r:id="rId61">
        <w:r>
          <w:rPr>
            <w:rStyle w:val="Hyperlink"/>
          </w:rPr>
          <w:t xml:space="preserve">https://doi.org/10.2307/2137804</w:t>
        </w:r>
      </w:hyperlink>
      <w:r>
        <w:t xml:space="preserve">.</w:t>
      </w:r>
    </w:p>
    <w:bookmarkEnd w:id="62"/>
    <w:bookmarkStart w:id="64" w:name="ref-casterline2001"/>
    <w:p>
      <w:pPr>
        <w:pStyle w:val="Bibliography"/>
      </w:pPr>
      <w:r>
        <w:t xml:space="preserve">Casterline, John B., ed. 2001.</w:t>
      </w:r>
      <w:r>
        <w:t xml:space="preserve"> </w:t>
      </w:r>
      <w:r>
        <w:rPr>
          <w:i/>
          <w:iCs/>
        </w:rPr>
        <w:t xml:space="preserve">Diffusion Processes and Fertility Transition: Selected Perspectives</w:t>
      </w:r>
      <w:r>
        <w:t xml:space="preserve">. National Academy Press.</w:t>
      </w:r>
      <w:r>
        <w:t xml:space="preserve"> </w:t>
      </w:r>
      <w:hyperlink r:id="rId63">
        <w:r>
          <w:rPr>
            <w:rStyle w:val="Hyperlink"/>
          </w:rPr>
          <w:t xml:space="preserve">https://doi.org/10.17226/10228</w:t>
        </w:r>
      </w:hyperlink>
      <w:r>
        <w:t xml:space="preserve">.</w:t>
      </w:r>
    </w:p>
    <w:bookmarkEnd w:id="64"/>
    <w:bookmarkStart w:id="65" w:name="ref-goldstein2009"/>
    <w:p>
      <w:pPr>
        <w:pStyle w:val="Bibliography"/>
      </w:pPr>
      <w:r>
        <w:t xml:space="preserve">Goldstein, Joshua R., Tomáš Sobotka, and Aiva Jasilioniene. 2009.</w:t>
      </w:r>
      <w:r>
        <w:t xml:space="preserve"> </w:t>
      </w:r>
      <w:r>
        <w:t xml:space="preserve">“The End of</w:t>
      </w:r>
      <w:r>
        <w:t xml:space="preserve"> </w:t>
      </w:r>
      <w:r>
        <w:t xml:space="preserve">‘Lowest-Low’</w:t>
      </w:r>
      <w:r>
        <w:t xml:space="preserve"> </w:t>
      </w:r>
      <w:r>
        <w:t xml:space="preserve">Fertility?”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35 (4): 663–99.</w:t>
      </w:r>
    </w:p>
    <w:bookmarkEnd w:id="65"/>
    <w:bookmarkStart w:id="67" w:name="ref-guldi2017"/>
    <w:p>
      <w:pPr>
        <w:pStyle w:val="Bibliography"/>
      </w:pPr>
      <w:r>
        <w:t xml:space="preserve">Guldi, Melanie, and Chris M. Herbst. 2017.</w:t>
      </w:r>
      <w:r>
        <w:t xml:space="preserve"> </w:t>
      </w:r>
      <w:r>
        <w:t xml:space="preserve">“Offline Effects of Online Connecting: The Impact of Broadband Diffusion on Teen Fertility Decisions.”</w:t>
      </w:r>
      <w:r>
        <w:t xml:space="preserve"> </w:t>
      </w:r>
      <w:r>
        <w:rPr>
          <w:i/>
          <w:iCs/>
        </w:rPr>
        <w:t xml:space="preserve">Journal of Population Economics</w:t>
      </w:r>
      <w:r>
        <w:t xml:space="preserve"> </w:t>
      </w:r>
      <w:r>
        <w:t xml:space="preserve">30 (1): 69–91.</w:t>
      </w:r>
      <w:r>
        <w:t xml:space="preserve"> </w:t>
      </w:r>
      <w:hyperlink r:id="rId66">
        <w:r>
          <w:rPr>
            <w:rStyle w:val="Hyperlink"/>
          </w:rPr>
          <w:t xml:space="preserve">https://doi.org/10.1007/s00148-016-0605-0</w:t>
        </w:r>
      </w:hyperlink>
      <w:r>
        <w:t xml:space="preserve">.</w:t>
      </w:r>
    </w:p>
    <w:bookmarkEnd w:id="67"/>
    <w:bookmarkStart w:id="68" w:name="ref-hudson2026teen"/>
    <w:p>
      <w:pPr>
        <w:pStyle w:val="Bibliography"/>
      </w:pPr>
      <w:r>
        <w:t xml:space="preserve">Hudson, Nathan, and Hernan J. Moscoso Boedo. 2026.</w:t>
      </w:r>
      <w:r>
        <w:t xml:space="preserve"> </w:t>
      </w:r>
      <w:r>
        <w:t xml:space="preserve">“The Collapse of Teen Fertility in the Digital Era.”</w:t>
      </w:r>
      <w:r>
        <w:t xml:space="preserve"> </w:t>
      </w:r>
      <w:r>
        <w:t xml:space="preserve">Unpublished manuscript.</w:t>
      </w:r>
    </w:p>
    <w:bookmarkEnd w:id="68"/>
    <w:bookmarkStart w:id="69" w:name="ref-jaeger2020"/>
    <w:p>
      <w:pPr>
        <w:pStyle w:val="Bibliography"/>
      </w:pPr>
      <w:r>
        <w:t xml:space="preserve">Jaeger, David A., Theodore J. Joyce, and Robert Kaestner. 2020.</w:t>
      </w:r>
      <w:r>
        <w:t xml:space="preserve"> </w:t>
      </w:r>
      <w:r>
        <w:t xml:space="preserve">“A Cautionary Tale of Evaluating Identifying Assumptions: Did Reality</w:t>
      </w:r>
      <w:r>
        <w:t xml:space="preserve"> </w:t>
      </w:r>
      <w:r>
        <w:t xml:space="preserve">TV</w:t>
      </w:r>
      <w:r>
        <w:t xml:space="preserve"> </w:t>
      </w:r>
      <w:r>
        <w:t xml:space="preserve">Really Cause a Decline in Teenage Childbearing?”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 </w:t>
      </w:r>
      <w:r>
        <w:t xml:space="preserve">38 (2): 317–26.</w:t>
      </w:r>
    </w:p>
    <w:bookmarkEnd w:id="69"/>
    <w:bookmarkStart w:id="71" w:name="ref-kearney2015media"/>
    <w:p>
      <w:pPr>
        <w:pStyle w:val="Bibliography"/>
      </w:pPr>
      <w:r>
        <w:t xml:space="preserve">Kearney, Melissa S., and Phillip B. Levine. 2015.</w:t>
      </w:r>
      <w:r>
        <w:t xml:space="preserve"> </w:t>
      </w:r>
      <w:r>
        <w:t xml:space="preserve">“Media Influences on Social Outcomes: The Impact of</w:t>
      </w:r>
      <w:r>
        <w:t xml:space="preserve"> </w:t>
      </w:r>
      <w:r>
        <w:t xml:space="preserve">MTV</w:t>
      </w:r>
      <w:r>
        <w:t xml:space="preserve">’s 16 and Pregnant on Teen Childbearing.”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105 (12): 3597–632.</w:t>
      </w:r>
      <w:r>
        <w:t xml:space="preserve"> </w:t>
      </w:r>
      <w:hyperlink r:id="rId70">
        <w:r>
          <w:rPr>
            <w:rStyle w:val="Hyperlink"/>
          </w:rPr>
          <w:t xml:space="preserve">https://doi.org/10.1257/aer.20140012</w:t>
        </w:r>
      </w:hyperlink>
      <w:r>
        <w:t xml:space="preserve">.</w:t>
      </w:r>
    </w:p>
    <w:bookmarkEnd w:id="71"/>
    <w:bookmarkStart w:id="72" w:name="ref-moscoso2026wide"/>
    <w:p>
      <w:pPr>
        <w:pStyle w:val="Bibliography"/>
      </w:pPr>
      <w:r>
        <w:t xml:space="preserve">Moscoso Boedo, Hernan J., and Nathan Hudson. 2026.</w:t>
      </w:r>
      <w:r>
        <w:t xml:space="preserve"> </w:t>
      </w:r>
      <w:r>
        <w:t xml:space="preserve">“Wide and Shallow: Digital Technology and the Post-2007 Fertility Decline.”</w:t>
      </w:r>
      <w:r>
        <w:t xml:space="preserve"> </w:t>
      </w:r>
      <w:r>
        <w:t xml:space="preserve">Unpublished manuscript.</w:t>
      </w:r>
    </w:p>
    <w:bookmarkEnd w:id="72"/>
    <w:bookmarkStart w:id="73" w:name="ref-myers2026iphone"/>
    <w:p>
      <w:pPr>
        <w:pStyle w:val="Bibliography"/>
      </w:pPr>
      <w:r>
        <w:t xml:space="preserve">Myers, Caitlin Knowles, and Ezekiel Hooper. 2026.</w:t>
      </w:r>
      <w:r>
        <w:t xml:space="preserve"> </w:t>
      </w:r>
      <w:r>
        <w:t xml:space="preserve">“Is the</w:t>
      </w:r>
      <w:r>
        <w:t xml:space="preserve"> </w:t>
      </w:r>
      <w:r>
        <w:t xml:space="preserve">iPhone</w:t>
      </w:r>
      <w:r>
        <w:t xml:space="preserve"> </w:t>
      </w:r>
      <w:r>
        <w:t xml:space="preserve">Birth Control?</w:t>
      </w:r>
      <w:r>
        <w:t xml:space="preserve"> </w:t>
      </w:r>
      <w:r>
        <w:t xml:space="preserve">Causal</w:t>
      </w:r>
      <w:r>
        <w:t xml:space="preserve"> </w:t>
      </w:r>
      <w:r>
        <w:t xml:space="preserve">Evidence from</w:t>
      </w:r>
      <w:r>
        <w:t xml:space="preserve"> </w:t>
      </w:r>
      <w:r>
        <w:t xml:space="preserve">AT&amp;T</w:t>
      </w:r>
      <w:r>
        <w:t xml:space="preserve">’s 2007–2011 Carrier Monopoly.”</w:t>
      </w:r>
      <w:r>
        <w:t xml:space="preserve"> </w:t>
      </w:r>
      <w:r>
        <w:t xml:space="preserve">Unpublished manuscript.</w:t>
      </w:r>
    </w:p>
    <w:bookmarkEnd w:id="73"/>
    <w:bookmarkStart w:id="74" w:name="ref-myrskyla2013"/>
    <w:p>
      <w:pPr>
        <w:pStyle w:val="Bibliography"/>
      </w:pPr>
      <w:r>
        <w:t xml:space="preserve">Myrskylä, Mikko, Joshua R. Goldstein, and Yen-hsin Alice Cheng. 2013.</w:t>
      </w:r>
      <w:r>
        <w:t xml:space="preserve"> </w:t>
      </w:r>
      <w:r>
        <w:t xml:space="preserve">“New Cohort Fertility Forecasts for the Developed World: Rises, Falls, and Reversals.”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39 (1): 31–56.</w:t>
      </w:r>
    </w:p>
    <w:bookmarkEnd w:id="74"/>
    <w:bookmarkStart w:id="76" w:name="ref-pattaro2020"/>
    <w:p>
      <w:pPr>
        <w:pStyle w:val="Bibliography"/>
      </w:pPr>
      <w:r>
        <w:t xml:space="preserve">Pattaro, Serena, Laura Vanderbloemen, and Jon Minton. 2020.</w:t>
      </w:r>
      <w:r>
        <w:t xml:space="preserve"> </w:t>
      </w:r>
      <w:r>
        <w:t xml:space="preserve">“Visualizing Fertility Trends for 45 Countries Using Composite Lattice Plots.”</w:t>
      </w:r>
      <w:r>
        <w:t xml:space="preserve"> </w:t>
      </w:r>
      <w:r>
        <w:rPr>
          <w:i/>
          <w:iCs/>
        </w:rPr>
        <w:t xml:space="preserve">Demographic Research</w:t>
      </w:r>
      <w:r>
        <w:t xml:space="preserve"> </w:t>
      </w:r>
      <w:r>
        <w:t xml:space="preserve">42 (23): 689–712.</w:t>
      </w:r>
      <w:r>
        <w:t xml:space="preserve"> </w:t>
      </w:r>
      <w:hyperlink r:id="rId75">
        <w:r>
          <w:rPr>
            <w:rStyle w:val="Hyperlink"/>
          </w:rPr>
          <w:t xml:space="preserve">https://doi.org/10.4054/DemRes.2020.42.23</w:t>
        </w:r>
      </w:hyperlink>
      <w:r>
        <w:t xml:space="preserve">.</w:t>
      </w:r>
    </w:p>
    <w:bookmarkEnd w:id="76"/>
    <w:bookmarkStart w:id="78" w:name="ref-roserobixby1993"/>
    <w:p>
      <w:pPr>
        <w:pStyle w:val="Bibliography"/>
      </w:pPr>
      <w:r>
        <w:t xml:space="preserve">Rosero-Bixby, Luis, and John B. Casterline. 1993.</w:t>
      </w:r>
      <w:r>
        <w:t xml:space="preserve"> </w:t>
      </w:r>
      <w:r>
        <w:t xml:space="preserve">“Modelling Diffusion Effects in Fertility Transition.”</w:t>
      </w:r>
      <w:r>
        <w:t xml:space="preserve"> </w:t>
      </w:r>
      <w:r>
        <w:rPr>
          <w:i/>
          <w:iCs/>
        </w:rPr>
        <w:t xml:space="preserve">Population Studies</w:t>
      </w:r>
      <w:r>
        <w:t xml:space="preserve"> </w:t>
      </w:r>
      <w:r>
        <w:t xml:space="preserve">47 (1): 147–67.</w:t>
      </w:r>
      <w:r>
        <w:t xml:space="preserve"> </w:t>
      </w:r>
      <w:hyperlink r:id="rId77">
        <w:r>
          <w:rPr>
            <w:rStyle w:val="Hyperlink"/>
          </w:rPr>
          <w:t xml:space="preserve">https://doi.org/10.1080/0032472031000146786</w:t>
        </w:r>
      </w:hyperlink>
      <w:r>
        <w:t xml:space="preserve">.</w:t>
      </w:r>
    </w:p>
    <w:bookmarkEnd w:id="78"/>
    <w:bookmarkStart w:id="79" w:name="ref-sobotka2011"/>
    <w:p>
      <w:pPr>
        <w:pStyle w:val="Bibliography"/>
      </w:pPr>
      <w:r>
        <w:t xml:space="preserve">Sobotka, Tomáš, Vegard Skirbekk, and Dimiter Philipov. 2011.</w:t>
      </w:r>
      <w:r>
        <w:t xml:space="preserve"> </w:t>
      </w:r>
      <w:r>
        <w:t xml:space="preserve">“Economic Recession and Fertility in the Developed World.”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 </w:t>
      </w:r>
      <w:r>
        <w:t xml:space="preserve">37 (2): 267–306.</w:t>
      </w:r>
    </w:p>
    <w:bookmarkEnd w:id="79"/>
    <w:bookmarkStart w:id="81" w:name="ref-zeman2018"/>
    <w:p>
      <w:pPr>
        <w:pStyle w:val="Bibliography"/>
      </w:pPr>
      <w:r>
        <w:t xml:space="preserve">Zeman, Krystof, Éva Beaujouan, Zuzanna Brzozowska, and Tomáš Sobotka. 2018.</w:t>
      </w:r>
      <w:r>
        <w:t xml:space="preserve"> </w:t>
      </w:r>
      <w:r>
        <w:t xml:space="preserve">“Cohort Fertility Decline in Low Fertility Countries: Decomposition Using Parity Progression Ratios.”</w:t>
      </w:r>
      <w:r>
        <w:t xml:space="preserve"> </w:t>
      </w:r>
      <w:r>
        <w:rPr>
          <w:i/>
          <w:iCs/>
        </w:rPr>
        <w:t xml:space="preserve">Demographic Research</w:t>
      </w:r>
      <w:r>
        <w:t xml:space="preserve"> </w:t>
      </w:r>
      <w:r>
        <w:t xml:space="preserve">38 (25): 651–90.</w:t>
      </w:r>
      <w:r>
        <w:t xml:space="preserve"> </w:t>
      </w:r>
      <w:hyperlink r:id="rId80">
        <w:r>
          <w:rPr>
            <w:rStyle w:val="Hyperlink"/>
          </w:rPr>
          <w:t xml:space="preserve">https://doi.org/10.4054/DemRes.2018.38.25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666666" w:space="0" w:sz="4" w:val="single"/>
        <w:bottom w:color="666666" w:space="0" w:sz="4" w:val="single"/>
        <w:insideH w:color="666666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49" Target="media/rId49.png" /><Relationship Type="http://schemas.openxmlformats.org/officeDocument/2006/relationships/image" Id="rId37" Target="media/rId37.png" /><Relationship Type="http://schemas.openxmlformats.org/officeDocument/2006/relationships/hyperlink" Id="rId13" Target="https://datascapes.shinyapps.io/cumulative_fertility_app/" TargetMode="External" /><Relationship Type="http://schemas.openxmlformats.org/officeDocument/2006/relationships/hyperlink" Id="rId66" Target="https://doi.org/10.1007/s00148-016-0605-0" TargetMode="External" /><Relationship Type="http://schemas.openxmlformats.org/officeDocument/2006/relationships/hyperlink" Id="rId77" Target="https://doi.org/10.1080/0032472031000146786" TargetMode="External" /><Relationship Type="http://schemas.openxmlformats.org/officeDocument/2006/relationships/hyperlink" Id="rId59" Target="https://doi.org/10.1080/00324728.2019.1584327" TargetMode="External" /><Relationship Type="http://schemas.openxmlformats.org/officeDocument/2006/relationships/hyperlink" Id="rId70" Target="https://doi.org/10.1257/aer.20140012" TargetMode="External" /><Relationship Type="http://schemas.openxmlformats.org/officeDocument/2006/relationships/hyperlink" Id="rId63" Target="https://doi.org/10.17226/10228" TargetMode="External" /><Relationship Type="http://schemas.openxmlformats.org/officeDocument/2006/relationships/hyperlink" Id="rId61" Target="https://doi.org/10.2307/2137804" TargetMode="External" /><Relationship Type="http://schemas.openxmlformats.org/officeDocument/2006/relationships/hyperlink" Id="rId80" Target="https://doi.org/10.4054/DemRes.2018.38.25" TargetMode="External" /><Relationship Type="http://schemas.openxmlformats.org/officeDocument/2006/relationships/hyperlink" Id="rId75" Target="https://doi.org/10.4054/DemRes.2020.42.23" TargetMode="External" /><Relationship Type="http://schemas.openxmlformats.org/officeDocument/2006/relationships/hyperlink" Id="rId12" Target="https://github.com/JonMinton/comparative_fertility" TargetMode="External" /><Relationship Type="http://schemas.openxmlformats.org/officeDocument/2006/relationships/hyperlink" Id="rId42" Target="https://osf.io/j3tb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atascapes.shinyapps.io/cumulative_fertility_app/" TargetMode="External" /><Relationship Type="http://schemas.openxmlformats.org/officeDocument/2006/relationships/hyperlink" Id="rId66" Target="https://doi.org/10.1007/s00148-016-0605-0" TargetMode="External" /><Relationship Type="http://schemas.openxmlformats.org/officeDocument/2006/relationships/hyperlink" Id="rId77" Target="https://doi.org/10.1080/0032472031000146786" TargetMode="External" /><Relationship Type="http://schemas.openxmlformats.org/officeDocument/2006/relationships/hyperlink" Id="rId59" Target="https://doi.org/10.1080/00324728.2019.1584327" TargetMode="External" /><Relationship Type="http://schemas.openxmlformats.org/officeDocument/2006/relationships/hyperlink" Id="rId70" Target="https://doi.org/10.1257/aer.20140012" TargetMode="External" /><Relationship Type="http://schemas.openxmlformats.org/officeDocument/2006/relationships/hyperlink" Id="rId63" Target="https://doi.org/10.17226/10228" TargetMode="External" /><Relationship Type="http://schemas.openxmlformats.org/officeDocument/2006/relationships/hyperlink" Id="rId61" Target="https://doi.org/10.2307/2137804" TargetMode="External" /><Relationship Type="http://schemas.openxmlformats.org/officeDocument/2006/relationships/hyperlink" Id="rId80" Target="https://doi.org/10.4054/DemRes.2018.38.25" TargetMode="External" /><Relationship Type="http://schemas.openxmlformats.org/officeDocument/2006/relationships/hyperlink" Id="rId75" Target="https://doi.org/10.4054/DemRes.2020.42.23" TargetMode="External" /><Relationship Type="http://schemas.openxmlformats.org/officeDocument/2006/relationships/hyperlink" Id="rId12" Target="https://github.com/JonMinton/comparative_fertility" TargetMode="External" /><Relationship Type="http://schemas.openxmlformats.org/officeDocument/2006/relationships/hyperlink" Id="rId42" Target="https://osf.io/j3tb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out of runway: fertility trends for 45 countries revisited - Supplementary materials</dc:title>
  <dc:creator>Jon Minton</dc:creator>
  <cp:keywords/>
  <dcterms:created xsi:type="dcterms:W3CDTF">2026-07-20T16:28:15Z</dcterms:created>
  <dcterms:modified xsi:type="dcterms:W3CDTF">2026-07-20T16:28:15Z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date">
    <vt:lpwstr>2026-07-19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Supplement to the MERGED DRAFT v0.2 (2026-07-19); sections S1-S8</vt:lpwstr>
  </property>
  <property fmtid="{D5CDD505-2E9C-101B-9397-08002B2CF9AE}" pid="15" name="toc-title">
    <vt:lpwstr>Table of contents</vt:lpwstr>
  </property>
</Properties>
</file>