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1.png" ContentType="image/png"/>
  <Override PartName="/word/media/rId27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49.png" ContentType="image/png"/>
  <Override PartName="/word/media/rId36.png" ContentType="image/png"/>
  <Override PartName="/word/media/rId58.png" ContentType="image/png"/>
  <Override PartName="/word/media/rId5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Running out of runway: fertility trends for 45 countries revisited - Supplementary materials</w:t>
      </w:r>
    </w:p>
    <w:p>
      <w:pPr>
        <w:pStyle w:val="Subtitle"/>
      </w:pPr>
      <w:r>
        <w:t xml:space="preserve">Supplement to the MERGED DRAFT v0.2 (2026-07-19); sections S1-S8</w:t>
      </w:r>
    </w:p>
    <w:p>
      <w:pPr>
        <w:pStyle w:val="Author"/>
      </w:pPr>
      <w:r>
        <w:t xml:space="preserve">Jon Minton</w:t>
      </w:r>
    </w:p>
    <w:p>
      <w:pPr>
        <w:pStyle w:val="Date"/>
      </w:pPr>
      <w:r>
        <w:t xml:space="preserve">2026-07-19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All materials here are generated from the public project repository</w:t>
            </w:r>
            <w:r>
              <w:t xml:space="preserve"> </w:t>
            </w:r>
            <w:r>
              <w:t xml:space="preserve">(</w:t>
            </w:r>
            <w:hyperlink r:id="rId12">
              <w:r>
                <w:rPr>
                  <w:rStyle w:val="Hyperlink"/>
                </w:rPr>
                <w:t xml:space="preserve">https://github.com/JonMinton/comparative_fertility</w:t>
              </w:r>
            </w:hyperlink>
            <w:r>
              <w:t xml:space="preserve">); each section names</w:t>
            </w:r>
            <w:r>
              <w:t xml:space="preserve"> </w:t>
            </w:r>
            <w:r>
              <w:t xml:space="preserve">its generating script. The 2020-vintage state of the repository is</w:t>
            </w:r>
            <w:r>
              <w:t xml:space="preserve"> </w:t>
            </w:r>
            <w:r>
              <w:t xml:space="preserve">preserved at tag</w:t>
            </w:r>
            <w:r>
              <w:t xml:space="preserve"> </w:t>
            </w:r>
            <w:r>
              <w:rPr>
                <w:rStyle w:val="VerbatimChar"/>
              </w:rPr>
              <w:t xml:space="preserve">demres-2020</w:t>
            </w:r>
            <w:r>
              <w:t xml:space="preserve">. Terms: AAPF = age and amount of peak</w:t>
            </w:r>
            <w:r>
              <w:t xml:space="preserve"> </w:t>
            </w:r>
            <w:r>
              <w:t xml:space="preserve">fertility; ANR = age of no return; CPCFR = cumulative pseudo-cohort</w:t>
            </w:r>
            <w:r>
              <w:t xml:space="preserve"> </w:t>
            </w:r>
            <w:r>
              <w:t xml:space="preserve">fertility rate; definitions in the main paper, Section 3.2.</w:t>
            </w:r>
          </w:p>
          <w:p/>
        </w:tc>
      </w:tr>
    </w:tbl>
    <w:bookmarkStart w:id="26" w:name="s1.-the-full-45-country-composite-panel"/>
    <w:p>
      <w:pPr>
        <w:pStyle w:val="Heading1"/>
      </w:pPr>
      <w:r>
        <w:t xml:space="preserve">S1. The full 45-country composite panel</w:t>
      </w:r>
    </w:p>
    <w:p>
      <w:pPr>
        <w:pStyle w:val="FirstParagraph"/>
      </w:pPr>
      <w:r>
        <w:t xml:space="preserve">The main paper features Norway and the United States; the full panel,</w:t>
      </w:r>
      <w:r>
        <w:t xml:space="preserve"> </w:t>
      </w:r>
      <w:r>
        <w:t xml:space="preserve">updated to 2023-25 and ordered by CPCFR at 2007 as in</w:t>
      </w:r>
      <w:r>
        <w:t xml:space="preserve"> </w:t>
      </w:r>
      <w:r>
        <w:t xml:space="preserve">Pattaro et al. (2020)</w:t>
      </w:r>
      <w:r>
        <w:t xml:space="preserve">, is</w:t>
      </w:r>
      <w:r>
        <w:t xml:space="preserve"> </w:t>
      </w:r>
      <w:r>
        <w:t xml:space="preserve">shown here in three blocks of fifteen. An interactive version, with</w:t>
      </w:r>
      <w:r>
        <w:t xml:space="preserve"> </w:t>
      </w:r>
      <w:r>
        <w:t xml:space="preserve">country selection and animation over time, is maintained at</w:t>
      </w:r>
      <w:r>
        <w:t xml:space="preserve"> </w:t>
      </w:r>
      <w:hyperlink r:id="rId13">
        <w:r>
          <w:rPr>
            <w:rStyle w:val="Hyperlink"/>
          </w:rPr>
          <w:t xml:space="preserve">https://datascapes.shinyapps.io/cumulative_fertility_app/</w:t>
        </w:r>
      </w:hyperlink>
      <w:r>
        <w:t xml:space="preserve">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scripts/figures_2026.R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1a"/>
          <w:p>
            <w:pPr>
              <w:pStyle w:val="Compact"/>
              <w:jc w:val="center"/>
            </w:pPr>
            <w:r>
              <w:drawing>
                <wp:inline>
                  <wp:extent cx="5334000" cy="44454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igures/overall_split_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Countries ranked 31-45 by CPCFR at 2007, updated to 2023-25.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s1b"/>
          <w:p>
            <w:pPr>
              <w:pStyle w:val="Compact"/>
              <w:jc w:val="center"/>
            </w:pPr>
            <w:r>
              <w:drawing>
                <wp:inline>
                  <wp:extent cx="5334000" cy="4445418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figures/overall_split_2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Countries ranked 16-30 by CPCFR at 2007, updated to 2023-25.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1c"/>
          <w:p>
            <w:pPr>
              <w:pStyle w:val="Compact"/>
              <w:jc w:val="center"/>
            </w:pPr>
            <w:r>
              <w:drawing>
                <wp:inline>
                  <wp:extent cx="5334000" cy="4445418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figures/overall_split_3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Countries ranked 1-15 by CPCFR at 2007, updated to 2023-25.</w:t>
            </w:r>
          </w:p>
          <w:bookmarkEnd w:id="25"/>
        </w:tc>
      </w:tr>
    </w:tbl>
    <w:bookmarkEnd w:id="26"/>
    <w:bookmarkStart w:id="35" w:name="X4dd50970fec1640eadd7e1869e8c1f89c25e25f"/>
    <w:p>
      <w:pPr>
        <w:pStyle w:val="Heading1"/>
      </w:pPr>
      <w:r>
        <w:t xml:space="preserve">S2. Featured ANR overlays: censored versus wall-terminated</w:t>
      </w:r>
    </w:p>
    <w:p>
      <w:pPr>
        <w:pStyle w:val="FirstParagraph"/>
      </w:pPr>
      <w:r>
        <w:t xml:space="preserve">The main paper’s featured Norway panel shows both escapes of</w:t>
      </w:r>
      <w:r>
        <w:t xml:space="preserve"> </w:t>
      </w:r>
      <w:r>
        <w:t xml:space="preserve">the replacement contour terminating at the ANR. The United States panel</w:t>
      </w:r>
      <w:r>
        <w:t xml:space="preserve"> </w:t>
      </w:r>
      <w:r>
        <w:t xml:space="preserve">below shows the contrast that matters for the still-open US verdict: its</w:t>
      </w:r>
      <w:r>
        <w:t xml:space="preserve"> </w:t>
      </w:r>
      <w:r>
        <w:t xml:space="preserve">contour’s right end is cut by the data edge - censored, not</w:t>
      </w:r>
      <w:r>
        <w:t xml:space="preserve"> </w:t>
      </w:r>
      <w:r>
        <w:t xml:space="preserve">wall-terminated. South Korea, the panel’s extreme case, is included for</w:t>
      </w:r>
      <w:r>
        <w:t xml:space="preserve"> </w:t>
      </w:r>
      <w:r>
        <w:t xml:space="preserve">comparison. Script:</w:t>
      </w:r>
      <w:r>
        <w:t xml:space="preserve"> </w:t>
      </w:r>
      <w:r>
        <w:rPr>
          <w:rStyle w:val="VerbatimChar"/>
        </w:rPr>
        <w:t xml:space="preserve">scripts/wall_2026.R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2a"/>
          <w:p>
            <w:pPr>
              <w:pStyle w:val="Compact"/>
              <w:jc w:val="center"/>
            </w:pPr>
            <w:r>
              <w:drawing>
                <wp:inline>
                  <wp:extent cx="5334000" cy="466760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eatured_wall_usa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United States: composite surface with the ANR overdrawn (dotted). The replacement contour climbs toward the boundary but its right end is censored - the verdict on the 1985+ cohorts is still open.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s2b"/>
          <w:p>
            <w:pPr>
              <w:pStyle w:val="Compact"/>
              <w:jc w:val="center"/>
            </w:pPr>
            <w:r>
              <w:drawing>
                <wp:inline>
                  <wp:extent cx="5334000" cy="4667602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eatured_wall_kor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South Korea: composite surface with the ANR overdrawn (dotted).</w:t>
            </w:r>
          </w:p>
          <w:bookmarkEnd w:id="34"/>
        </w:tc>
      </w:tr>
    </w:tbl>
    <w:bookmarkEnd w:id="35"/>
    <w:bookmarkStart w:id="40" w:name="s3.-per-country-squeeze-trajectories"/>
    <w:p>
      <w:pPr>
        <w:pStyle w:val="Heading1"/>
      </w:pPr>
      <w:r>
        <w:t xml:space="preserve">S3. Per-country squeeze trajectories</w:t>
      </w:r>
    </w:p>
    <w:p>
      <w:pPr>
        <w:pStyle w:val="FirstParagraph"/>
      </w:pPr>
      <w:r>
        <w:t xml:space="preserve">The pooled-median squeeze chart in the main paper</w:t>
      </w:r>
      <w:r>
        <w:t xml:space="preserve"> </w:t>
      </w:r>
      <w:r>
        <w:t xml:space="preserve">summarises 45 per-country trajectories; they are shown in full here.</w:t>
      </w:r>
      <w:r>
        <w:t xml:space="preserve"> </w:t>
      </w:r>
      <w:r>
        <w:t xml:space="preserve">Single-year modal ages are noisy in small populations, and ties are broken</w:t>
      </w:r>
      <w:r>
        <w:t xml:space="preserve"> </w:t>
      </w:r>
      <w:r>
        <w:t xml:space="preserve">to the youngest age (see S8), which is why the per-country panels - not</w:t>
      </w:r>
      <w:r>
        <w:t xml:space="preserve"> </w:t>
      </w:r>
      <w:r>
        <w:t xml:space="preserve">the pooled medians - are the primary output. Derived data:</w:t>
      </w:r>
      <w:r>
        <w:t xml:space="preserve"> </w:t>
      </w:r>
      <w:r>
        <w:rPr>
          <w:rStyle w:val="VerbatimChar"/>
        </w:rPr>
        <w:t xml:space="preserve">data/derived_2026/squeeze_by_country_year.csv</w:t>
      </w:r>
      <w:r>
        <w:t xml:space="preserve">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scripts/squeeze_2026.R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s3"/>
          <w:p>
            <w:pPr>
              <w:pStyle w:val="Compact"/>
              <w:jc w:val="center"/>
            </w:pPr>
            <w:r>
              <w:drawing>
                <wp:inline>
                  <wp:extent cx="5334000" cy="5600474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ures/squeeze_trajectories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004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squeeze by country, 1950-2025: modal age of the fertility schedule (points, shaded by the ASFR at the peak) and the ANR (line).</w:t>
            </w:r>
          </w:p>
          <w:bookmarkEnd w:id="39"/>
        </w:tc>
      </w:tr>
    </w:tbl>
    <w:bookmarkEnd w:id="40"/>
    <w:bookmarkStart w:id="45" w:name="X2cdaaaa0e68f57564f9bee7ddfa5d84d3a2617b"/>
    <w:p>
      <w:pPr>
        <w:pStyle w:val="Heading1"/>
      </w:pPr>
      <w:r>
        <w:t xml:space="preserve">S4. ANR trajectories, sensitivity, and the full last-cohort table</w:t>
      </w:r>
    </w:p>
    <w:p>
      <w:pPr>
        <w:pStyle w:val="FirstParagraph"/>
      </w:pPr>
      <w:r>
        <w:t xml:space="preserve">Per-country ANR trajectories at both thresholds are shown below: the</w:t>
      </w:r>
      <w:r>
        <w:t xml:space="preserve"> </w:t>
      </w:r>
      <w:r>
        <w:t xml:space="preserve">1/1000 boundary sits roughly two years above the primary 1/200 boundary</w:t>
      </w:r>
      <w:r>
        <w:t xml:space="preserve"> </w:t>
      </w:r>
      <w:r>
        <w:t xml:space="preserve">and moves in parallel, so the narrative in the main paper is not sensitive</w:t>
      </w:r>
      <w:r>
        <w:t xml:space="preserve"> </w:t>
      </w:r>
      <w:r>
        <w:t xml:space="preserve">to the choice. Late-fertility mass trajectories (cumulative ASFR at ages</w:t>
      </w:r>
      <w:r>
        <w:t xml:space="preserve"> </w:t>
      </w:r>
      <w:r>
        <w:t xml:space="preserve">40+ and 35+) are in the repository (</w:t>
      </w:r>
      <w:r>
        <w:rPr>
          <w:rStyle w:val="VerbatimChar"/>
        </w:rPr>
        <w:t xml:space="preserve">late_mass_trends.png</w:t>
      </w:r>
      <w:r>
        <w:t xml:space="preserve">). The full</w:t>
      </w:r>
      <w:r>
        <w:t xml:space="preserve"> </w:t>
      </w:r>
      <w:r>
        <w:t xml:space="preserve">45-country version of the main paper’s last-cohort table is at</w:t>
      </w:r>
      <w:r>
        <w:t xml:space="preserve"> </w:t>
      </w:r>
      <w:r>
        <w:rPr>
          <w:rStyle w:val="VerbatimChar"/>
        </w:rPr>
        <w:t xml:space="preserve">data/derived_2026/last_cohort_replacement.csv</w:t>
      </w:r>
      <w:r>
        <w:t xml:space="preserve">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scripts/wall_2026.R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4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ures/wall_trajectories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Effective ANR trajectories by country, 1950-2025: highest age with ASFR at or above 1/200 (solid) and 1/1000 (dashed).</w:t>
            </w:r>
          </w:p>
          <w:bookmarkEnd w:id="44"/>
        </w:tc>
      </w:tr>
    </w:tbl>
    <w:bookmarkEnd w:id="45"/>
    <w:bookmarkStart w:id="47" w:name="X676e9f60383ecbcedcaba57ac70e85702596846"/>
    <w:p>
      <w:pPr>
        <w:pStyle w:val="Heading1"/>
      </w:pPr>
      <w:r>
        <w:t xml:space="preserve">S5. From reading surfaces to testing causes: candidate geometries and their mimics</w:t>
      </w:r>
    </w:p>
    <w:p>
      <w:pPr>
        <w:pStyle w:val="FirstParagraph"/>
      </w:pPr>
      <w:r>
        <w:t xml:space="preserve">This section sets out the reasoning, summarised in the main paper’s</w:t>
      </w:r>
      <w:r>
        <w:t xml:space="preserve"> </w:t>
      </w:r>
      <w:r>
        <w:t xml:space="preserve">Discussion, that connects surface reading to the preregistered protocol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osf.io/j3tbq</w:t>
        </w:r>
      </w:hyperlink>
      <w:r>
        <w:t xml:space="preserve">).</w:t>
      </w:r>
    </w:p>
    <w:p>
      <w:pPr>
        <w:pStyle w:val="BodyText"/>
      </w:pPr>
      <w:r>
        <w:t xml:space="preserve">The candidate explanations for the post-2008 acceleration differ precisely</w:t>
      </w:r>
      <w:r>
        <w:t xml:space="preserve"> </w:t>
      </w:r>
      <w:r>
        <w:t xml:space="preserve">in the surface geometry they imply. A</w:t>
      </w:r>
      <w:r>
        <w:t xml:space="preserve"> </w:t>
      </w:r>
      <w:r>
        <w:rPr>
          <w:i/>
          <w:iCs/>
        </w:rPr>
        <w:t xml:space="preserve">period shock</w:t>
      </w:r>
      <w:r>
        <w:t xml:space="preserve"> </w:t>
      </w:r>
      <w:r>
        <w:t xml:space="preserve">- the 2008 financial</w:t>
      </w:r>
      <w:r>
        <w:t xml:space="preserve"> </w:t>
      </w:r>
      <w:r>
        <w:t xml:space="preserve">crisis and its long shadow</w:t>
      </w:r>
      <w:r>
        <w:t xml:space="preserve"> </w:t>
      </w:r>
      <w:r>
        <w:t xml:space="preserve">(Sobotka et al. 2011; Goldstein et al. 2009)</w:t>
      </w:r>
      <w:r>
        <w:t xml:space="preserve"> </w:t>
      </w:r>
      <w:r>
        <w:t xml:space="preserve">- should appear</w:t>
      </w:r>
      <w:r>
        <w:t xml:space="preserve"> </w:t>
      </w:r>
      <w:r>
        <w:t xml:space="preserve">as a vertical front: fertility falling across all childbearing ages in the</w:t>
      </w:r>
      <w:r>
        <w:t xml:space="preserve"> </w:t>
      </w:r>
      <w:r>
        <w:t xml:space="preserve">same calendar years, with intensity graded by each country’s economic</w:t>
      </w:r>
      <w:r>
        <w:t xml:space="preserve"> </w:t>
      </w:r>
      <w:r>
        <w:t xml:space="preserve">exposure. A</w:t>
      </w:r>
      <w:r>
        <w:t xml:space="preserve"> </w:t>
      </w:r>
      <w:r>
        <w:rPr>
          <w:i/>
          <w:iCs/>
        </w:rPr>
        <w:t xml:space="preserve">diffusion process</w:t>
      </w:r>
      <w:r>
        <w:t xml:space="preserve"> </w:t>
      </w:r>
      <w:r>
        <w:t xml:space="preserve">riding a new communication technology -</w:t>
      </w:r>
      <w:r>
        <w:t xml:space="preserve"> </w:t>
      </w:r>
      <w:r>
        <w:t xml:space="preserve">the smartphone thesis in its behaviourally explicit form</w:t>
      </w:r>
      <w:r>
        <w:t xml:space="preserve"> </w:t>
      </w:r>
      <w:r>
        <w:t xml:space="preserve">(Hudson and Moscoso Boedo 2026; Moscoso Boedo and Hudson 2026; Myers and Hooper 2026; Billari et al. 2019)</w:t>
      </w:r>
      <w:r>
        <w:t xml:space="preserve"> </w:t>
      </w:r>
      <w:r>
        <w:t xml:space="preserve">- should</w:t>
      </w:r>
      <w:r>
        <w:t xml:space="preserve"> </w:t>
      </w:r>
      <w:r>
        <w:t xml:space="preserve">appear, in its simplest young-first variant, as a</w:t>
      </w:r>
      <w:r>
        <w:t xml:space="preserve"> </w:t>
      </w:r>
      <w:r>
        <w:rPr>
          <w:i/>
          <w:iCs/>
        </w:rPr>
        <w:t xml:space="preserve">sloped</w:t>
      </w:r>
      <w:r>
        <w:t xml:space="preserve"> </w:t>
      </w:r>
      <w:r>
        <w:t xml:space="preserve">front: onset</w:t>
      </w:r>
      <w:r>
        <w:t xml:space="preserve"> </w:t>
      </w:r>
      <w:r>
        <w:t xml:space="preserve">earliest at the youngest, most-connected ages and arriving at older ages</w:t>
      </w:r>
      <w:r>
        <w:t xml:space="preserve"> </w:t>
      </w:r>
      <w:r>
        <w:t xml:space="preserve">with a lag, in country after country regardless of development level, as</w:t>
      </w:r>
      <w:r>
        <w:t xml:space="preserve"> </w:t>
      </w:r>
      <w:r>
        <w:t xml:space="preserve">the older diffusion literature would expect of behaviour spreading through</w:t>
      </w:r>
      <w:r>
        <w:t xml:space="preserve"> </w:t>
      </w:r>
      <w:r>
        <w:t xml:space="preserve">communication networks</w:t>
      </w:r>
      <w:r>
        <w:t xml:space="preserve"> </w:t>
      </w:r>
      <w:r>
        <w:t xml:space="preserve">(Bongaarts and Watkins 1996; Casterline 2001; Rosero-Bixby and Casterline 1993)</w:t>
      </w:r>
      <w:r>
        <w:t xml:space="preserve">. A</w:t>
      </w:r>
      <w:r>
        <w:t xml:space="preserve"> </w:t>
      </w:r>
      <w:r>
        <w:rPr>
          <w:i/>
          <w:iCs/>
        </w:rPr>
        <w:t xml:space="preserve">cohort-carried</w:t>
      </w:r>
      <w:r>
        <w:t xml:space="preserve"> </w:t>
      </w:r>
      <w:r>
        <w:t xml:space="preserve">change - new cohorts bringing</w:t>
      </w:r>
      <w:r>
        <w:t xml:space="preserve"> </w:t>
      </w:r>
      <w:r>
        <w:t xml:space="preserve">revised intentions with them as they age through the childbearing years -</w:t>
      </w:r>
      <w:r>
        <w:t xml:space="preserve"> </w:t>
      </w:r>
      <w:r>
        <w:t xml:space="preserve">should travel along the 45-degree diagonal of the Lexis surface.</w:t>
      </w:r>
    </w:p>
    <w:p>
      <w:pPr>
        <w:pStyle w:val="BodyText"/>
      </w:pPr>
      <w:r>
        <w:t xml:space="preserve">The updated panels are suggestive on inspection: post-2008 lightening of</w:t>
      </w:r>
      <w:r>
        <w:t xml:space="preserve"> </w:t>
      </w:r>
      <w:r>
        <w:t xml:space="preserve">the surface is visible at young ages in many countries, including several</w:t>
      </w:r>
      <w:r>
        <w:t xml:space="preserve"> </w:t>
      </w:r>
      <w:r>
        <w:t xml:space="preserve">where the crisis narrative fits poorly. But adjudication by eye fails,</w:t>
      </w:r>
      <w:r>
        <w:t xml:space="preserve"> </w:t>
      </w:r>
      <w:r>
        <w:t xml:space="preserve">for exactly the reason the main paper’s forecast check teaches: unaided</w:t>
      </w:r>
      <w:r>
        <w:t xml:space="preserve"> </w:t>
      </w:r>
      <w:r>
        <w:t xml:space="preserve">surface reading is powerful at generating hypotheses and systematically</w:t>
      </w:r>
      <w:r>
        <w:t xml:space="preserve"> </w:t>
      </w:r>
      <w:r>
        <w:t xml:space="preserve">fallible at extrapolating them. Two specific mimics discipline any</w:t>
      </w:r>
      <w:r>
        <w:t xml:space="preserve"> </w:t>
      </w:r>
      <w:r>
        <w:t xml:space="preserve">reading of the acceleration.</w:t>
      </w:r>
      <w:r>
        <w:t xml:space="preserve"> </w:t>
      </w:r>
      <w:r>
        <w:rPr>
          <w:i/>
          <w:iCs/>
        </w:rPr>
        <w:t xml:space="preserve">Tempo mimicry</w:t>
      </w:r>
      <w:r>
        <w:t xml:space="preserve">: postponement alone moves</w:t>
      </w:r>
      <w:r>
        <w:t xml:space="preserve"> </w:t>
      </w:r>
      <w:r>
        <w:t xml:space="preserve">fertility out of young ages first, so a young-first front can be produced</w:t>
      </w:r>
      <w:r>
        <w:t xml:space="preserve"> </w:t>
      </w:r>
      <w:r>
        <w:t xml:space="preserve">by delay without any quantum change - distinguishing them requires</w:t>
      </w:r>
      <w:r>
        <w:t xml:space="preserve"> </w:t>
      </w:r>
      <w:r>
        <w:t xml:space="preserve">following cohort cumulative milestones, which the CPCFR contours carry.</w:t>
      </w:r>
      <w:r>
        <w:t xml:space="preserve"> </w:t>
      </w:r>
      <w:r>
        <w:rPr>
          <w:i/>
          <w:iCs/>
        </w:rPr>
        <w:t xml:space="preserve">Mean-reversion mimicry</w:t>
      </w:r>
      <w:r>
        <w:t xml:space="preserve">: several countries entered 2008 at the top of a</w:t>
      </w:r>
      <w:r>
        <w:t xml:space="preserve"> </w:t>
      </w:r>
      <w:r>
        <w:t xml:space="preserve">recuperation upswing</w:t>
      </w:r>
      <w:r>
        <w:t xml:space="preserve"> </w:t>
      </w:r>
      <w:r>
        <w:t xml:space="preserve">(Goldstein et al. 2009; Myrskylä et al. 2013)</w:t>
      </w:r>
      <w:r>
        <w:t xml:space="preserve">, so a post-2008</w:t>
      </w:r>
      <w:r>
        <w:t xml:space="preserve"> </w:t>
      </w:r>
      <w:r>
        <w:t xml:space="preserve">“break”</w:t>
      </w:r>
      <w:r>
        <w:t xml:space="preserve"> </w:t>
      </w:r>
      <w:r>
        <w:t xml:space="preserve">can be manufactured by reversion to an older trend. Existing</w:t>
      </w:r>
      <w:r>
        <w:t xml:space="preserve"> </w:t>
      </w:r>
      <w:r>
        <w:t xml:space="preserve">evidence on the digital thesis, moreover, is largely teen-focused or</w:t>
      </w:r>
      <w:r>
        <w:t xml:space="preserve"> </w:t>
      </w:r>
      <w:r>
        <w:t xml:space="preserve">single-country</w:t>
      </w:r>
      <w:r>
        <w:t xml:space="preserve"> </w:t>
      </w:r>
      <w:r>
        <w:t xml:space="preserve">(Guldi and Herbst 2017; Kearney and Levine 2015; Jaeger et al. 2020)</w:t>
      </w:r>
      <w:r>
        <w:t xml:space="preserve">, and the most</w:t>
      </w:r>
      <w:r>
        <w:t xml:space="preserve"> </w:t>
      </w:r>
      <w:r>
        <w:t xml:space="preserve">prominent null for ages 25+ rests on a detrending that removes any effect</w:t>
      </w:r>
      <w:r>
        <w:t xml:space="preserve"> </w:t>
      </w:r>
      <w:r>
        <w:t xml:space="preserve">common to all ages by construction</w:t>
      </w:r>
      <w:r>
        <w:t xml:space="preserve"> </w:t>
      </w:r>
      <w:r>
        <w:t xml:space="preserve">(Moscoso Boedo and Hudson 2026)</w:t>
      </w:r>
      <w:r>
        <w:t xml:space="preserve"> </w:t>
      </w:r>
      <w:r>
        <w:t xml:space="preserve">- so the question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response across the full age range remains open.</w:t>
      </w:r>
    </w:p>
    <w:p>
      <w:pPr>
        <w:pStyle w:val="BodyText"/>
      </w:pPr>
      <w:r>
        <w:t xml:space="preserve">These considerations motivate the preregistered universality test: a</w:t>
      </w:r>
      <w:r>
        <w:t xml:space="preserve"> </w:t>
      </w:r>
      <w:r>
        <w:t xml:space="preserve">global panel (UN World Population Prospects 2024, escaping the</w:t>
      </w:r>
      <w:r>
        <w:t xml:space="preserve"> </w:t>
      </w:r>
      <w:r>
        <w:t xml:space="preserve">rich-country selection of the HFD/HFC), break-date estimation, an</w:t>
      </w:r>
      <w:r>
        <w:t xml:space="preserve"> </w:t>
      </w:r>
      <w:r>
        <w:t xml:space="preserve">age-gradient classification of onset (period-shock versus young-first</w:t>
      </w:r>
      <w:r>
        <w:t xml:space="preserve"> </w:t>
      </w:r>
      <w:r>
        <w:t xml:space="preserve">versus cohort-carried), tempo guards built from CPCFR milestones, and</w:t>
      </w:r>
      <w:r>
        <w:t xml:space="preserve"> </w:t>
      </w:r>
      <w:r>
        <w:t xml:space="preserve">equivalence tests against development gradients. The protocol was frozen</w:t>
      </w:r>
      <w:r>
        <w:t xml:space="preserve"> </w:t>
      </w:r>
      <w:r>
        <w:t xml:space="preserve">and registered publicly on 12 July 2026, before its outcome data were</w:t>
      </w:r>
      <w:r>
        <w:t xml:space="preserve"> </w:t>
      </w:r>
      <w:r>
        <w:t xml:space="preserve">downloaded; the main paper deliberately runs none of its estimators.</w:t>
      </w:r>
    </w:p>
    <w:bookmarkEnd w:id="47"/>
    <w:bookmarkStart w:id="48" w:name="s6.-covid-19-on-the-surfaces"/>
    <w:p>
      <w:pPr>
        <w:pStyle w:val="Heading1"/>
      </w:pPr>
      <w:r>
        <w:t xml:space="preserve">S6. COVID-19 on the surfaces</w:t>
      </w:r>
    </w:p>
    <w:p>
      <w:pPr>
        <w:pStyle w:val="FirstParagraph"/>
      </w:pPr>
      <w:r>
        <w:t xml:space="preserve">COVID-19 arrived on these surfaces as texture, not trend: dips in 2020-21</w:t>
      </w:r>
      <w:r>
        <w:t xml:space="preserve"> </w:t>
      </w:r>
      <w:r>
        <w:t xml:space="preserve">births and partial rebounds in several countries, superimposed on an</w:t>
      </w:r>
      <w:r>
        <w:t xml:space="preserve"> </w:t>
      </w:r>
      <w:r>
        <w:t xml:space="preserve">acceleration that was already a decade old at the pandemic’s onset. The</w:t>
      </w:r>
      <w:r>
        <w:t xml:space="preserve"> </w:t>
      </w:r>
      <w:r>
        <w:t xml:space="preserve">runway quantities (AAPF, ANR, late mass, reachability) move smoothly</w:t>
      </w:r>
      <w:r>
        <w:t xml:space="preserve"> </w:t>
      </w:r>
      <w:r>
        <w:t xml:space="preserve">through the pandemic years in the per-country trajectories of S3 and S4.</w:t>
      </w:r>
      <w:r>
        <w:t xml:space="preserve"> </w:t>
      </w:r>
      <w:r>
        <w:t xml:space="preserve">Whether the pandemic left a persistent mark - or shared causes with the</w:t>
      </w:r>
      <w:r>
        <w:t xml:space="preserve"> </w:t>
      </w:r>
      <w:r>
        <w:t xml:space="preserve">broader decline - is exactly the kind of question the eye cannot settle;</w:t>
      </w:r>
      <w:r>
        <w:t xml:space="preserve"> </w:t>
      </w:r>
      <w:r>
        <w:t xml:space="preserve">the preregistered protocol excludes 2020-24 from its estimation windows</w:t>
      </w:r>
      <w:r>
        <w:t xml:space="preserve"> </w:t>
      </w:r>
      <w:r>
        <w:t xml:space="preserve">and treats pandemic-era displays as exploratory.</w:t>
      </w:r>
    </w:p>
    <w:bookmarkEnd w:id="48"/>
    <w:bookmarkStart w:id="57" w:name="X7187d9bc53c056cb31dcff18deccff5ddd1fc6f"/>
    <w:p>
      <w:pPr>
        <w:pStyle w:val="Heading1"/>
      </w:pPr>
      <w:r>
        <w:t xml:space="preserve">S7. Provenance of the 2020 extrapolations</w:t>
      </w:r>
    </w:p>
    <w:p>
      <w:pPr>
        <w:pStyle w:val="FirstParagraph"/>
      </w:pPr>
      <w:r>
        <w:t xml:space="preserve">The main paper’s forecast-check figure redraws the 2020-era</w:t>
      </w:r>
      <w:r>
        <w:t xml:space="preserve"> </w:t>
      </w:r>
      <w:r>
        <w:t xml:space="preserve">extrapolations onto re-rendered surfaces. The two source artifacts are</w:t>
      </w:r>
      <w:r>
        <w:t xml:space="preserve"> </w:t>
      </w:r>
      <w:r>
        <w:t xml:space="preserve">reproduced here.</w:t>
      </w:r>
    </w:p>
    <w:p>
      <w:pPr>
        <w:pStyle w:val="BodyText"/>
      </w:pPr>
      <w:r>
        <w:t xml:space="preserve">The published Figure 2 of</w:t>
      </w:r>
      <w:r>
        <w:t xml:space="preserve"> </w:t>
      </w:r>
      <w:r>
        <w:t xml:space="preserve">Pattaro et al. (2020)</w:t>
      </w:r>
      <w:r>
        <w:t xml:space="preserve"> </w:t>
      </w:r>
      <w:r>
        <w:t xml:space="preserve">carried pedagogic annotations -</w:t>
      </w:r>
      <w:r>
        <w:t xml:space="preserve"> </w:t>
      </w:r>
      <w:r>
        <w:t xml:space="preserve">including the terminal contour readings</w:t>
      </w:r>
      <w:r>
        <w:t xml:space="preserve"> </w:t>
      </w:r>
      <w:r>
        <w:t xml:space="preserve">“Replacement age 43”</w:t>
      </w:r>
      <w:r>
        <w:t xml:space="preserve"> </w:t>
      </w:r>
      <w:r>
        <w:t xml:space="preserve">(Norway) and</w:t>
      </w:r>
      <w:r>
        <w:t xml:space="preserve"> </w:t>
      </w:r>
      <w:r>
        <w:t xml:space="preserve">“Replacement age 37”</w:t>
      </w:r>
      <w:r>
        <w:t xml:space="preserve"> </w:t>
      </w:r>
      <w:r>
        <w:t xml:space="preserve">(United States) - but no drawn extrapolation lines;</w:t>
      </w:r>
      <w:r>
        <w:t xml:space="preserve"> </w:t>
      </w:r>
      <w:r>
        <w:t xml:space="preserve">the forecasts appear in the published text: the contour</w:t>
      </w:r>
      <w:r>
        <w:t xml:space="preserve"> </w:t>
      </w:r>
      <w:r>
        <w:t xml:space="preserve">“has been trending</w:t>
      </w:r>
      <w:r>
        <w:t xml:space="preserve"> </w:t>
      </w:r>
      <w:r>
        <w:t xml:space="preserve">upwards for Norway but falling for the United States”</w:t>
      </w:r>
      <w:r>
        <w:t xml:space="preserve">;</w:t>
      </w:r>
      <w:r>
        <w:t xml:space="preserve"> </w:t>
      </w:r>
      <w:r>
        <w:t xml:space="preserve">“Norway looks</w:t>
      </w:r>
      <w:r>
        <w:t xml:space="preserve"> </w:t>
      </w:r>
      <w:r>
        <w:t xml:space="preserve">likely to lose replacement fertility levels over the next few years”</w:t>
      </w:r>
      <w:r>
        <w:t xml:space="preserve">;</w:t>
      </w:r>
      <w:r>
        <w:t xml:space="preserve"> </w:t>
      </w:r>
      <w:r>
        <w:t xml:space="preserve">“we might assume that replacement levels will be sustained for longer in</w:t>
      </w:r>
      <w:r>
        <w:t xml:space="preserve"> </w:t>
      </w:r>
      <w:r>
        <w:t xml:space="preserve">the United States”</w:t>
      </w:r>
      <w:r>
        <w:t xml:space="preserve"> </w:t>
      </w:r>
      <w:r>
        <w:t xml:space="preserve">(Pattaro et al. 2020, 699–700)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s7a"/>
          <w:p>
            <w:pPr>
              <w:pStyle w:val="Compact"/>
              <w:jc w:val="center"/>
            </w:pPr>
            <w:r>
              <w:drawing>
                <wp:inline>
                  <wp:extent cx="5334000" cy="47306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igures/pattaro2020_fig2_published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30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Figure 2 of</w:t>
            </w:r>
            <w:r>
              <w:t xml:space="preserve"> </w:t>
            </w:r>
            <w:r>
              <w:t xml:space="preserve">Pattaro et al. (2020)</w:t>
            </w:r>
            <w:r>
              <w:t xml:space="preserve"> </w:t>
            </w:r>
            <w:r>
              <w:t xml:space="preserve">as published (CC BY 3.0 DE): composite fertility lattice plots for Norway and the United States with the original annotations.</w:t>
            </w:r>
          </w:p>
          <w:bookmarkEnd w:id="52"/>
        </w:tc>
      </w:tr>
    </w:tbl>
    <w:p>
      <w:pPr>
        <w:pStyle w:val="BodyText"/>
      </w:pPr>
      <w:r>
        <w:t xml:space="preserve">The extrapolations were drawn explicitly in a pre-publication working</w:t>
      </w:r>
      <w:r>
        <w:t xml:space="preserve"> </w:t>
      </w:r>
      <w:r>
        <w:t xml:space="preserve">version of the figure, publicly timestamped in the project repository in</w:t>
      </w:r>
      <w:r>
        <w:t xml:space="preserve"> </w:t>
      </w:r>
      <w:r>
        <w:t xml:space="preserve">September 2018, as dotted lines labelled</w:t>
      </w:r>
      <w:r>
        <w:t xml:space="preserve"> </w:t>
      </w:r>
      <w:r>
        <w:t xml:space="preserve">“speculative extrapolation of</w:t>
      </w:r>
      <w:r>
        <w:t xml:space="preserve"> </w:t>
      </w:r>
      <w:r>
        <w:t xml:space="preserve">replacement contour”</w:t>
      </w:r>
      <w:r>
        <w:t xml:space="preserve">: rising steeply for Norway; continuing nearly flat,</w:t>
      </w:r>
      <w:r>
        <w:t xml:space="preserve"> </w:t>
      </w:r>
      <w:r>
        <w:t xml:space="preserve">near age 37-38, for the United States. The drawn lines were dropped in</w:t>
      </w:r>
      <w:r>
        <w:t xml:space="preserve"> </w:t>
      </w:r>
      <w:r>
        <w:t xml:space="preserve">revision; the published text retained their verbal equivalents. The</w:t>
      </w:r>
      <w:r>
        <w:t xml:space="preserve"> </w:t>
      </w:r>
      <w:r>
        <w:t xml:space="preserve">working figure uses a draft-era colour palette that differs from the</w:t>
      </w:r>
      <w:r>
        <w:t xml:space="preserve"> </w:t>
      </w:r>
      <w:r>
        <w:t xml:space="preserve">published specification - one reason the main paper re-renders the</w:t>
      </w:r>
      <w:r>
        <w:t xml:space="preserve"> </w:t>
      </w:r>
      <w:r>
        <w:t xml:space="preserve">2020-vintage data (repository tag</w:t>
      </w:r>
      <w:r>
        <w:t xml:space="preserve"> </w:t>
      </w:r>
      <w:r>
        <w:rPr>
          <w:rStyle w:val="VerbatimChar"/>
        </w:rPr>
        <w:t xml:space="preserve">demres-2020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data/data_combined_and_standardised.csv</w:t>
      </w:r>
      <w:r>
        <w:t xml:space="preserve">) in the current specification</w:t>
      </w:r>
      <w:r>
        <w:t xml:space="preserve"> </w:t>
      </w:r>
      <w:r>
        <w:t xml:space="preserve">rather than reproducing this figure in the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s7b"/>
          <w:p>
            <w:pPr>
              <w:pStyle w:val="Compact"/>
              <w:jc w:val="center"/>
            </w:pPr>
            <w:r>
              <w:drawing>
                <wp:inline>
                  <wp:extent cx="5334000" cy="473064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ures/usanor_extrapolation_2018draf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30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Pre-publication working version (project repository, September 2018), with the drawn</w:t>
            </w:r>
            <w:r>
              <w:t xml:space="preserve"> </w:t>
            </w:r>
            <w:r>
              <w:t xml:space="preserve">“speculative extrapolation”</w:t>
            </w:r>
            <w:r>
              <w:t xml:space="preserve"> </w:t>
            </w:r>
            <w:r>
              <w:t xml:space="preserve">lines.</w:t>
            </w:r>
          </w:p>
          <w:bookmarkEnd w:id="56"/>
        </w:tc>
      </w:tr>
    </w:tbl>
    <w:p>
      <w:pPr>
        <w:pStyle w:val="BodyText"/>
      </w:pPr>
      <w:r>
        <w:t xml:space="preserve">Digitized coordinates for the redrawn magenta lines in the main paper’s</w:t>
      </w:r>
      <w:r>
        <w:t xml:space="preserve"> </w:t>
      </w:r>
      <w:r>
        <w:t xml:space="preserve">forecast check are recorded in</w:t>
      </w:r>
      <w:r>
        <w:t xml:space="preserve"> </w:t>
      </w:r>
      <w:r>
        <w:rPr>
          <w:rStyle w:val="VerbatimChar"/>
        </w:rPr>
        <w:t xml:space="preserve">scripts/forecast_check_2x2_2026.R</w:t>
      </w:r>
      <w:r>
        <w:t xml:space="preserve">; they</w:t>
      </w:r>
      <w:r>
        <w:t xml:space="preserve"> </w:t>
      </w:r>
      <w:r>
        <w:t xml:space="preserve">are approximate to the eye against</w:t>
      </w:r>
      <w:r>
        <w:t xml:space="preserve"> </w:t>
      </w:r>
      <w:hyperlink w:anchor="fig-s7b">
        <w:r>
          <w:rPr>
            <w:rStyle w:val="Hyperlink"/>
          </w:rPr>
          <w:t xml:space="preserve">Figure 9</w:t>
        </w:r>
      </w:hyperlink>
      <w:r>
        <w:t xml:space="preserve">.</w:t>
      </w:r>
    </w:p>
    <w:bookmarkEnd w:id="57"/>
    <w:bookmarkStart w:id="62" w:name="s8.-the-vanished-us-plateau"/>
    <w:p>
      <w:pPr>
        <w:pStyle w:val="Heading1"/>
      </w:pPr>
      <w:r>
        <w:t xml:space="preserve">S8. The vanished US plateau</w:t>
      </w:r>
    </w:p>
    <w:p>
      <w:pPr>
        <w:pStyle w:val="FirstParagraph"/>
      </w:pPr>
      <w:r>
        <w:t xml:space="preserve">The United States was historically unusual for a flat-peaked - potentially</w:t>
      </w:r>
      <w:r>
        <w:t xml:space="preserve"> </w:t>
      </w:r>
      <w:r>
        <w:t xml:space="preserve">bimodal, subgroup-mixture - ASFR age profile, which is why the AAPF’s</w:t>
      </w:r>
      <w:r>
        <w:t xml:space="preserve"> </w:t>
      </w:r>
      <w:r>
        <w:t xml:space="preserve">tie-to-youngest rule matters there and why the US is not used as the</w:t>
      </w:r>
      <w:r>
        <w:t xml:space="preserve"> </w:t>
      </w:r>
      <w:r>
        <w:t xml:space="preserve">terrain example in the main paper. Operationalising plateau width as the</w:t>
      </w:r>
      <w:r>
        <w:t xml:space="preserve"> </w:t>
      </w:r>
      <w:r>
        <w:t xml:space="preserve">number of single-year ages whose ASFR is within 90% of that year’s</w:t>
      </w:r>
      <w:r>
        <w:t xml:space="preserve"> </w:t>
      </w:r>
      <w:r>
        <w:t xml:space="preserve">maximum, and calling a country-year a plateau year at width 9 or more:</w:t>
      </w:r>
      <w:r>
        <w:t xml:space="preserve"> </w:t>
      </w:r>
      <w:r>
        <w:t xml:space="preserve">the United States had thirteen plateau years, 1992-2006 - by far the</w:t>
      </w:r>
      <w:r>
        <w:t xml:space="preserve"> </w:t>
      </w:r>
      <w:r>
        <w:t xml:space="preserve">longest run in the panel (the next longest is Albania’s six years in the</w:t>
      </w:r>
      <w:r>
        <w:t xml:space="preserve"> </w:t>
      </w:r>
      <w:r>
        <w:t xml:space="preserve">1950s-60s; only five countries have any). The plateau collapsed from the</w:t>
      </w:r>
      <w:r>
        <w:t xml:space="preserve"> </w:t>
      </w:r>
      <w:r>
        <w:t xml:space="preserve">left after the late 2000s with the teen and early-twenties fertility</w:t>
      </w:r>
      <w:r>
        <w:t xml:space="preserve"> </w:t>
      </w:r>
      <w:r>
        <w:t xml:space="preserve">decline, and by the 2020s the US profile is a conventional late single</w:t>
      </w:r>
      <w:r>
        <w:t xml:space="preserve"> </w:t>
      </w:r>
      <w:r>
        <w:t xml:space="preserve">peak (median width 6, matching its pre-1990 value). Total-schedule</w:t>
      </w:r>
      <w:r>
        <w:t xml:space="preserve"> </w:t>
      </w:r>
      <w:r>
        <w:t xml:space="preserve">analysis cannot distinguish subgroup convergence from early-subgroup</w:t>
      </w:r>
      <w:r>
        <w:t xml:space="preserve"> </w:t>
      </w:r>
      <w:r>
        <w:t xml:space="preserve">collapse; birth-order data would</w:t>
      </w:r>
      <w:r>
        <w:t xml:space="preserve"> </w:t>
      </w:r>
      <w:r>
        <w:t xml:space="preserve">(Zeman et al. 2018)</w:t>
      </w:r>
      <w:r>
        <w:t xml:space="preserve">, and the by-birth-order</w:t>
      </w:r>
      <w:r>
        <w:t xml:space="preserve"> </w:t>
      </w:r>
      <w:r>
        <w:t xml:space="preserve">collections already assembled in the repository are the natural extension.</w:t>
      </w:r>
      <w:r>
        <w:t xml:space="preserve"> </w:t>
      </w:r>
      <w:r>
        <w:t xml:space="preserve">Derived data:</w:t>
      </w:r>
      <w:r>
        <w:t xml:space="preserve"> </w:t>
      </w:r>
      <w:r>
        <w:rPr>
          <w:rStyle w:val="VerbatimChar"/>
        </w:rPr>
        <w:t xml:space="preserve">data/derived_2026/plateau_width_by_country_year.csv</w:t>
      </w:r>
      <w:r>
        <w:t xml:space="preserve">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scripts/us_plateau_2026.R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s8"/>
          <w:p>
            <w:pPr>
              <w:pStyle w:val="Compact"/>
              <w:jc w:val="center"/>
            </w:pPr>
            <w:r>
              <w:drawing>
                <wp:inline>
                  <wp:extent cx="5334000" cy="3556836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ures/us_plateau_width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8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Width of the near-peak age range (ages within 90% of the year’s peak ASFR): United States versus the 45-country median, 1950-2025. Dashed line: the plateau criterion (9 ages).</w:t>
            </w:r>
          </w:p>
          <w:bookmarkEnd w:id="61"/>
        </w:tc>
      </w:tr>
    </w:tbl>
    <w:bookmarkEnd w:id="62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4" w:name="ref-billari2019broadband"/>
    <w:p>
      <w:pPr>
        <w:pStyle w:val="Bibliography"/>
      </w:pPr>
      <w:r>
        <w:t xml:space="preserve">Billari, Francesco C., Osea Giuntella, and Luca Stella. 2019.</w:t>
      </w:r>
      <w:r>
        <w:t xml:space="preserve"> </w:t>
      </w:r>
      <w:r>
        <w:t xml:space="preserve">“Does Broadband Internet Affect Fertility?”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73 (3): 297–316.</w:t>
      </w:r>
      <w:r>
        <w:t xml:space="preserve"> </w:t>
      </w:r>
      <w:hyperlink r:id="rId63">
        <w:r>
          <w:rPr>
            <w:rStyle w:val="Hyperlink"/>
          </w:rPr>
          <w:t xml:space="preserve">https://doi.org/10.1080/00324728.2019.1584327</w:t>
        </w:r>
      </w:hyperlink>
      <w:r>
        <w:t xml:space="preserve">.</w:t>
      </w:r>
    </w:p>
    <w:bookmarkEnd w:id="64"/>
    <w:bookmarkStart w:id="66" w:name="ref-bongaartswatkins1996"/>
    <w:p>
      <w:pPr>
        <w:pStyle w:val="Bibliography"/>
      </w:pPr>
      <w:r>
        <w:t xml:space="preserve">Bongaarts, John, and Susan Cotts Watkins. 1996.</w:t>
      </w:r>
      <w:r>
        <w:t xml:space="preserve"> </w:t>
      </w:r>
      <w:r>
        <w:t xml:space="preserve">“Social Interactions and Contemporary Fertility Transitions.”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 </w:t>
      </w:r>
      <w:r>
        <w:t xml:space="preserve">22 (4): 639–82.</w:t>
      </w:r>
      <w:r>
        <w:t xml:space="preserve"> </w:t>
      </w:r>
      <w:hyperlink r:id="rId65">
        <w:r>
          <w:rPr>
            <w:rStyle w:val="Hyperlink"/>
          </w:rPr>
          <w:t xml:space="preserve">https://doi.org/10.2307/2137804</w:t>
        </w:r>
      </w:hyperlink>
      <w:r>
        <w:t xml:space="preserve">.</w:t>
      </w:r>
    </w:p>
    <w:bookmarkEnd w:id="66"/>
    <w:bookmarkStart w:id="68" w:name="ref-casterline2001"/>
    <w:p>
      <w:pPr>
        <w:pStyle w:val="Bibliography"/>
      </w:pPr>
      <w:r>
        <w:t xml:space="preserve">Casterline, John B., ed. 2001.</w:t>
      </w:r>
      <w:r>
        <w:t xml:space="preserve"> </w:t>
      </w:r>
      <w:r>
        <w:rPr>
          <w:i/>
          <w:iCs/>
        </w:rPr>
        <w:t xml:space="preserve">Diffusion Processes and Fertility Transition: Selected Perspectives</w:t>
      </w:r>
      <w:r>
        <w:t xml:space="preserve">. National Academy Press.</w:t>
      </w:r>
      <w:r>
        <w:t xml:space="preserve"> </w:t>
      </w:r>
      <w:hyperlink r:id="rId67">
        <w:r>
          <w:rPr>
            <w:rStyle w:val="Hyperlink"/>
          </w:rPr>
          <w:t xml:space="preserve">https://doi.org/10.17226/10228</w:t>
        </w:r>
      </w:hyperlink>
      <w:r>
        <w:t xml:space="preserve">.</w:t>
      </w:r>
    </w:p>
    <w:bookmarkEnd w:id="68"/>
    <w:bookmarkStart w:id="69" w:name="ref-goldstein2009"/>
    <w:p>
      <w:pPr>
        <w:pStyle w:val="Bibliography"/>
      </w:pPr>
      <w:r>
        <w:t xml:space="preserve">Goldstein, Joshua R., Tomáš Sobotka, and Aiva Jasilioniene. 2009.</w:t>
      </w:r>
      <w:r>
        <w:t xml:space="preserve"> </w:t>
      </w:r>
      <w:r>
        <w:t xml:space="preserve">“The End of</w:t>
      </w:r>
      <w:r>
        <w:t xml:space="preserve"> </w:t>
      </w:r>
      <w:r>
        <w:t xml:space="preserve">‘Lowest-Low’</w:t>
      </w:r>
      <w:r>
        <w:t xml:space="preserve"> </w:t>
      </w:r>
      <w:r>
        <w:t xml:space="preserve">Fertility?”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 </w:t>
      </w:r>
      <w:r>
        <w:t xml:space="preserve">35 (4): 663–99.</w:t>
      </w:r>
    </w:p>
    <w:bookmarkEnd w:id="69"/>
    <w:bookmarkStart w:id="71" w:name="ref-guldi2017"/>
    <w:p>
      <w:pPr>
        <w:pStyle w:val="Bibliography"/>
      </w:pPr>
      <w:r>
        <w:t xml:space="preserve">Guldi, Melanie, and Chris M. Herbst. 2017.</w:t>
      </w:r>
      <w:r>
        <w:t xml:space="preserve"> </w:t>
      </w:r>
      <w:r>
        <w:t xml:space="preserve">“Offline Effects of Online Connecting: The Impact of Broadband Diffusion on Teen Fertility Decisions.”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 </w:t>
      </w:r>
      <w:r>
        <w:t xml:space="preserve">30 (1): 69–91.</w:t>
      </w:r>
      <w:r>
        <w:t xml:space="preserve"> </w:t>
      </w:r>
      <w:hyperlink r:id="rId70">
        <w:r>
          <w:rPr>
            <w:rStyle w:val="Hyperlink"/>
          </w:rPr>
          <w:t xml:space="preserve">https://doi.org/10.1007/s00148-016-0605-0</w:t>
        </w:r>
      </w:hyperlink>
      <w:r>
        <w:t xml:space="preserve">.</w:t>
      </w:r>
    </w:p>
    <w:bookmarkEnd w:id="71"/>
    <w:bookmarkStart w:id="72" w:name="ref-hudson2026teen"/>
    <w:p>
      <w:pPr>
        <w:pStyle w:val="Bibliography"/>
      </w:pPr>
      <w:r>
        <w:t xml:space="preserve">Hudson, Nathan, and Hernan J. Moscoso Boedo. 2026.</w:t>
      </w:r>
      <w:r>
        <w:t xml:space="preserve"> </w:t>
      </w:r>
      <w:r>
        <w:t xml:space="preserve">“The Collapse of Teen Fertility in the Digital Era.”</w:t>
      </w:r>
      <w:r>
        <w:t xml:space="preserve"> </w:t>
      </w:r>
      <w:r>
        <w:t xml:space="preserve">Unpublished manuscript.</w:t>
      </w:r>
    </w:p>
    <w:bookmarkEnd w:id="72"/>
    <w:bookmarkStart w:id="73" w:name="ref-jaeger2020"/>
    <w:p>
      <w:pPr>
        <w:pStyle w:val="Bibliography"/>
      </w:pPr>
      <w:r>
        <w:t xml:space="preserve">Jaeger, David A., Theodore J. Joyce, and Robert Kaestner. 2020.</w:t>
      </w:r>
      <w:r>
        <w:t xml:space="preserve"> </w:t>
      </w:r>
      <w:r>
        <w:t xml:space="preserve">“A Cautionary Tale of Evaluating Identifying Assumptions: Did Reality</w:t>
      </w:r>
      <w:r>
        <w:t xml:space="preserve"> </w:t>
      </w:r>
      <w:r>
        <w:t xml:space="preserve">TV</w:t>
      </w:r>
      <w:r>
        <w:t xml:space="preserve"> </w:t>
      </w:r>
      <w:r>
        <w:t xml:space="preserve">Really Cause a Decline in Teenage Childbearing?”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38 (2): 317–26.</w:t>
      </w:r>
    </w:p>
    <w:bookmarkEnd w:id="73"/>
    <w:bookmarkStart w:id="75" w:name="ref-kearney2015media"/>
    <w:p>
      <w:pPr>
        <w:pStyle w:val="Bibliography"/>
      </w:pPr>
      <w:r>
        <w:t xml:space="preserve">Kearney, Melissa S., and Phillip B. Levine. 2015.</w:t>
      </w:r>
      <w:r>
        <w:t xml:space="preserve"> </w:t>
      </w:r>
      <w:r>
        <w:t xml:space="preserve">“Media Influences on Social Outcomes: The Impact of</w:t>
      </w:r>
      <w:r>
        <w:t xml:space="preserve"> </w:t>
      </w:r>
      <w:r>
        <w:t xml:space="preserve">MTV</w:t>
      </w:r>
      <w:r>
        <w:t xml:space="preserve">’s 16 and Pregnant on Teen Childbearing.”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105 (12): 3597–632.</w:t>
      </w:r>
      <w:r>
        <w:t xml:space="preserve"> </w:t>
      </w:r>
      <w:hyperlink r:id="rId74">
        <w:r>
          <w:rPr>
            <w:rStyle w:val="Hyperlink"/>
          </w:rPr>
          <w:t xml:space="preserve">https://doi.org/10.1257/aer.20140012</w:t>
        </w:r>
      </w:hyperlink>
      <w:r>
        <w:t xml:space="preserve">.</w:t>
      </w:r>
    </w:p>
    <w:bookmarkEnd w:id="75"/>
    <w:bookmarkStart w:id="76" w:name="ref-moscoso2026wide"/>
    <w:p>
      <w:pPr>
        <w:pStyle w:val="Bibliography"/>
      </w:pPr>
      <w:r>
        <w:t xml:space="preserve">Moscoso Boedo, Hernan J., and Nathan Hudson. 2026.</w:t>
      </w:r>
      <w:r>
        <w:t xml:space="preserve"> </w:t>
      </w:r>
      <w:r>
        <w:t xml:space="preserve">“Wide and Shallow: Digital Technology and the Post-2007 Fertility Decline.”</w:t>
      </w:r>
      <w:r>
        <w:t xml:space="preserve"> </w:t>
      </w:r>
      <w:r>
        <w:t xml:space="preserve">Unpublished manuscript.</w:t>
      </w:r>
    </w:p>
    <w:bookmarkEnd w:id="76"/>
    <w:bookmarkStart w:id="77" w:name="ref-myers2026iphone"/>
    <w:p>
      <w:pPr>
        <w:pStyle w:val="Bibliography"/>
      </w:pPr>
      <w:r>
        <w:t xml:space="preserve">Myers, Caitlin Knowles, and Ezekiel Hooper. 2026.</w:t>
      </w:r>
      <w:r>
        <w:t xml:space="preserve"> </w:t>
      </w:r>
      <w:r>
        <w:t xml:space="preserve">“Is the</w:t>
      </w:r>
      <w:r>
        <w:t xml:space="preserve"> </w:t>
      </w:r>
      <w:r>
        <w:t xml:space="preserve">iPhone</w:t>
      </w:r>
      <w:r>
        <w:t xml:space="preserve"> </w:t>
      </w:r>
      <w:r>
        <w:t xml:space="preserve">Birth Control?</w:t>
      </w:r>
      <w:r>
        <w:t xml:space="preserve"> </w:t>
      </w:r>
      <w:r>
        <w:t xml:space="preserve">Causal</w:t>
      </w:r>
      <w:r>
        <w:t xml:space="preserve"> </w:t>
      </w:r>
      <w:r>
        <w:t xml:space="preserve">Evidence from</w:t>
      </w:r>
      <w:r>
        <w:t xml:space="preserve"> </w:t>
      </w:r>
      <w:r>
        <w:t xml:space="preserve">AT&amp;T</w:t>
      </w:r>
      <w:r>
        <w:t xml:space="preserve">’s 2007–2011 Carrier Monopoly.”</w:t>
      </w:r>
      <w:r>
        <w:t xml:space="preserve"> </w:t>
      </w:r>
      <w:r>
        <w:t xml:space="preserve">Unpublished manuscript.</w:t>
      </w:r>
    </w:p>
    <w:bookmarkEnd w:id="77"/>
    <w:bookmarkStart w:id="78" w:name="ref-myrskyla2013"/>
    <w:p>
      <w:pPr>
        <w:pStyle w:val="Bibliography"/>
      </w:pPr>
      <w:r>
        <w:t xml:space="preserve">Myrskylä, Mikko, Joshua R. Goldstein, and Yen-hsin Alice Cheng. 2013.</w:t>
      </w:r>
      <w:r>
        <w:t xml:space="preserve"> </w:t>
      </w:r>
      <w:r>
        <w:t xml:space="preserve">“New Cohort Fertility Forecasts for the Developed World: Rises, Falls, and Reversals.”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 </w:t>
      </w:r>
      <w:r>
        <w:t xml:space="preserve">39 (1): 31–56.</w:t>
      </w:r>
    </w:p>
    <w:bookmarkEnd w:id="78"/>
    <w:bookmarkStart w:id="80" w:name="ref-pattaro2020"/>
    <w:p>
      <w:pPr>
        <w:pStyle w:val="Bibliography"/>
      </w:pPr>
      <w:r>
        <w:t xml:space="preserve">Pattaro, Serena, Laura Vanderbloemen, and Jon Minton. 2020.</w:t>
      </w:r>
      <w:r>
        <w:t xml:space="preserve"> </w:t>
      </w:r>
      <w:r>
        <w:t xml:space="preserve">“Visualizing Fertility Trends for 45 Countries Using Composite Lattice Plots.”</w:t>
      </w:r>
      <w:r>
        <w:t xml:space="preserve"> </w:t>
      </w:r>
      <w:r>
        <w:rPr>
          <w:i/>
          <w:iCs/>
        </w:rPr>
        <w:t xml:space="preserve">Demographic Research</w:t>
      </w:r>
      <w:r>
        <w:t xml:space="preserve"> </w:t>
      </w:r>
      <w:r>
        <w:t xml:space="preserve">42 (23): 689–712.</w:t>
      </w:r>
      <w:r>
        <w:t xml:space="preserve"> </w:t>
      </w:r>
      <w:hyperlink r:id="rId79">
        <w:r>
          <w:rPr>
            <w:rStyle w:val="Hyperlink"/>
          </w:rPr>
          <w:t xml:space="preserve">https://doi.org/10.4054/DemRes.2020.42.23</w:t>
        </w:r>
      </w:hyperlink>
      <w:r>
        <w:t xml:space="preserve">.</w:t>
      </w:r>
    </w:p>
    <w:bookmarkEnd w:id="80"/>
    <w:bookmarkStart w:id="82" w:name="ref-roserobixby1993"/>
    <w:p>
      <w:pPr>
        <w:pStyle w:val="Bibliography"/>
      </w:pPr>
      <w:r>
        <w:t xml:space="preserve">Rosero-Bixby, Luis, and John B. Casterline. 1993.</w:t>
      </w:r>
      <w:r>
        <w:t xml:space="preserve"> </w:t>
      </w:r>
      <w:r>
        <w:t xml:space="preserve">“Modelling Diffusion Effects in Fertility Transition.”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47 (1): 147–67.</w:t>
      </w:r>
      <w:r>
        <w:t xml:space="preserve"> </w:t>
      </w:r>
      <w:hyperlink r:id="rId81">
        <w:r>
          <w:rPr>
            <w:rStyle w:val="Hyperlink"/>
          </w:rPr>
          <w:t xml:space="preserve">https://doi.org/10.1080/0032472031000146786</w:t>
        </w:r>
      </w:hyperlink>
      <w:r>
        <w:t xml:space="preserve">.</w:t>
      </w:r>
    </w:p>
    <w:bookmarkEnd w:id="82"/>
    <w:bookmarkStart w:id="83" w:name="ref-sobotka2011"/>
    <w:p>
      <w:pPr>
        <w:pStyle w:val="Bibliography"/>
      </w:pPr>
      <w:r>
        <w:t xml:space="preserve">Sobotka, Tomáš, Vegard Skirbekk, and Dimiter Philipov. 2011.</w:t>
      </w:r>
      <w:r>
        <w:t xml:space="preserve"> </w:t>
      </w:r>
      <w:r>
        <w:t xml:space="preserve">“Economic Recession and Fertility in the Developed World.”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 </w:t>
      </w:r>
      <w:r>
        <w:t xml:space="preserve">37 (2): 267–306.</w:t>
      </w:r>
    </w:p>
    <w:bookmarkEnd w:id="83"/>
    <w:bookmarkStart w:id="85" w:name="ref-zeman2018"/>
    <w:p>
      <w:pPr>
        <w:pStyle w:val="Bibliography"/>
      </w:pPr>
      <w:r>
        <w:t xml:space="preserve">Zeman, Krystof, Éva Beaujouan, Zuzanna Brzozowska, and Tomáš Sobotka. 2018.</w:t>
      </w:r>
      <w:r>
        <w:t xml:space="preserve"> </w:t>
      </w:r>
      <w:r>
        <w:t xml:space="preserve">“Cohort Fertility Decline in Low Fertility Countries: Decomposition Using Parity Progression Ratios.”</w:t>
      </w:r>
      <w:r>
        <w:t xml:space="preserve"> </w:t>
      </w:r>
      <w:r>
        <w:rPr>
          <w:i/>
          <w:iCs/>
        </w:rPr>
        <w:t xml:space="preserve">Demographic Research</w:t>
      </w:r>
      <w:r>
        <w:t xml:space="preserve"> </w:t>
      </w:r>
      <w:r>
        <w:t xml:space="preserve">38 (25): 651–90.</w:t>
      </w:r>
      <w:r>
        <w:t xml:space="preserve"> </w:t>
      </w:r>
      <w:hyperlink r:id="rId84">
        <w:r>
          <w:rPr>
            <w:rStyle w:val="Hyperlink"/>
          </w:rPr>
          <w:t xml:space="preserve">https://doi.org/10.4054/DemRes.2018.38.25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666666" w:space="0" w:sz="4" w:val="single"/>
        <w:bottom w:color="666666" w:space="0" w:sz="4" w:val="single"/>
        <w:insideH w:color="666666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6" Target="media/rId36.png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41" Target="media/rId41.png" /><Relationship Type="http://schemas.openxmlformats.org/officeDocument/2006/relationships/hyperlink" Id="rId13" Target="https://datascapes.shinyapps.io/cumulative_fertility_app/" TargetMode="External" /><Relationship Type="http://schemas.openxmlformats.org/officeDocument/2006/relationships/hyperlink" Id="rId70" Target="https://doi.org/10.1007/s00148-016-0605-0" TargetMode="External" /><Relationship Type="http://schemas.openxmlformats.org/officeDocument/2006/relationships/hyperlink" Id="rId81" Target="https://doi.org/10.1080/0032472031000146786" TargetMode="External" /><Relationship Type="http://schemas.openxmlformats.org/officeDocument/2006/relationships/hyperlink" Id="rId63" Target="https://doi.org/10.1080/00324728.2019.1584327" TargetMode="External" /><Relationship Type="http://schemas.openxmlformats.org/officeDocument/2006/relationships/hyperlink" Id="rId74" Target="https://doi.org/10.1257/aer.20140012" TargetMode="External" /><Relationship Type="http://schemas.openxmlformats.org/officeDocument/2006/relationships/hyperlink" Id="rId67" Target="https://doi.org/10.17226/10228" TargetMode="External" /><Relationship Type="http://schemas.openxmlformats.org/officeDocument/2006/relationships/hyperlink" Id="rId65" Target="https://doi.org/10.2307/2137804" TargetMode="External" /><Relationship Type="http://schemas.openxmlformats.org/officeDocument/2006/relationships/hyperlink" Id="rId84" Target="https://doi.org/10.4054/DemRes.2018.38.25" TargetMode="External" /><Relationship Type="http://schemas.openxmlformats.org/officeDocument/2006/relationships/hyperlink" Id="rId79" Target="https://doi.org/10.4054/DemRes.2020.42.23" TargetMode="External" /><Relationship Type="http://schemas.openxmlformats.org/officeDocument/2006/relationships/hyperlink" Id="rId12" Target="https://github.com/JonMinton/comparative_fertility" TargetMode="External" /><Relationship Type="http://schemas.openxmlformats.org/officeDocument/2006/relationships/hyperlink" Id="rId46" Target="https://osf.io/j3tb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atascapes.shinyapps.io/cumulative_fertility_app/" TargetMode="External" /><Relationship Type="http://schemas.openxmlformats.org/officeDocument/2006/relationships/hyperlink" Id="rId70" Target="https://doi.org/10.1007/s00148-016-0605-0" TargetMode="External" /><Relationship Type="http://schemas.openxmlformats.org/officeDocument/2006/relationships/hyperlink" Id="rId81" Target="https://doi.org/10.1080/0032472031000146786" TargetMode="External" /><Relationship Type="http://schemas.openxmlformats.org/officeDocument/2006/relationships/hyperlink" Id="rId63" Target="https://doi.org/10.1080/00324728.2019.1584327" TargetMode="External" /><Relationship Type="http://schemas.openxmlformats.org/officeDocument/2006/relationships/hyperlink" Id="rId74" Target="https://doi.org/10.1257/aer.20140012" TargetMode="External" /><Relationship Type="http://schemas.openxmlformats.org/officeDocument/2006/relationships/hyperlink" Id="rId67" Target="https://doi.org/10.17226/10228" TargetMode="External" /><Relationship Type="http://schemas.openxmlformats.org/officeDocument/2006/relationships/hyperlink" Id="rId65" Target="https://doi.org/10.2307/2137804" TargetMode="External" /><Relationship Type="http://schemas.openxmlformats.org/officeDocument/2006/relationships/hyperlink" Id="rId84" Target="https://doi.org/10.4054/DemRes.2018.38.25" TargetMode="External" /><Relationship Type="http://schemas.openxmlformats.org/officeDocument/2006/relationships/hyperlink" Id="rId79" Target="https://doi.org/10.4054/DemRes.2020.42.23" TargetMode="External" /><Relationship Type="http://schemas.openxmlformats.org/officeDocument/2006/relationships/hyperlink" Id="rId12" Target="https://github.com/JonMinton/comparative_fertility" TargetMode="External" /><Relationship Type="http://schemas.openxmlformats.org/officeDocument/2006/relationships/hyperlink" Id="rId46" Target="https://osf.io/j3tb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Running out of runway: fertility trends for 45 countries revisited - Supplementary materials</dc:title>
  <dc:creator>Jon Minton</dc:creator>
  <cp:keywords/>
  <dcterms:created xsi:type="dcterms:W3CDTF">2026-07-19T14:00:57Z</dcterms:created>
  <dcterms:modified xsi:type="dcterms:W3CDTF">2026-07-19T14:00:57Z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date">
    <vt:lpwstr>2026-07-19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Supplement to the MERGED DRAFT v0.2 (2026-07-19); sections S1-S8</vt:lpwstr>
  </property>
  <property fmtid="{D5CDD505-2E9C-101B-9397-08002B2CF9AE}" pid="15" name="toc-title">
    <vt:lpwstr>Table of contents</vt:lpwstr>
  </property>
</Properties>
</file>