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7.png" ContentType="image/png"/>
  <Override PartName="/word/media/rId27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exceptions collapse: fertility trends for 45 countries revisited</w:t>
      </w:r>
    </w:p>
    <w:p>
      <w:pPr>
        <w:pStyle w:val="Subtitle"/>
      </w:pPr>
      <w:r>
        <w:t xml:space="preserve">DRAFT v0.1 (2026-07-11) — working paper for preprint; not yet reviewed by all listed contributors</w:t>
      </w:r>
    </w:p>
    <w:p>
      <w:pPr>
        <w:pStyle w:val="Author"/>
      </w:pPr>
      <w:r>
        <w:t xml:space="preserve">Jon Minton</w:t>
      </w:r>
    </w:p>
    <w:p>
      <w:pPr>
        <w:pStyle w:val="Date"/>
      </w:pPr>
      <w:r>
        <w:t xml:space="preserve">2026-07-11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BACKGROUND — Pattaro, Vanderbloemen and Minton (2020) found, across 45</w:t>
      </w:r>
      <w:r>
        <w:t xml:space="preserve"> </w:t>
      </w:r>
      <w:r>
        <w:t xml:space="preserve">countries, that once cohorts fell below the replacement milestone (cumulative</w:t>
      </w:r>
      <w:r>
        <w:t xml:space="preserve"> </w:t>
      </w:r>
      <w:r>
        <w:t xml:space="preserve">pseudo-cohort fertility rate, CPCFR, of 2.05) they tended not to return, with</w:t>
      </w:r>
      <w:r>
        <w:t xml:space="preserve"> </w:t>
      </w:r>
      <w:r>
        <w:t xml:space="preserve">two named exceptions: Norway and the United States. Their data ended in</w:t>
      </w:r>
      <w:r>
        <w:t xml:space="preserve"> </w:t>
      </w:r>
      <w:r>
        <w:t xml:space="preserve">2014–15. OBJECTIVE — To update the 45-country composite lattice plots with</w:t>
      </w:r>
      <w:r>
        <w:t xml:space="preserve"> </w:t>
      </w:r>
      <w:r>
        <w:t xml:space="preserve">Human Fertility Database and Human Fertility Collection data extending to</w:t>
      </w:r>
      <w:r>
        <w:t xml:space="preserve"> </w:t>
      </w:r>
      <w:r>
        <w:t xml:space="preserve">2023–25 and re-examine the exceptions. METHODS — The published combination</w:t>
      </w:r>
      <w:r>
        <w:t xml:space="preserve"> </w:t>
      </w:r>
      <w:r>
        <w:t xml:space="preserve">rules and visual specification are reapplied to the 2026 source releases,</w:t>
      </w:r>
      <w:r>
        <w:t xml:space="preserve"> </w:t>
      </w:r>
      <w:r>
        <w:t xml:space="preserve">with one code-mapping correction restoring France after 2008. RESULTS — Both</w:t>
      </w:r>
      <w:r>
        <w:t xml:space="preserve"> </w:t>
      </w:r>
      <w:r>
        <w:t xml:space="preserve">exceptions have ended or are ending. Norway’s replacement contour, having</w:t>
      </w:r>
      <w:r>
        <w:t xml:space="preserve"> </w:t>
      </w:r>
      <w:r>
        <w:t xml:space="preserve">returned for cohorts born 1958–68, escapes vertically for cohorts born after</w:t>
      </w:r>
      <w:r>
        <w:t xml:space="preserve"> </w:t>
      </w:r>
      <w:r>
        <w:t xml:space="preserve">~1972. The United States’ exception persisted longer than its period</w:t>
      </w:r>
      <w:r>
        <w:t xml:space="preserve"> </w:t>
      </w:r>
      <w:r>
        <w:t xml:space="preserve">collapse suggests — cohorts born 1982–84 crossed 2.05 at ages 39–40 — and is</w:t>
      </w:r>
      <w:r>
        <w:t xml:space="preserve"> </w:t>
      </w:r>
      <w:r>
        <w:t xml:space="preserve">fading in the still-censored cohorts beyond. Across the panel, 43 of 45</w:t>
      </w:r>
      <w:r>
        <w:t xml:space="preserve"> </w:t>
      </w:r>
      <w:r>
        <w:t xml:space="preserve">countries now have post-war cohorts observed beyond age 44 that never</w:t>
      </w:r>
      <w:r>
        <w:t xml:space="preserve"> </w:t>
      </w:r>
      <w:r>
        <w:t xml:space="preserve">reached replacement. CONCLUSIONS — A decade of new data strengthens the 2020</w:t>
      </w:r>
      <w:r>
        <w:t xml:space="preserve"> </w:t>
      </w:r>
      <w:r>
        <w:t xml:space="preserve">regularity at the cost of both its exceptions; the geometry of the contour</w:t>
      </w:r>
      <w:r>
        <w:t xml:space="preserve"> </w:t>
      </w:r>
      <w:r>
        <w:t xml:space="preserve">escapes points to a structural ceiling developed in a companion paper.</w:t>
      </w:r>
    </w:p>
    <w:p>
      <w:pPr>
        <w:pStyle w:val="BlockText"/>
      </w:pPr>
      <w:r>
        <w:rPr>
          <w:b/>
          <w:bCs/>
        </w:rPr>
        <w:t xml:space="preserve">FOR REVIEWERS (Word copy).</w:t>
      </w:r>
      <w:r>
        <w:t xml:space="preserve"> </w:t>
      </w:r>
      <w:r>
        <w:t xml:space="preserve">Please comment using Word’s</w:t>
      </w:r>
      <w:r>
        <w:t xml:space="preserve"> </w:t>
      </w:r>
      <w:r>
        <w:rPr>
          <w:i/>
          <w:iCs/>
        </w:rPr>
        <w:t xml:space="preserve">Comments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Track Changes</w:t>
      </w:r>
      <w:r>
        <w:t xml:space="preserve"> </w:t>
      </w:r>
      <w:r>
        <w:t xml:space="preserve">features — do not edit silently. Return the file to</w:t>
      </w:r>
      <w:r>
        <w:t xml:space="preserve"> </w:t>
      </w:r>
      <w:hyperlink r:id="rId9">
        <w:r>
          <w:rPr>
            <w:rStyle w:val="Hyperlink"/>
          </w:rPr>
          <w:t xml:space="preserve">jon.will.minton@gmail.com</w:t>
        </w:r>
      </w:hyperlink>
      <w:r>
        <w:t xml:space="preserve">. Comments will be logged in the project’s public</w:t>
      </w:r>
      <w:r>
        <w:t xml:space="preserve"> </w:t>
      </w:r>
      <w:r>
        <w:t xml:space="preserve">feedback register (</w:t>
      </w:r>
      <w:r>
        <w:rPr>
          <w:rStyle w:val="VerbatimChar"/>
        </w:rPr>
        <w:t xml:space="preserve">manuscript_2026/review/FEEDBACK.md</w:t>
      </w:r>
      <w:r>
        <w:t xml:space="preserve"> </w:t>
      </w:r>
      <w:r>
        <w:t xml:space="preserve">on GitHub), actioned,</w:t>
      </w:r>
      <w:r>
        <w:t xml:space="preserve"> </w:t>
      </w:r>
      <w:r>
        <w:t xml:space="preserve">and credited; substantive contributions meeting authorship criteria are</w:t>
      </w:r>
      <w:r>
        <w:t xml:space="preserve"> </w:t>
      </w:r>
      <w:r>
        <w:t xml:space="preserve">recognized with co-authorship in later preprint versions. This is v0.1,</w:t>
      </w:r>
      <w:r>
        <w:t xml:space="preserve"> </w:t>
      </w:r>
      <w:r>
        <w:t xml:space="preserve">corresponding to SocArXiv preprint version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Draft status.</w:t>
            </w:r>
            <w:r>
              <w:t xml:space="preserve"> </w:t>
            </w:r>
            <w:r>
              <w:t xml:space="preserve">This is an early working version posted for open comment; the</w:t>
            </w:r>
            <w:r>
              <w:t xml:space="preserve"> </w:t>
            </w:r>
            <w:r>
              <w:t xml:space="preserve">analysis is reproducible from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https://github.com/JonMinton/Comparative_Fertility</w:t>
              </w:r>
            </w:hyperlink>
            <w:r>
              <w:t xml:space="preserve"> </w:t>
            </w:r>
            <w:r>
              <w:t xml:space="preserve">(see</w:t>
            </w:r>
            <w:r>
              <w:t xml:space="preserve"> </w:t>
            </w:r>
            <w:r>
              <w:rPr>
                <w:rStyle w:val="VerbatimChar"/>
              </w:rPr>
              <w:t xml:space="preserve">UPDATE_WORKPLAN.md</w:t>
            </w:r>
            <w:r>
              <w:t xml:space="preserve"> </w:t>
            </w:r>
            <w:r>
              <w:t xml:space="preserve">there for the decision log). Figures and numbers are</w:t>
            </w:r>
            <w:r>
              <w:t xml:space="preserve"> </w:t>
            </w:r>
            <w:r>
              <w:t xml:space="preserve">machine-generated from the pipeline described in Methods. Comments welcome —</w:t>
            </w:r>
            <w:r>
              <w:t xml:space="preserve"> </w:t>
            </w:r>
            <w:r>
              <w:t xml:space="preserve">and contributions meeting authorship criteria will be recognized with</w:t>
            </w:r>
            <w:r>
              <w:t xml:space="preserve"> </w:t>
            </w:r>
            <w:r>
              <w:t xml:space="preserve">co-authorship in later versions. This update builds on</w:t>
            </w:r>
            <w:r>
              <w:t xml:space="preserve"> </w:t>
            </w:r>
            <w:r>
              <w:t xml:space="preserve">Pattaro et al. (2020)</w:t>
            </w:r>
            <w:r>
              <w:t xml:space="preserve">, co-authored</w:t>
            </w:r>
            <w:r>
              <w:t xml:space="preserve"> </w:t>
            </w:r>
            <w:r>
              <w:t xml:space="preserve">with Serena Pattaro and Laura Vanderbloemen, who are warmly invited to rejoin.</w:t>
            </w:r>
          </w:p>
          <w:p/>
        </w:tc>
      </w:tr>
    </w:tbl>
    <w:bookmarkStart w:id="14" w:name="background"/>
    <w:p>
      <w:pPr>
        <w:pStyle w:val="Heading1"/>
      </w:pPr>
      <w:r>
        <w:t xml:space="preserve">Background</w:t>
      </w:r>
    </w:p>
    <w:p>
      <w:pPr>
        <w:pStyle w:val="FirstParagraph"/>
      </w:pPr>
      <w:r>
        <w:t xml:space="preserve">Using data from the Human Fertility Database (HFD) and Human Fertility</w:t>
      </w:r>
      <w:r>
        <w:t xml:space="preserve"> </w:t>
      </w:r>
      <w:r>
        <w:t xml:space="preserve">Collection (HFC) ending in 2014–15,</w:t>
      </w:r>
      <w:r>
        <w:t xml:space="preserve"> </w:t>
      </w:r>
      <w:r>
        <w:t xml:space="preserve">Pattaro et al. (2020)</w:t>
      </w:r>
      <w:r>
        <w:t xml:space="preserve"> </w:t>
      </w:r>
      <w:r>
        <w:t xml:space="preserve">introduced composite lattice</w:t>
      </w:r>
      <w:r>
        <w:t xml:space="preserve"> </w:t>
      </w:r>
      <w:r>
        <w:t xml:space="preserve">plots — Lexis surfaces combining level-plot shading of age-specific fertility</w:t>
      </w:r>
      <w:r>
        <w:t xml:space="preserve"> </w:t>
      </w:r>
      <w:r>
        <w:t xml:space="preserve">rates (ASFRs) with contour lines marking cumulative pseudo-cohort fertility</w:t>
      </w:r>
      <w:r>
        <w:t xml:space="preserve"> </w:t>
      </w:r>
      <w:r>
        <w:t xml:space="preserve">rate (CPCFR) milestones — and reported a striking regularity across 45</w:t>
      </w:r>
      <w:r>
        <w:t xml:space="preserve"> </w:t>
      </w:r>
      <w:r>
        <w:t xml:space="preserve">countries: once a country’s cohorts fell below the replacement milestone</w:t>
      </w:r>
      <w:r>
        <w:t xml:space="preserve"> </w:t>
      </w:r>
      <w:r>
        <w:t xml:space="preserve">(CPCFR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2.05), they tended not to return to it. Two exceptions were named:</w:t>
      </w:r>
      <w:r>
        <w:t xml:space="preserve"> </w:t>
      </w:r>
      <w:r>
        <w:t xml:space="preserve">Norway, where cohorts born after the 1950s regained replacement, and the United</w:t>
      </w:r>
      <w:r>
        <w:t xml:space="preserve"> </w:t>
      </w:r>
      <w:r>
        <w:t xml:space="preserve">States, for cohorts born after the late 1960s.</w:t>
      </w:r>
    </w:p>
    <w:p>
      <w:pPr>
        <w:pStyle w:val="BodyText"/>
      </w:pPr>
      <w:r>
        <w:t xml:space="preserve">A decade of new data has since accumulated, covering the years in which</w:t>
      </w:r>
      <w:r>
        <w:t xml:space="preserve"> </w:t>
      </w:r>
      <w:r>
        <w:t xml:space="preserve">period fertility fell to record lows across the Nordic countries</w:t>
      </w:r>
      <w:r>
        <w:t xml:space="preserve"> </w:t>
      </w:r>
      <w:r>
        <w:t xml:space="preserve">(Comolli et al. 2021; Hellstrand et al. 2020)</w:t>
      </w:r>
      <w:r>
        <w:t xml:space="preserve">, the United States</w:t>
      </w:r>
      <w:r>
        <w:t xml:space="preserve"> </w:t>
      </w:r>
      <w:r>
        <w:t xml:space="preserve">(Kearney et al. 2022)</w:t>
      </w:r>
      <w:r>
        <w:t xml:space="preserve">, and East</w:t>
      </w:r>
      <w:r>
        <w:t xml:space="preserve"> </w:t>
      </w:r>
      <w:r>
        <w:t xml:space="preserve">Asia</w:t>
      </w:r>
      <w:r>
        <w:t xml:space="preserve"> </w:t>
      </w:r>
      <w:r>
        <w:t xml:space="preserve">(Yoo and Sobotka 2018)</w:t>
      </w:r>
      <w:r>
        <w:t xml:space="preserve">.</w:t>
      </w:r>
    </w:p>
    <w:bookmarkEnd w:id="14"/>
    <w:bookmarkStart w:id="15" w:name="objective"/>
    <w:p>
      <w:pPr>
        <w:pStyle w:val="Heading1"/>
      </w:pPr>
      <w:r>
        <w:t xml:space="preserve">Objective</w:t>
      </w:r>
    </w:p>
    <w:p>
      <w:pPr>
        <w:pStyle w:val="FirstParagraph"/>
      </w:pPr>
      <w:r>
        <w:t xml:space="preserve">To update the 45-country composite lattice plots with HFD and HFC data</w:t>
      </w:r>
      <w:r>
        <w:t xml:space="preserve"> </w:t>
      </w:r>
      <w:r>
        <w:t xml:space="preserve">extending to 2023–25, and to re-examine the status of the two named</w:t>
      </w:r>
      <w:r>
        <w:t xml:space="preserve"> </w:t>
      </w:r>
      <w:r>
        <w:t xml:space="preserve">exceptions.</w:t>
      </w:r>
    </w:p>
    <w:bookmarkEnd w:id="15"/>
    <w:bookmarkStart w:id="16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We reapply the combination rules of</w:t>
      </w:r>
      <w:r>
        <w:t xml:space="preserve"> </w:t>
      </w:r>
      <w:r>
        <w:t xml:space="preserve">Pattaro et al. (2020)</w:t>
      </w:r>
      <w:r>
        <w:t xml:space="preserve"> </w:t>
      </w:r>
      <w:r>
        <w:t xml:space="preserve">to the current HFD</w:t>
      </w:r>
      <w:r>
        <w:t xml:space="preserve"> </w:t>
      </w:r>
      <w:r>
        <w:t xml:space="preserve">(Max Planck Institute for Demographic Research (Germany) and Vienna Institute of Demography (Austria) 2026b)</w:t>
      </w:r>
      <w:r>
        <w:t xml:space="preserve"> </w:t>
      </w:r>
      <w:r>
        <w:t xml:space="preserve">and HFC</w:t>
      </w:r>
      <w:r>
        <w:t xml:space="preserve"> </w:t>
      </w:r>
      <w:r>
        <w:t xml:space="preserve">(Max Planck Institute for Demographic Research (Germany) and Vienna Institute of Demography (Austria) 2026a)</w:t>
      </w:r>
      <w:r>
        <w:t xml:space="preserve"> </w:t>
      </w:r>
      <w:r>
        <w:t xml:space="preserve">releases: HFD is preferred over HFC for any</w:t>
      </w:r>
      <w:r>
        <w:t xml:space="preserve"> </w:t>
      </w:r>
      <w:r>
        <w:t xml:space="preserve">country-year; within the HFC, single-year periods with age in completed years</w:t>
      </w:r>
      <w:r>
        <w:t xml:space="preserve"> </w:t>
      </w:r>
      <w:r>
        <w:t xml:space="preserve">are retained under the collection preference STAT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ODE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RE; small</w:t>
      </w:r>
      <w:r>
        <w:t xml:space="preserve"> </w:t>
      </w:r>
      <w:r>
        <w:t xml:space="preserve">internal gaps (at most four years) are linearly interpolated and flagged. The</w:t>
      </w:r>
      <w:r>
        <w:t xml:space="preserve"> </w:t>
      </w:r>
      <w:r>
        <w:t xml:space="preserve">updated panel spans 1850–2025 (51 populations before the published</w:t>
      </w:r>
      <w:r>
        <w:t xml:space="preserve"> </w:t>
      </w:r>
      <w:r>
        <w:t xml:space="preserve">exclusions; the same 45-country panel after them). One correction to the 2016</w:t>
      </w:r>
      <w:r>
        <w:t xml:space="preserve"> </w:t>
      </w:r>
      <w:r>
        <w:t xml:space="preserve">build is applied: HFD’s France series (code FRATNP) was previously dropped by</w:t>
      </w:r>
      <w:r>
        <w:t xml:space="preserve"> </w:t>
      </w:r>
      <w:r>
        <w:t xml:space="preserve">an unmapped country code, so the published figures showed France ending in</w:t>
      </w:r>
      <w:r>
        <w:t xml:space="preserve"> </w:t>
      </w:r>
      <w:r>
        <w:t xml:space="preserve">2008; the updated build restores France to 2023. A back-revision audit against</w:t>
      </w:r>
      <w:r>
        <w:t xml:space="preserve"> </w:t>
      </w:r>
      <w:r>
        <w:t xml:space="preserve">the 2016 dataset is included in the repository; the largest differences</w:t>
      </w:r>
      <w:r>
        <w:t xml:space="preserve"> </w:t>
      </w:r>
      <w:r>
        <w:t xml:space="preserve">(Ireland, Spain, Denmark) reflect HFD’s own revisions of historical exposures.</w:t>
      </w:r>
      <w:r>
        <w:t xml:space="preserve"> </w:t>
      </w:r>
      <w:r>
        <w:t xml:space="preserve">A consequence worth stating plainly: the 2020 findings remain reproducible from</w:t>
      </w:r>
      <w:r>
        <w:t xml:space="preserve"> </w:t>
      </w:r>
      <w:r>
        <w:t xml:space="preserve">the dataset frozen in the repository, but they are not exactly replicable from</w:t>
      </w:r>
      <w:r>
        <w:t xml:space="preserve"> </w:t>
      </w:r>
      <w:r>
        <w:t xml:space="preserve">fresh source downloads, because the source databases have themselves been</w:t>
      </w:r>
      <w:r>
        <w:t xml:space="preserve"> </w:t>
      </w:r>
      <w:r>
        <w:t xml:space="preserve">revised — an inherent property of living data infrastructures, and part of</w:t>
      </w:r>
      <w:r>
        <w:t xml:space="preserve"> </w:t>
      </w:r>
      <w:r>
        <w:t xml:space="preserve">the motivation for periodic updates of this kind.</w:t>
      </w:r>
    </w:p>
    <w:p>
      <w:pPr>
        <w:pStyle w:val="BodyText"/>
      </w:pPr>
      <w:r>
        <w:t xml:space="preserve">All figures use the published visual specification: viridis (reversed)</w:t>
      </w:r>
      <w:r>
        <w:t xml:space="preserve"> </w:t>
      </w:r>
      <w:r>
        <w:t xml:space="preserve">level-plot shading of ASFR on birth-year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age panels, solid contours at</w:t>
      </w:r>
      <w:r>
        <w:t xml:space="preserve"> </w:t>
      </w:r>
      <w:r>
        <w:t xml:space="preserve">CPCFR = 2.05 and 1.50, years 1950 onward, ages up to 50, and countries ordered</w:t>
      </w:r>
      <w:r>
        <w:t xml:space="preserve"> </w:t>
      </w:r>
      <w:r>
        <w:t xml:space="preserve">by CPCFR at 2007, the ranking year of the published figures</w:t>
      </w:r>
      <w:r>
        <w:t xml:space="preserve"> </w:t>
      </w:r>
      <w:r>
        <w:t xml:space="preserve">(Sarkar 2008; Garnier 2018)</w:t>
      </w:r>
      <w:r>
        <w:t xml:space="preserve">.</w:t>
      </w:r>
    </w:p>
    <w:bookmarkEnd w:id="16"/>
    <w:bookmarkStart w:id="32" w:name="results"/>
    <w:p>
      <w:pPr>
        <w:pStyle w:val="Heading1"/>
      </w:pPr>
      <w:r>
        <w:t xml:space="preserve">Results</w:t>
      </w:r>
    </w:p>
    <w:bookmarkStart w:id="21" w:name="norway"/>
    <w:p>
      <w:pPr>
        <w:pStyle w:val="Heading2"/>
      </w:pPr>
      <w:r>
        <w:t xml:space="preserve">Norway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norway"/>
          <w:p>
            <w:pPr>
              <w:pStyle w:val="Compact"/>
              <w:jc w:val="center"/>
            </w:pPr>
            <w:r>
              <w:drawing>
                <wp:inline>
                  <wp:extent cx="5334000" cy="4667602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figures/norway_only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Norway: ASFR surface with CPCFR contours at 2.05 (heavy) and 1.50 (light), cohorts observed to 2024.</w:t>
            </w:r>
          </w:p>
          <w:bookmarkEnd w:id="20"/>
        </w:tc>
      </w:tr>
    </w:tbl>
    <w:p>
      <w:pPr>
        <w:pStyle w:val="BodyText"/>
      </w:pPr>
      <w:r>
        <w:t xml:space="preserve">The updated Norway panel (</w:t>
      </w:r>
      <w:hyperlink w:anchor="fig-norway">
        <w:r>
          <w:rPr>
            <w:rStyle w:val="Hyperlink"/>
          </w:rPr>
          <w:t xml:space="preserve">Figure 1</w:t>
        </w:r>
      </w:hyperlink>
      <w:r>
        <w:t xml:space="preserve">) now shows a complete arc. The 2.05</w:t>
      </w:r>
      <w:r>
        <w:t xml:space="preserve"> </w:t>
      </w:r>
      <w:r>
        <w:t xml:space="preserve">contour climbs steeply — effectively vertically — for cohorts born around</w:t>
      </w:r>
      <w:r>
        <w:t xml:space="preserve"> </w:t>
      </w:r>
      <w:r>
        <w:t xml:space="preserve">1950; returns to the surface at around age 40 for cohorts born 1958–68, the</w:t>
      </w:r>
      <w:r>
        <w:t xml:space="preserve"> </w:t>
      </w:r>
      <w:r>
        <w:t xml:space="preserve">recovery that made Norway the 2020 paper’s leading exception</w:t>
      </w:r>
      <w:r>
        <w:t xml:space="preserve"> </w:t>
      </w:r>
      <w:r>
        <w:t xml:space="preserve">(Kravdal 2016)</w:t>
      </w:r>
      <w:r>
        <w:t xml:space="preserve">;</w:t>
      </w:r>
      <w:r>
        <w:t xml:space="preserve"> </w:t>
      </w:r>
      <w:r>
        <w:t xml:space="preserve">and then escapes vertically a second time for cohorts born after</w:t>
      </w:r>
      <w:r>
        <w:t xml:space="preserve"> </w:t>
      </w:r>
      <w:r>
        <w:t xml:space="preserve">approximately 1972. On current data no Norwegian cohort born after 1971</w:t>
      </w:r>
      <w:r>
        <w:t xml:space="preserve"> </w:t>
      </w:r>
      <w:r>
        <w:t xml:space="preserve">reaches replacement at any observed age. The 1.50 contour drifts steadily</w:t>
      </w:r>
      <w:r>
        <w:t xml:space="preserve"> </w:t>
      </w:r>
      <w:r>
        <w:t xml:space="preserve">upward, reaching roughly age 36 for cohorts born in the late 1980s before</w:t>
      </w:r>
      <w:r>
        <w:t xml:space="preserve"> </w:t>
      </w:r>
      <w:r>
        <w:t xml:space="preserve">censoring. Norway’s period TFR fell from 1.98 in 2009 to 1.40 in 2023, a</w:t>
      </w:r>
      <w:r>
        <w:t xml:space="preserve"> </w:t>
      </w:r>
      <w:r>
        <w:t xml:space="preserve">record low</w:t>
      </w:r>
      <w:r>
        <w:t xml:space="preserve"> </w:t>
      </w:r>
      <w:r>
        <w:t xml:space="preserve">(Max Planck Institute for Demographic Research (Germany) and Vienna Institute of Demography (Austria) 2026b)</w:t>
      </w:r>
      <w:r>
        <w:t xml:space="preserve">.</w:t>
      </w:r>
    </w:p>
    <w:bookmarkEnd w:id="21"/>
    <w:bookmarkStart w:id="26" w:name="united-states"/>
    <w:p>
      <w:pPr>
        <w:pStyle w:val="Heading2"/>
      </w:pPr>
      <w:r>
        <w:t xml:space="preserve">United States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usa"/>
          <w:p>
            <w:pPr>
              <w:pStyle w:val="Compact"/>
              <w:jc w:val="center"/>
            </w:pPr>
            <w:r>
              <w:drawing>
                <wp:inline>
                  <wp:extent cx="5334000" cy="466760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figures/usa_only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United States: ASFR surface with CPCFR contours at 2.05 (heavy) and 1.50 (light), cohorts observed to 2024.</w:t>
            </w:r>
          </w:p>
          <w:bookmarkEnd w:id="25"/>
        </w:tc>
      </w:tr>
    </w:tbl>
    <w:p>
      <w:pPr>
        <w:pStyle w:val="BodyText"/>
      </w:pPr>
      <w:r>
        <w:t xml:space="preserve">The United States requires a more careful statement (</w:t>
      </w:r>
      <w:hyperlink w:anchor="fig-usa">
        <w:r>
          <w:rPr>
            <w:rStyle w:val="Hyperlink"/>
          </w:rPr>
          <w:t xml:space="preserve">Figure 2</w:t>
        </w:r>
      </w:hyperlink>
      <w:r>
        <w:t xml:space="preserve">). Its period TFR</w:t>
      </w:r>
      <w:r>
        <w:t xml:space="preserve"> </w:t>
      </w:r>
      <w:r>
        <w:t xml:space="preserve">fell from 2.12 (2007) to 1.59 (2024), a record low. In cohort terms, however, the</w:t>
      </w:r>
      <w:r>
        <w:t xml:space="preserve"> </w:t>
      </w:r>
      <w:r>
        <w:t xml:space="preserve">exception</w:t>
      </w:r>
      <w:r>
        <w:t xml:space="preserve"> </w:t>
      </w:r>
      <w:r>
        <w:rPr>
          <w:i/>
          <w:iCs/>
        </w:rPr>
        <w:t xml:space="preserve">persisted</w:t>
      </w:r>
      <w:r>
        <w:t xml:space="preserve"> </w:t>
      </w:r>
      <w:r>
        <w:t xml:space="preserve">longer than the period collapse suggests: cohorts born</w:t>
      </w:r>
      <w:r>
        <w:t xml:space="preserve"> </w:t>
      </w:r>
      <w:r>
        <w:t xml:space="preserve">1982, 1983 and 1984 all crossed CPCFR = 2.05, at ages 39, 39 and 40</w:t>
      </w:r>
      <w:r>
        <w:t xml:space="preserve"> </w:t>
      </w:r>
      <w:r>
        <w:t xml:space="preserve">respectively, with completed cumulative fertility of 2.14, 2.13 and 2.09. The</w:t>
      </w:r>
      <w:r>
        <w:t xml:space="preserve"> </w:t>
      </w:r>
      <w:r>
        <w:t xml:space="preserve">1985 cohort stood at 2.04 by age 39 (data to 2024) and will plausibly cross;</w:t>
      </w:r>
      <w:r>
        <w:t xml:space="preserve"> </w:t>
      </w:r>
      <w:r>
        <w:t xml:space="preserve">trajectories for cohorts born after the mid-1980s run progressively lower at</w:t>
      </w:r>
      <w:r>
        <w:t xml:space="preserve"> </w:t>
      </w:r>
      <w:r>
        <w:t xml:space="preserve">every age but remain right-censored. The US exception has thus not yet</w:t>
      </w:r>
      <w:r>
        <w:t xml:space="preserve"> </w:t>
      </w:r>
      <w:r>
        <w:t xml:space="preserve">collapsed in cohort terms; it is fading from below, cohort by cohort, exactly</w:t>
      </w:r>
      <w:r>
        <w:t xml:space="preserve"> </w:t>
      </w:r>
      <w:r>
        <w:t xml:space="preserve">as the period-based literature on postponement would predict</w:t>
      </w:r>
      <w:r>
        <w:t xml:space="preserve"> </w:t>
      </w:r>
      <w:r>
        <w:t xml:space="preserve">(Sobotka 2017; Kearney et al. 2022)</w:t>
      </w:r>
      <w:r>
        <w:t xml:space="preserve">.</w:t>
      </w:r>
    </w:p>
    <w:bookmarkEnd w:id="26"/>
    <w:bookmarkStart w:id="31" w:name="the-panel-as-a-whole"/>
    <w:p>
      <w:pPr>
        <w:pStyle w:val="Heading2"/>
      </w:pPr>
      <w:r>
        <w:t xml:space="preserve">The panel as a whole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top15"/>
          <w:p>
            <w:pPr>
              <w:pStyle w:val="Compact"/>
              <w:jc w:val="center"/>
            </w:pPr>
            <w:r>
              <w:drawing>
                <wp:inline>
                  <wp:extent cx="5334000" cy="444541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figures/overall_split_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45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fifteen highest-ranked countries by CPCFR at 2007, updated to 2023–25.</w:t>
            </w:r>
          </w:p>
          <w:bookmarkEnd w:id="30"/>
        </w:tc>
      </w:tr>
    </w:tbl>
    <w:p>
      <w:pPr>
        <w:pStyle w:val="BodyText"/>
      </w:pPr>
      <w:r>
        <w:t xml:space="preserve">Across the full panel, 43 of 45 countries now have post-war cohorts observed</w:t>
      </w:r>
      <w:r>
        <w:t xml:space="preserve"> </w:t>
      </w:r>
      <w:r>
        <w:t xml:space="preserve">beyond age 44 that never reached replacement. Only nine countries have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cohort born in 1970 or later that crossed 2.05 — and the most recent</w:t>
      </w:r>
      <w:r>
        <w:t xml:space="preserve"> </w:t>
      </w:r>
      <w:r>
        <w:t xml:space="preserve">crossing cohorts are: United States 1984, Iceland 1983, Northern Ireland 1981,</w:t>
      </w:r>
      <w:r>
        <w:t xml:space="preserve"> </w:t>
      </w:r>
      <w:r>
        <w:t xml:space="preserve">France 1980, New Zealand 1980. Norway and the United States were therefore</w:t>
      </w:r>
      <w:r>
        <w:t xml:space="preserve"> </w:t>
      </w:r>
      <w:r>
        <w:t xml:space="preserve">never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populations at or above replacement: Iceland, France, New</w:t>
      </w:r>
      <w:r>
        <w:t xml:space="preserve"> </w:t>
      </w:r>
      <w:r>
        <w:t xml:space="preserve">Zealand and Northern Ireland also saw cohorts born around 1980 cross the</w:t>
      </w:r>
      <w:r>
        <w:t xml:space="preserve"> </w:t>
      </w:r>
      <w:r>
        <w:t xml:space="preserve">milestone, as did several south-eastern European populations for cohorts born</w:t>
      </w:r>
      <w:r>
        <w:t xml:space="preserve"> </w:t>
      </w:r>
      <w:r>
        <w:t xml:space="preserve">into the mid-1970s (Macedonia 1974, Albania 1973). What made Norway and the</w:t>
      </w:r>
      <w:r>
        <w:t xml:space="preserve"> </w:t>
      </w:r>
      <w:r>
        <w:t xml:space="preserve">United States the named exceptions of the 2020 paper was narrower: among the</w:t>
      </w:r>
      <w:r>
        <w:t xml:space="preserve"> </w:t>
      </w:r>
      <w:r>
        <w:t xml:space="preserve">notably rich populations of the panel, they were the two whose cohort</w:t>
      </w:r>
      <w:r>
        <w:t xml:space="preserve"> </w:t>
      </w:r>
      <w:r>
        <w:t xml:space="preserve">fertility had</w:t>
      </w:r>
      <w:r>
        <w:t xml:space="preserve"> </w:t>
      </w:r>
      <w:r>
        <w:rPr>
          <w:i/>
          <w:iCs/>
        </w:rPr>
        <w:t xml:space="preserve">recovered</w:t>
      </w:r>
      <w:r>
        <w:t xml:space="preserve"> </w:t>
      </w:r>
      <w:r>
        <w:t xml:space="preserve">to replacement after earlier decline. It is that</w:t>
      </w:r>
      <w:r>
        <w:t xml:space="preserve"> </w:t>
      </w:r>
      <w:r>
        <w:t xml:space="preserve">recovery, specifically, that the new data shows ending. South Korea, newly</w:t>
      </w:r>
      <w:r>
        <w:t xml:space="preserve"> </w:t>
      </w:r>
      <w:r>
        <w:t xml:space="preserve">covered here from 1960 (the 2020 panel’s Korean series ended in 2007), last</w:t>
      </w:r>
      <w:r>
        <w:t xml:space="preserve"> </w:t>
      </w:r>
      <w:r>
        <w:t xml:space="preserve">saw a cohort reach replacement with those born in 1958; its period TFR in</w:t>
      </w:r>
      <w:r>
        <w:t xml:space="preserve"> </w:t>
      </w:r>
      <w:r>
        <w:t xml:space="preserve">2024 was 0.75</w:t>
      </w:r>
      <w:r>
        <w:t xml:space="preserve"> </w:t>
      </w:r>
      <w:r>
        <w:t xml:space="preserve">(Yoo and Sobotka 2018)</w:t>
      </w:r>
      <w:r>
        <w:t xml:space="preserve">.</w:t>
      </w:r>
    </w:p>
    <w:bookmarkEnd w:id="31"/>
    <w:bookmarkEnd w:id="32"/>
    <w:bookmarkStart w:id="35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The 2020 regularity — below replacement, no return — has been strengthened</w:t>
      </w:r>
      <w:r>
        <w:t xml:space="preserve"> </w:t>
      </w:r>
      <w:r>
        <w:t xml:space="preserve">rather than weakened by a decade of data, at the cost of both its named</w:t>
      </w:r>
      <w:r>
        <w:t xml:space="preserve"> </w:t>
      </w:r>
      <w:r>
        <w:t xml:space="preserve">exceptions. Norway’s recovery is now bracketed on both sides by vertical</w:t>
      </w:r>
      <w:r>
        <w:t xml:space="preserve"> </w:t>
      </w:r>
      <w:r>
        <w:t xml:space="preserve">contour escapes; the United States’ recovery survives through cohorts born in</w:t>
      </w:r>
      <w:r>
        <w:t xml:space="preserve"> </w:t>
      </w:r>
      <w:r>
        <w:t xml:space="preserve">the early 1980s and is fading in the censored region beyond. The geometry of</w:t>
      </w:r>
      <w:r>
        <w:t xml:space="preserve"> </w:t>
      </w:r>
      <w:r>
        <w:t xml:space="preserve">these escapes — contours climbing through ages at which little fertility</w:t>
      </w:r>
      <w:r>
        <w:t xml:space="preserve"> </w:t>
      </w:r>
      <w:r>
        <w:t xml:space="preserve">remains — points to a structural constraint on any return to replacement,</w:t>
      </w:r>
      <w:r>
        <w:t xml:space="preserve"> </w:t>
      </w:r>
      <w:r>
        <w:t xml:space="preserve">which we develop in a companion paper on the effective upper boundary of the</w:t>
      </w:r>
      <w:r>
        <w:t xml:space="preserve"> </w:t>
      </w:r>
      <w:r>
        <w:t xml:space="preserve">fertility lifecourse.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Reproducibility and contributions.</w:t>
            </w:r>
            <w:r>
              <w:t xml:space="preserve"> </w:t>
            </w:r>
            <w:r>
              <w:t xml:space="preserve">Code, combined data, validation</w:t>
            </w:r>
            <w:r>
              <w:t xml:space="preserve"> </w:t>
            </w:r>
            <w:r>
              <w:t xml:space="preserve">reports, and this manuscript’s source are public at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https://github.com/JonMinton/Comparative_Fertility</w:t>
              </w:r>
            </w:hyperlink>
            <w:r>
              <w:t xml:space="preserve">. Analytical pipeline and</w:t>
            </w:r>
            <w:r>
              <w:t xml:space="preserve"> </w:t>
            </w:r>
            <w:r>
              <w:t xml:space="preserve">drafting were assisted by Claude (Anthropic); all analyses are re-runnable</w:t>
            </w:r>
            <w:r>
              <w:t xml:space="preserve"> </w:t>
            </w:r>
            <w:r>
              <w:t xml:space="preserve">end-to-end and all numbers in this draft are machine-generated from the</w:t>
            </w:r>
            <w:r>
              <w:t xml:space="preserve"> </w:t>
            </w:r>
            <w:r>
              <w:t xml:space="preserve">pipeline.</w:t>
            </w:r>
            <w:r>
              <w:t xml:space="preserve"> </w:t>
            </w:r>
          </w:p>
          <w:p/>
        </w:tc>
      </w:tr>
    </w:tbl>
    <w:bookmarkEnd w:id="35"/>
    <w:bookmarkStart w:id="55" w:name="references"/>
    <w:p>
      <w:pPr>
        <w:pStyle w:val="Heading1"/>
      </w:pPr>
      <w:r>
        <w:t xml:space="preserve">References</w:t>
      </w:r>
    </w:p>
    <w:bookmarkStart w:id="54" w:name="refs"/>
    <w:bookmarkStart w:id="37" w:name="ref-comolli2021"/>
    <w:p>
      <w:pPr>
        <w:pStyle w:val="Bibliography"/>
      </w:pPr>
      <w:r>
        <w:t xml:space="preserve">Comolli, Chiara L., Gerda Neyer, Gunnar Andersson, et al. 2021.</w:t>
      </w:r>
      <w:r>
        <w:t xml:space="preserve"> </w:t>
      </w:r>
      <w:r>
        <w:t xml:space="preserve">“Beyond the Economic Gaze: Childbearing During and After Recessions in the</w:t>
      </w:r>
      <w:r>
        <w:t xml:space="preserve"> </w:t>
      </w:r>
      <w:r>
        <w:t xml:space="preserve">Nordic</w:t>
      </w:r>
      <w:r>
        <w:t xml:space="preserve"> </w:t>
      </w:r>
      <w:r>
        <w:t xml:space="preserve">Countries.”</w:t>
      </w:r>
      <w:r>
        <w:t xml:space="preserve"> </w:t>
      </w:r>
      <w:r>
        <w:rPr>
          <w:i/>
          <w:iCs/>
        </w:rPr>
        <w:t xml:space="preserve">European Journal of Population</w:t>
      </w:r>
      <w:r>
        <w:t xml:space="preserve"> </w:t>
      </w:r>
      <w:r>
        <w:t xml:space="preserve">37: 473–520.</w:t>
      </w:r>
      <w:r>
        <w:t xml:space="preserve"> </w:t>
      </w:r>
      <w:hyperlink r:id="rId36">
        <w:r>
          <w:rPr>
            <w:rStyle w:val="Hyperlink"/>
          </w:rPr>
          <w:t xml:space="preserve">https://doi.org/10.1007/s10680-020-09570-0</w:t>
        </w:r>
      </w:hyperlink>
      <w:r>
        <w:t xml:space="preserve">.</w:t>
      </w:r>
    </w:p>
    <w:bookmarkEnd w:id="37"/>
    <w:bookmarkStart w:id="38" w:name="ref-garnier2018"/>
    <w:p>
      <w:pPr>
        <w:pStyle w:val="Bibliography"/>
      </w:pPr>
      <w:r>
        <w:t xml:space="preserve">Garnier, Simon. 2018.</w:t>
      </w:r>
      <w:r>
        <w:t xml:space="preserve"> </w:t>
      </w:r>
      <w:r>
        <w:rPr>
          <w:i/>
          <w:iCs/>
        </w:rPr>
        <w:t xml:space="preserve">Viridis: Default Color Maps from</w:t>
      </w:r>
      <w:r>
        <w:rPr>
          <w:i/>
          <w:iCs/>
        </w:rPr>
        <w:t xml:space="preserve"> </w:t>
      </w:r>
      <w:r>
        <w:rPr>
          <w:i/>
          <w:iCs/>
        </w:rPr>
        <w:t xml:space="preserve">“Matplotlib”</w:t>
      </w:r>
      <w:r>
        <w:t xml:space="preserve">.</w:t>
      </w:r>
    </w:p>
    <w:bookmarkEnd w:id="38"/>
    <w:bookmarkStart w:id="40" w:name="ref-hellstrand2020"/>
    <w:p>
      <w:pPr>
        <w:pStyle w:val="Bibliography"/>
      </w:pPr>
      <w:r>
        <w:t xml:space="preserve">Hellstrand, Julia, Jessica Nisén, and Mikko Myrskylä. 2020.</w:t>
      </w:r>
      <w:r>
        <w:t xml:space="preserve"> </w:t>
      </w:r>
      <w:r>
        <w:t xml:space="preserve">“All-Time Low Period Fertility in</w:t>
      </w:r>
      <w:r>
        <w:t xml:space="preserve"> </w:t>
      </w:r>
      <w:r>
        <w:t xml:space="preserve">Finland</w:t>
      </w:r>
      <w:r>
        <w:t xml:space="preserve">: Demographic Drivers, Tempo Effects, and Cohort Implications.”</w:t>
      </w:r>
      <w:r>
        <w:t xml:space="preserve"> </w:t>
      </w:r>
      <w:r>
        <w:rPr>
          <w:i/>
          <w:iCs/>
        </w:rPr>
        <w:t xml:space="preserve">Population Studies</w:t>
      </w:r>
      <w:r>
        <w:t xml:space="preserve"> </w:t>
      </w:r>
      <w:r>
        <w:t xml:space="preserve">74 (3): 315–29.</w:t>
      </w:r>
      <w:r>
        <w:t xml:space="preserve"> </w:t>
      </w:r>
      <w:hyperlink r:id="rId39">
        <w:r>
          <w:rPr>
            <w:rStyle w:val="Hyperlink"/>
          </w:rPr>
          <w:t xml:space="preserve">https://doi.org/10.1080/00324728.2020.1750677</w:t>
        </w:r>
      </w:hyperlink>
      <w:r>
        <w:t xml:space="preserve">.</w:t>
      </w:r>
    </w:p>
    <w:bookmarkEnd w:id="40"/>
    <w:bookmarkStart w:id="42" w:name="ref-kearney2022"/>
    <w:p>
      <w:pPr>
        <w:pStyle w:val="Bibliography"/>
      </w:pPr>
      <w:r>
        <w:t xml:space="preserve">Kearney, Melissa S., Phillip B. Levine, and Luke Pardue. 2022.</w:t>
      </w:r>
      <w:r>
        <w:t xml:space="preserve"> </w:t>
      </w:r>
      <w:r>
        <w:t xml:space="preserve">“The Puzzle of Falling US Birth Rates Since the</w:t>
      </w:r>
      <w:r>
        <w:t xml:space="preserve"> </w:t>
      </w:r>
      <w:r>
        <w:t xml:space="preserve">Great Recession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Economic Perspectives</w:t>
      </w:r>
      <w:r>
        <w:t xml:space="preserve"> </w:t>
      </w:r>
      <w:r>
        <w:t xml:space="preserve">36 (1): 151–76.</w:t>
      </w:r>
      <w:r>
        <w:t xml:space="preserve"> </w:t>
      </w:r>
      <w:hyperlink r:id="rId41">
        <w:r>
          <w:rPr>
            <w:rStyle w:val="Hyperlink"/>
          </w:rPr>
          <w:t xml:space="preserve">https://doi.org/10.1257/jep.36.1.151</w:t>
        </w:r>
      </w:hyperlink>
      <w:r>
        <w:t xml:space="preserve">.</w:t>
      </w:r>
    </w:p>
    <w:bookmarkEnd w:id="42"/>
    <w:bookmarkStart w:id="43" w:name="ref-kravdal2016"/>
    <w:p>
      <w:pPr>
        <w:pStyle w:val="Bibliography"/>
      </w:pPr>
      <w:r>
        <w:t xml:space="preserve">Kravdal, Øystein. 2016.</w:t>
      </w:r>
      <w:r>
        <w:t xml:space="preserve"> </w:t>
      </w:r>
      <w:r>
        <w:t xml:space="preserve">“Not so Low Fertility in</w:t>
      </w:r>
      <w:r>
        <w:t xml:space="preserve"> </w:t>
      </w:r>
      <w:r>
        <w:t xml:space="preserve">Norway</w:t>
      </w:r>
      <w:r>
        <w:t xml:space="preserve">—a Result of Affluence, Liberal Values, Gender-Equality Ideals, and the Welfare State.”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Low Fertility, Institutions, and Their Policies</w:t>
      </w:r>
      <w:r>
        <w:t xml:space="preserve">, edited by Ronald R. Rindfuss and Minja Kim Choe. Springer.</w:t>
      </w:r>
    </w:p>
    <w:bookmarkEnd w:id="43"/>
    <w:bookmarkStart w:id="45" w:name="ref-hfc2026"/>
    <w:p>
      <w:pPr>
        <w:pStyle w:val="Bibliography"/>
      </w:pPr>
      <w:r>
        <w:t xml:space="preserve">Max Planck Institute for Demographic Research (Germany) and Vienna Institute of Demography (Austria). 2026a.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Human Fertility Collection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https://www.fertilitydata.org</w:t>
        </w:r>
      </w:hyperlink>
      <w:r>
        <w:t xml:space="preserve">.</w:t>
      </w:r>
    </w:p>
    <w:bookmarkEnd w:id="45"/>
    <w:bookmarkStart w:id="47" w:name="ref-hfd2026"/>
    <w:p>
      <w:pPr>
        <w:pStyle w:val="Bibliography"/>
      </w:pPr>
      <w:r>
        <w:t xml:space="preserve">Max Planck Institute for Demographic Research (Germany) and Vienna Institute of Demography (Austria). 2026b.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Human Fertility Database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https://www.humanfertility.org</w:t>
        </w:r>
      </w:hyperlink>
      <w:r>
        <w:t xml:space="preserve">.</w:t>
      </w:r>
    </w:p>
    <w:bookmarkEnd w:id="47"/>
    <w:bookmarkStart w:id="49" w:name="ref-pattaro2020"/>
    <w:p>
      <w:pPr>
        <w:pStyle w:val="Bibliography"/>
      </w:pPr>
      <w:r>
        <w:t xml:space="preserve">Pattaro, Serena, Laura Vanderbloemen, and Jon Minton. 2020.</w:t>
      </w:r>
      <w:r>
        <w:t xml:space="preserve"> </w:t>
      </w:r>
      <w:r>
        <w:t xml:space="preserve">“Visualizing Fertility Trends for 45 Countries Using Composite Lattice Plots.”</w:t>
      </w:r>
      <w:r>
        <w:t xml:space="preserve"> </w:t>
      </w:r>
      <w:r>
        <w:rPr>
          <w:i/>
          <w:iCs/>
        </w:rPr>
        <w:t xml:space="preserve">Demographic Research</w:t>
      </w:r>
      <w:r>
        <w:t xml:space="preserve"> </w:t>
      </w:r>
      <w:r>
        <w:t xml:space="preserve">42 (23): 689–712.</w:t>
      </w:r>
      <w:r>
        <w:t xml:space="preserve"> </w:t>
      </w:r>
      <w:hyperlink r:id="rId48">
        <w:r>
          <w:rPr>
            <w:rStyle w:val="Hyperlink"/>
          </w:rPr>
          <w:t xml:space="preserve">https://doi.org/10.4054/DemRes.2020.42.23</w:t>
        </w:r>
      </w:hyperlink>
      <w:r>
        <w:t xml:space="preserve">.</w:t>
      </w:r>
    </w:p>
    <w:bookmarkEnd w:id="49"/>
    <w:bookmarkStart w:id="50" w:name="ref-sarkar2008"/>
    <w:p>
      <w:pPr>
        <w:pStyle w:val="Bibliography"/>
      </w:pPr>
      <w:r>
        <w:t xml:space="preserve">Sarkar, Deepayan. 2008.</w:t>
      </w:r>
      <w:r>
        <w:t xml:space="preserve"> </w:t>
      </w:r>
      <w:r>
        <w:rPr>
          <w:i/>
          <w:iCs/>
        </w:rPr>
        <w:t xml:space="preserve">Lattice: Multivariate Data Visualization with r</w:t>
      </w:r>
      <w:r>
        <w:t xml:space="preserve">. Use r! Springer.</w:t>
      </w:r>
    </w:p>
    <w:bookmarkEnd w:id="50"/>
    <w:bookmarkStart w:id="51" w:name="ref-sobotka2017"/>
    <w:p>
      <w:pPr>
        <w:pStyle w:val="Bibliography"/>
      </w:pPr>
      <w:r>
        <w:t xml:space="preserve">Sobotka, Tomáš. 2017.</w:t>
      </w:r>
      <w:r>
        <w:t xml:space="preserve"> </w:t>
      </w:r>
      <w:r>
        <w:t xml:space="preserve">“Post-Transitional Fertility: The Role of Childbearing Postponement in Fuelling the Shift to Low and Unstable Fertility Levels.”</w:t>
      </w:r>
      <w:r>
        <w:t xml:space="preserve"> </w:t>
      </w:r>
      <w:r>
        <w:rPr>
          <w:i/>
          <w:iCs/>
        </w:rPr>
        <w:t xml:space="preserve">Journal of Biosocial Science</w:t>
      </w:r>
      <w:r>
        <w:t xml:space="preserve"> </w:t>
      </w:r>
      <w:r>
        <w:t xml:space="preserve">49 (S1): S20–45.</w:t>
      </w:r>
    </w:p>
    <w:bookmarkEnd w:id="51"/>
    <w:bookmarkStart w:id="53" w:name="ref-yoo2018"/>
    <w:p>
      <w:pPr>
        <w:pStyle w:val="Bibliography"/>
      </w:pPr>
      <w:r>
        <w:t xml:space="preserve">Yoo, Sam Hyun, and Tomáš Sobotka. 2018.</w:t>
      </w:r>
      <w:r>
        <w:t xml:space="preserve"> </w:t>
      </w:r>
      <w:r>
        <w:t xml:space="preserve">“Ultra-Low Fertility in</w:t>
      </w:r>
      <w:r>
        <w:t xml:space="preserve"> </w:t>
      </w:r>
      <w:r>
        <w:t xml:space="preserve">South Korea</w:t>
      </w:r>
      <w:r>
        <w:t xml:space="preserve">: The Role of the Tempo Effect.”</w:t>
      </w:r>
      <w:r>
        <w:t xml:space="preserve"> </w:t>
      </w:r>
      <w:r>
        <w:rPr>
          <w:i/>
          <w:iCs/>
        </w:rPr>
        <w:t xml:space="preserve">Demographic Research</w:t>
      </w:r>
      <w:r>
        <w:t xml:space="preserve"> </w:t>
      </w:r>
      <w:r>
        <w:t xml:space="preserve">38 (22): 549–76.</w:t>
      </w:r>
      <w:r>
        <w:t xml:space="preserve"> </w:t>
      </w:r>
      <w:hyperlink r:id="rId52">
        <w:r>
          <w:rPr>
            <w:rStyle w:val="Hyperlink"/>
          </w:rPr>
          <w:t xml:space="preserve">https://doi.org/10.4054/DemRes.2018.38.22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7" Target="media/rId17.png" /><Relationship Type="http://schemas.openxmlformats.org/officeDocument/2006/relationships/image" Id="rId27" Target="media/rId27.png" /><Relationship Type="http://schemas.openxmlformats.org/officeDocument/2006/relationships/image" Id="rId22" Target="media/rId22.png" /><Relationship Type="http://schemas.openxmlformats.org/officeDocument/2006/relationships/hyperlink" Id="rId36" Target="https://doi.org/10.1007/s10680-020-09570-0" TargetMode="External" /><Relationship Type="http://schemas.openxmlformats.org/officeDocument/2006/relationships/hyperlink" Id="rId39" Target="https://doi.org/10.1080/00324728.2020.1750677" TargetMode="External" /><Relationship Type="http://schemas.openxmlformats.org/officeDocument/2006/relationships/hyperlink" Id="rId41" Target="https://doi.org/10.1257/jep.36.1.151" TargetMode="External" /><Relationship Type="http://schemas.openxmlformats.org/officeDocument/2006/relationships/hyperlink" Id="rId52" Target="https://doi.org/10.4054/DemRes.2018.38.22" TargetMode="External" /><Relationship Type="http://schemas.openxmlformats.org/officeDocument/2006/relationships/hyperlink" Id="rId48" Target="https://doi.org/10.4054/DemRes.2020.42.23" TargetMode="External" /><Relationship Type="http://schemas.openxmlformats.org/officeDocument/2006/relationships/hyperlink" Id="rId13" Target="https://github.com/JonMinton/Comparative_Fertility" TargetMode="External" /><Relationship Type="http://schemas.openxmlformats.org/officeDocument/2006/relationships/hyperlink" Id="rId44" Target="https://www.fertilitydata.org" TargetMode="External" /><Relationship Type="http://schemas.openxmlformats.org/officeDocument/2006/relationships/hyperlink" Id="rId46" Target="https://www.humanfertility.org" TargetMode="External" /><Relationship Type="http://schemas.openxmlformats.org/officeDocument/2006/relationships/hyperlink" Id="rId9" Target="mailto:jon.will.minton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doi.org/10.1007/s10680-020-09570-0" TargetMode="External" /><Relationship Type="http://schemas.openxmlformats.org/officeDocument/2006/relationships/hyperlink" Id="rId39" Target="https://doi.org/10.1080/00324728.2020.1750677" TargetMode="External" /><Relationship Type="http://schemas.openxmlformats.org/officeDocument/2006/relationships/hyperlink" Id="rId41" Target="https://doi.org/10.1257/jep.36.1.151" TargetMode="External" /><Relationship Type="http://schemas.openxmlformats.org/officeDocument/2006/relationships/hyperlink" Id="rId52" Target="https://doi.org/10.4054/DemRes.2018.38.22" TargetMode="External" /><Relationship Type="http://schemas.openxmlformats.org/officeDocument/2006/relationships/hyperlink" Id="rId48" Target="https://doi.org/10.4054/DemRes.2020.42.23" TargetMode="External" /><Relationship Type="http://schemas.openxmlformats.org/officeDocument/2006/relationships/hyperlink" Id="rId13" Target="https://github.com/JonMinton/Comparative_Fertility" TargetMode="External" /><Relationship Type="http://schemas.openxmlformats.org/officeDocument/2006/relationships/hyperlink" Id="rId44" Target="https://www.fertilitydata.org" TargetMode="External" /><Relationship Type="http://schemas.openxmlformats.org/officeDocument/2006/relationships/hyperlink" Id="rId46" Target="https://www.humanfertility.org" TargetMode="External" /><Relationship Type="http://schemas.openxmlformats.org/officeDocument/2006/relationships/hyperlink" Id="rId9" Target="mailto:jon.will.minton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exceptions collapse: fertility trends for 45 countries revisited</dc:title>
  <dc:creator>Jon Minton</dc:creator>
  <cp:keywords/>
  <dcterms:created xsi:type="dcterms:W3CDTF">2026-07-11T15:29:15Z</dcterms:created>
  <dcterms:modified xsi:type="dcterms:W3CDTF">2026-07-11T15:29:15Z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BACKGROUND — Pattaro, Vanderbloemen and Minton (2020) found, across 45 countries, that once cohorts fell below the replacement milestone (cumulative pseudo-cohort fertility rate, CPCFR, of 2.05) they tended not to return, with two named exceptions: Norway and the United States. Their data ended in 2014–15. OBJECTIVE — To update the 45-country composite lattice plots with Human Fertility Database and Human Fertility Collection data extending to 2023–25 and re-examine the exceptions. METHODS — The published combination rules and visual specification are reapplied to the 2026 source releases, with one code-mapping correction restoring France after 2008. RESULTS — Both exceptions have ended or are ending. Norway’s replacement contour, having returned for cohorts born 1958–68, escapes vertically for cohorts born after ~1972. The United States’ exception persisted longer than its period collapse suggests — cohorts born 1982–84 crossed 2.05 at ages 39–40 — and is fading in the still-censored cohorts beyond. Across the panel, 43 of 45 countries now have post-war cohorts observed beyond age 44 that never reached replacement. CONCLUSIONS — A decade of new data strengthens the 2020 regularity at the cost of both its exceptions; the geometry of the contour escapes points to a structural ceiling developed in a companion paper.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date">
    <vt:lpwstr>2026-07-11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subtitle">
    <vt:lpwstr>DRAFT v0.1 (2026-07-11) — working paper for preprint; not yet reviewed by all listed contributors</vt:lpwstr>
  </property>
  <property fmtid="{D5CDD505-2E9C-101B-9397-08002B2CF9AE}" pid="16" name="toc-title">
    <vt:lpwstr>Table of contents</vt:lpwstr>
  </property>
</Properties>
</file>