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31.png" ContentType="image/png"/>
  <Override PartName="/word/media/rId21.png" ContentType="image/png"/>
  <Override PartName="/word/media/rId26.png" ContentType="image/png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closing corridor: postponement against the effective ceiling of the fertility lifecourse</w:t>
      </w:r>
    </w:p>
    <w:p>
      <w:pPr>
        <w:pStyle w:val="Subtitle"/>
      </w:pPr>
      <w:r>
        <w:t xml:space="preserve">DRAFT v0.1 (2026-07-11) — working paper for preprint; not yet reviewed by all listed contributors</w:t>
      </w:r>
    </w:p>
    <w:p>
      <w:pPr>
        <w:pStyle w:val="Author"/>
      </w:pPr>
      <w:r>
        <w:t xml:space="preserve">Jon Minton</w:t>
      </w:r>
    </w:p>
    <w:p>
      <w:pPr>
        <w:pStyle w:val="Date"/>
      </w:pPr>
      <w:r>
        <w:t xml:space="preserve">2026-07-11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Whether a cohort can reach replacement fertility depends on when childbearing</w:t>
      </w:r>
      <w:r>
        <w:t xml:space="preserve"> </w:t>
      </w:r>
      <w:r>
        <w:t xml:space="preserve">starts and when it must end. Ages at first birth have risen five to six years</w:t>
      </w:r>
      <w:r>
        <w:t xml:space="preserve"> </w:t>
      </w:r>
      <w:r>
        <w:t xml:space="preserve">since the 1970s; this paper is about the other boundary. Using the updated</w:t>
      </w:r>
      <w:r>
        <w:t xml:space="preserve"> </w:t>
      </w:r>
      <w:r>
        <w:t xml:space="preserve">45-country HFD/HFC panel (1850–2025), we define the effective ceiling of the</w:t>
      </w:r>
      <w:r>
        <w:t xml:space="preserve"> </w:t>
      </w:r>
      <w:r>
        <w:t xml:space="preserve">fertility lifecourse as the highest age with ASFR ≥ 1/200 and show it is</w:t>
      </w:r>
      <w:r>
        <w:t xml:space="preserve"> </w:t>
      </w:r>
      <w:r>
        <w:t xml:space="preserve">behavioural, not biological: 47–48 in nineteenth-century populations, pulled</w:t>
      </w:r>
      <w:r>
        <w:t xml:space="preserve"> </w:t>
      </w:r>
      <w:r>
        <w:t xml:space="preserve">down to 41 by the 1980s as parity control truncated high-parity childbearing,</w:t>
      </w:r>
      <w:r>
        <w:t xml:space="preserve"> </w:t>
      </w:r>
      <w:r>
        <w:t xml:space="preserve">and recovered only to about 43 since — one year per fifteen calendar years.</w:t>
      </w:r>
      <w:r>
        <w:t xml:space="preserve"> </w:t>
      </w:r>
      <w:r>
        <w:t xml:space="preserve">The fertility mass above age 40 (0.02–0.07 children) cannot arithmetically</w:t>
      </w:r>
      <w:r>
        <w:t xml:space="preserve"> </w:t>
      </w:r>
      <w:r>
        <w:t xml:space="preserve">substitute for earlier childbearing. Consequently replacement must now be</w:t>
      </w:r>
      <w:r>
        <w:t xml:space="preserve"> </w:t>
      </w:r>
      <w:r>
        <w:t xml:space="preserve">achieved within a corridor roughly thirteen years wide, and on composite</w:t>
      </w:r>
      <w:r>
        <w:t xml:space="preserve"> </w:t>
      </w:r>
      <w:r>
        <w:t xml:space="preserve">lattice plots the replacement contour visibly terminates at the ceiling —</w:t>
      </w:r>
      <w:r>
        <w:t xml:space="preserve"> </w:t>
      </w:r>
      <w:r>
        <w:t xml:space="preserve">distinguishable from right-censoring — in 43 of 45 countries’ recent cohorts.</w:t>
      </w:r>
      <w:r>
        <w:t xml:space="preserve"> </w:t>
      </w:r>
      <w:r>
        <w:t xml:space="preserve">The corridor framing contributes discipline to the debate on accelerating</w:t>
      </w:r>
      <w:r>
        <w:t xml:space="preserve"> </w:t>
      </w:r>
      <w:r>
        <w:t xml:space="preserve">fertility decline: any candidate explanation must match the same</w:t>
      </w:r>
      <w:r>
        <w:t xml:space="preserve"> </w:t>
      </w:r>
      <w:r>
        <w:t xml:space="preserve">age–cohort–timing fingerprint, and postponement converts to quantum loss even</w:t>
      </w:r>
      <w:r>
        <w:t xml:space="preserve"> </w:t>
      </w:r>
      <w:r>
        <w:t xml:space="preserve">under unchanged intentions.</w:t>
      </w:r>
    </w:p>
    <w:p>
      <w:pPr>
        <w:pStyle w:val="BlockText"/>
      </w:pPr>
      <w:r>
        <w:rPr>
          <w:b/>
          <w:bCs/>
        </w:rPr>
        <w:t xml:space="preserve">FOR REVIEWERS (Word copy).</w:t>
      </w:r>
      <w:r>
        <w:t xml:space="preserve"> </w:t>
      </w:r>
      <w:r>
        <w:t xml:space="preserve">Please comment using Word’s</w:t>
      </w:r>
      <w:r>
        <w:t xml:space="preserve"> </w:t>
      </w:r>
      <w:r>
        <w:rPr>
          <w:i/>
          <w:iCs/>
        </w:rPr>
        <w:t xml:space="preserve">Comments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Track Changes</w:t>
      </w:r>
      <w:r>
        <w:t xml:space="preserve"> </w:t>
      </w:r>
      <w:r>
        <w:t xml:space="preserve">features — do not edit silently. Return the file to</w:t>
      </w:r>
      <w:r>
        <w:t xml:space="preserve"> </w:t>
      </w:r>
      <w:hyperlink r:id="rId9">
        <w:r>
          <w:rPr>
            <w:rStyle w:val="Hyperlink"/>
          </w:rPr>
          <w:t xml:space="preserve">jon.will.minton@gmail.com</w:t>
        </w:r>
      </w:hyperlink>
      <w:r>
        <w:t xml:space="preserve">. Comments will be logged in the project’s public</w:t>
      </w:r>
      <w:r>
        <w:t xml:space="preserve"> </w:t>
      </w:r>
      <w:r>
        <w:t xml:space="preserve">feedback register (</w:t>
      </w:r>
      <w:r>
        <w:rPr>
          <w:rStyle w:val="VerbatimChar"/>
        </w:rPr>
        <w:t xml:space="preserve">manuscript_2026/review/FEEDBACK.md</w:t>
      </w:r>
      <w:r>
        <w:t xml:space="preserve"> </w:t>
      </w:r>
      <w:r>
        <w:t xml:space="preserve">on GitHub), actioned,</w:t>
      </w:r>
      <w:r>
        <w:t xml:space="preserve"> </w:t>
      </w:r>
      <w:r>
        <w:t xml:space="preserve">and credited; substantive contributions meeting authorship criteria are</w:t>
      </w:r>
      <w:r>
        <w:t xml:space="preserve"> </w:t>
      </w:r>
      <w:r>
        <w:t xml:space="preserve">recognized with co-authorship in later preprint versions. This is v0.1,</w:t>
      </w:r>
      <w:r>
        <w:t xml:space="preserve"> </w:t>
      </w:r>
      <w:r>
        <w:t xml:space="preserve">corresponding to SocArXiv preprint version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Draft status.</w:t>
            </w:r>
            <w:r>
              <w:t xml:space="preserve"> </w:t>
            </w:r>
            <w:r>
              <w:t xml:space="preserve">Early working version posted for open comment. Reproducible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https://github.com/JonMinton/Comparative_Fertility</w:t>
              </w:r>
            </w:hyperlink>
            <w:r>
              <w:t xml:space="preserve">; analytic choices</w:t>
            </w:r>
            <w:r>
              <w:t xml:space="preserve"> </w:t>
            </w:r>
            <w:r>
              <w:t xml:space="preserve">(thresholds, definitions) were fixed in the repository’s workplan before this</w:t>
            </w:r>
            <w:r>
              <w:t xml:space="preserve"> </w:t>
            </w:r>
            <w:r>
              <w:t xml:space="preserve">analysis ran on the updated data, with prototypes on the pre-update data</w:t>
            </w:r>
            <w:r>
              <w:t xml:space="preserve"> </w:t>
            </w:r>
            <w:r>
              <w:t xml:space="preserve">disclosed there.</w:t>
            </w:r>
          </w:p>
          <w:p/>
        </w:tc>
      </w:tr>
    </w:tbl>
    <w:bookmarkStart w:id="14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Two quantities jointly determine whether a cohort can reach replacement</w:t>
      </w:r>
      <w:r>
        <w:t xml:space="preserve"> </w:t>
      </w:r>
      <w:r>
        <w:t xml:space="preserve">fertility: when childbearing starts, and when it must end. The first has moved</w:t>
      </w:r>
      <w:r>
        <w:t xml:space="preserve"> </w:t>
      </w:r>
      <w:r>
        <w:t xml:space="preserve">enormously — mean ages at first birth have risen five to six years since the</w:t>
      </w:r>
      <w:r>
        <w:t xml:space="preserve"> </w:t>
      </w:r>
      <w:r>
        <w:t xml:space="preserve">1970s across the low-fertility world</w:t>
      </w:r>
      <w:r>
        <w:t xml:space="preserve"> </w:t>
      </w:r>
      <w:r>
        <w:t xml:space="preserve">(Sobotka 2017; Beaujouan 2020)</w:t>
      </w:r>
      <w:r>
        <w:t xml:space="preserve">. This</w:t>
      </w:r>
      <w:r>
        <w:t xml:space="preserve"> </w:t>
      </w:r>
      <w:r>
        <w:t xml:space="preserve">paper is about the second: the</w:t>
      </w:r>
      <w:r>
        <w:t xml:space="preserve"> </w:t>
      </w:r>
      <w:r>
        <w:rPr>
          <w:i/>
          <w:iCs/>
        </w:rPr>
        <w:t xml:space="preserve">effective ceiling</w:t>
      </w:r>
      <w:r>
        <w:t xml:space="preserve"> </w:t>
      </w:r>
      <w:r>
        <w:t xml:space="preserve">of the fertility</w:t>
      </w:r>
      <w:r>
        <w:t xml:space="preserve"> </w:t>
      </w:r>
      <w:r>
        <w:t xml:space="preserve">lifecourse, its history, and its consequence — a corridor between a rising</w:t>
      </w:r>
      <w:r>
        <w:t xml:space="preserve"> </w:t>
      </w:r>
      <w:r>
        <w:t xml:space="preserve">floor and a nearly fixed ceiling within which replacement must now be</w:t>
      </w:r>
      <w:r>
        <w:t xml:space="preserve"> </w:t>
      </w:r>
      <w:r>
        <w:t xml:space="preserve">achieved.</w:t>
      </w:r>
    </w:p>
    <w:p>
      <w:pPr>
        <w:pStyle w:val="BodyText"/>
      </w:pPr>
      <w:r>
        <w:t xml:space="preserve">We make three claims. First, the ceiling is behavioural, not biological: in</w:t>
      </w:r>
      <w:r>
        <w:t xml:space="preserve"> </w:t>
      </w:r>
      <w:r>
        <w:t xml:space="preserve">the nineteenth-century populations of our panel it sat at ages 47–48, was</w:t>
      </w:r>
      <w:r>
        <w:t xml:space="preserve"> </w:t>
      </w:r>
      <w:r>
        <w:t xml:space="preserve">pulled down to 41 by the 1980s as parity control truncated high-parity</w:t>
      </w:r>
      <w:r>
        <w:t xml:space="preserve"> </w:t>
      </w:r>
      <w:r>
        <w:t xml:space="preserve">childbearing, and has since crept back only to about 43. Second, the fertility</w:t>
      </w:r>
      <w:r>
        <w:t xml:space="preserve"> </w:t>
      </w:r>
      <w:r>
        <w:t xml:space="preserve">mass above age 40 is small enough (0.02–0.07 children) that no plausible</w:t>
      </w:r>
      <w:r>
        <w:t xml:space="preserve"> </w:t>
      </w:r>
      <w:r>
        <w:t xml:space="preserve">late-fertility recuperation can substitute for earlier childbearing</w:t>
      </w:r>
      <w:r>
        <w:t xml:space="preserve"> </w:t>
      </w:r>
      <w:r>
        <w:t xml:space="preserve">(Beaujouan 2020)</w:t>
      </w:r>
      <w:r>
        <w:t xml:space="preserve">. Third, the interaction of these facts with cumulative</w:t>
      </w:r>
      <w:r>
        <w:t xml:space="preserve"> </w:t>
      </w:r>
      <w:r>
        <w:t xml:space="preserve">cohort fertility is directly visible on composite lattice plots</w:t>
      </w:r>
      <w:r>
        <w:t xml:space="preserve"> </w:t>
      </w:r>
      <w:r>
        <w:t xml:space="preserve">(Pattaro et al. 2020)</w:t>
      </w:r>
      <w:r>
        <w:t xml:space="preserve">: the replacement contour</w:t>
      </w:r>
      <w:r>
        <w:t xml:space="preserve"> </w:t>
      </w:r>
      <w:r>
        <w:rPr>
          <w:i/>
          <w:iCs/>
        </w:rPr>
        <w:t xml:space="preserve">goes vertical</w:t>
      </w:r>
      <w:r>
        <w:t xml:space="preserve"> </w:t>
      </w:r>
      <w:r>
        <w:t xml:space="preserve">where it meets the</w:t>
      </w:r>
      <w:r>
        <w:t xml:space="preserve"> </w:t>
      </w:r>
      <w:r>
        <w:t xml:space="preserve">ceiling, and the distinction between contours that hit the wall and contours</w:t>
      </w:r>
      <w:r>
        <w:t xml:space="preserve"> </w:t>
      </w:r>
      <w:r>
        <w:t xml:space="preserve">that are merely right-censored is itself informative.</w:t>
      </w:r>
    </w:p>
    <w:bookmarkEnd w:id="14"/>
    <w:bookmarkStart w:id="15" w:name="data-and-methods"/>
    <w:p>
      <w:pPr>
        <w:pStyle w:val="Heading1"/>
      </w:pPr>
      <w:r>
        <w:t xml:space="preserve">Data and methods</w:t>
      </w:r>
    </w:p>
    <w:p>
      <w:pPr>
        <w:pStyle w:val="FirstParagraph"/>
      </w:pPr>
      <w:r>
        <w:t xml:space="preserve">Data: the updated 45-country HFD/HFC panel described in the companion</w:t>
      </w:r>
      <w:r>
        <w:t xml:space="preserve"> </w:t>
      </w:r>
      <w:r>
        <w:t xml:space="preserve">descriptive finding (combination rules of</w:t>
      </w:r>
      <w:r>
        <w:t xml:space="preserve"> </w:t>
      </w:r>
      <w:r>
        <w:t xml:space="preserve">Pattaro et al. (2020)</w:t>
      </w:r>
      <w:r>
        <w:t xml:space="preserve"> </w:t>
      </w:r>
      <w:r>
        <w:t xml:space="preserve">applied to the 2026</w:t>
      </w:r>
      <w:r>
        <w:t xml:space="preserve"> </w:t>
      </w:r>
      <w:r>
        <w:t xml:space="preserve">releases</w:t>
      </w:r>
      <w:r>
        <w:t xml:space="preserve"> </w:t>
      </w:r>
      <w:r>
        <w:t xml:space="preserve">(Max Planck Institute for Demographic Research (Germany) and Vienna Institute of Demography (Austria) 2026b, 2026a)</w:t>
      </w:r>
      <w:r>
        <w:t xml:space="preserve">; 1850–2025).</w:t>
      </w:r>
    </w:p>
    <w:p>
      <w:pPr>
        <w:pStyle w:val="BodyText"/>
      </w:pPr>
      <w:r>
        <w:t xml:space="preserve">Definitions, fixed ex ante in the public workplan: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Effective ceiling</w:t>
      </w:r>
      <w:r>
        <w:t xml:space="preserve"> </w:t>
      </w:r>
      <w:r>
        <w:t xml:space="preserve">of population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in year</w:t>
      </w:r>
      <w:r>
        <w:t xml:space="preserve"> </w:t>
      </w:r>
      <m:oMath>
        <m:r>
          <m:t>t</m:t>
        </m:r>
      </m:oMath>
      <w:r>
        <w:t xml:space="preserve">: the highest age at</w:t>
      </w:r>
      <w:r>
        <w:t xml:space="preserve"> </w:t>
      </w:r>
      <w:r>
        <w:t xml:space="preserve">which ASFR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1/200 (primary threshold), with 1/1000 as sensitivity.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Late-fertility mass</w:t>
      </w:r>
      <w:r>
        <w:t xml:space="preserve">: cumulative ASFR at ages 40+ (and 35+) in a given</w:t>
      </w:r>
      <w:r>
        <w:t xml:space="preserve"> </w:t>
      </w:r>
      <w:r>
        <w:t xml:space="preserve">country-year.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Reachability</w:t>
      </w:r>
      <w:r>
        <w:t xml:space="preserve">: for each cohort observed from age 16 or earlier, the age</w:t>
      </w:r>
      <w:r>
        <w:t xml:space="preserve"> </w:t>
      </w:r>
      <w:r>
        <w:t xml:space="preserve">at which CPCFR first reaches 2.05, classified as</w:t>
      </w:r>
      <w:r>
        <w:t xml:space="preserve"> </w:t>
      </w:r>
      <w:r>
        <w:rPr>
          <w:i/>
          <w:iCs/>
        </w:rPr>
        <w:t xml:space="preserve">crossed</w:t>
      </w:r>
      <w:r>
        <w:t xml:space="preserve">;</w:t>
      </w:r>
      <w:r>
        <w:t xml:space="preserve"> </w:t>
      </w:r>
      <w:r>
        <w:rPr>
          <w:i/>
          <w:iCs/>
        </w:rPr>
        <w:t xml:space="preserve">never</w:t>
      </w:r>
      <w:r>
        <w:t xml:space="preserve"> </w:t>
      </w:r>
      <w:r>
        <w:t xml:space="preserve">(observed</w:t>
      </w:r>
      <w:r>
        <w:t xml:space="preserve"> </w:t>
      </w:r>
      <w:r>
        <w:t xml:space="preserve">beyond age 44 without crossing); or</w:t>
      </w:r>
      <w:r>
        <w:t xml:space="preserve"> </w:t>
      </w:r>
      <w:r>
        <w:rPr>
          <w:i/>
          <w:iCs/>
        </w:rPr>
        <w:t xml:space="preserve">censored</w:t>
      </w:r>
      <w:r>
        <w:t xml:space="preserve">.</w:t>
      </w:r>
    </w:p>
    <w:bookmarkEnd w:id="15"/>
    <w:bookmarkStart w:id="36" w:name="results"/>
    <w:p>
      <w:pPr>
        <w:pStyle w:val="Heading1"/>
      </w:pPr>
      <w:r>
        <w:t xml:space="preserve">Results</w:t>
      </w:r>
    </w:p>
    <w:bookmarkStart w:id="20" w:name="Xf71f1132d9b7640f7481d30d0f2f0f113579e37"/>
    <w:p>
      <w:pPr>
        <w:pStyle w:val="Heading2"/>
      </w:pPr>
      <w:r>
        <w:t xml:space="preserve">The ceiling is behavioural and nearly fixed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fig-walls"/>
          <w:p>
            <w:pPr>
              <w:pStyle w:val="Compact"/>
              <w:jc w:val="center"/>
            </w:pPr>
            <w:r>
              <w:drawing>
                <wp:inline>
                  <wp:extent cx="5334000" cy="53340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figures/wall_trajectories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33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Effective ceiling trajectories by country, 1950–2025: highest age with ASFR at or above 1/200 (solid) and 1/1000 (dashed).</w:t>
            </w:r>
          </w:p>
          <w:bookmarkEnd w:id="19"/>
        </w:tc>
      </w:tr>
    </w:tbl>
    <w:p>
      <w:pPr>
        <w:pStyle w:val="BodyText"/>
      </w:pPr>
      <w:r>
        <w:t xml:space="preserve">Pooled decade medians of the primary ceiling: 45 (1950s), 44 (1960s), 42</w:t>
      </w:r>
      <w:r>
        <w:t xml:space="preserve"> </w:t>
      </w:r>
      <w:r>
        <w:t xml:space="preserve">(1970s), 41 (1980s and 1990s), 42 (2000s), 42 (2010s), 43 (2020s). The</w:t>
      </w:r>
      <w:r>
        <w:t xml:space="preserve"> </w:t>
      </w:r>
      <w:r>
        <w:t xml:space="preserve">recovery since the 1990s trough amounts to roughly one year of age per fifteen</w:t>
      </w:r>
      <w:r>
        <w:t xml:space="preserve"> </w:t>
      </w:r>
      <w:r>
        <w:t xml:space="preserve">calendar years (</w:t>
      </w:r>
      <w:hyperlink w:anchor="fig-walls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</w:p>
    <w:bookmarkEnd w:id="20"/>
    <w:bookmarkStart w:id="25" w:name="the-mass-behind-the-ceiling-is-small"/>
    <w:p>
      <w:pPr>
        <w:pStyle w:val="Heading2"/>
      </w:pPr>
      <w:r>
        <w:t xml:space="preserve">The mass behind the ceiling is small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mass"/>
          <w:p>
            <w:pPr>
              <w:pStyle w:val="Compact"/>
              <w:jc w:val="center"/>
            </w:pPr>
            <w:r>
              <w:drawing>
                <wp:inline>
                  <wp:extent cx="5334000" cy="53340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figures/late_mass_trends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33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Cumulative ASFR at ages 40+ (solid) and 35+ (dashed), by country, 1950–2025.</w:t>
            </w:r>
          </w:p>
          <w:bookmarkEnd w:id="24"/>
        </w:tc>
      </w:tr>
    </w:tbl>
    <w:p>
      <w:pPr>
        <w:pStyle w:val="BodyText"/>
      </w:pPr>
      <w:r>
        <w:t xml:space="preserve">Median cumulative fertility above age 40 fell from 0.117 (1950s) to 0.023</w:t>
      </w:r>
      <w:r>
        <w:t xml:space="preserve"> </w:t>
      </w:r>
      <w:r>
        <w:t xml:space="preserve">(1980s) and has recovered to 0.065 (2020s) (</w:t>
      </w:r>
      <w:hyperlink w:anchor="fig-mass">
        <w:r>
          <w:rPr>
            <w:rStyle w:val="Hyperlink"/>
          </w:rPr>
          <w:t xml:space="preserve">Figure 2</w:t>
        </w:r>
      </w:hyperlink>
      <w:r>
        <w:t xml:space="preserve">) — at its</w:t>
      </w:r>
      <w:r>
        <w:t xml:space="preserve"> </w:t>
      </w:r>
      <w:r>
        <w:t xml:space="preserve">twenty-first-century maximum, about 3 percent of a replacement target. The</w:t>
      </w:r>
      <w:r>
        <w:t xml:space="preserve"> </w:t>
      </w:r>
      <w:r>
        <w:t xml:space="preserve">40+ segment cannot arithmetically rescue replacement for cohorts entering</w:t>
      </w:r>
      <w:r>
        <w:t xml:space="preserve"> </w:t>
      </w:r>
      <w:r>
        <w:t xml:space="preserve">their forties below roughly 1.99.</w:t>
      </w:r>
    </w:p>
    <w:bookmarkEnd w:id="25"/>
    <w:bookmarkStart w:id="30" w:name="X0a780e212b22766aa82f46d6bdccdf7da0037c5"/>
    <w:p>
      <w:pPr>
        <w:pStyle w:val="Heading2"/>
      </w:pPr>
      <w:r>
        <w:t xml:space="preserve">Reachability: where the replacement contour meets the wall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reach"/>
          <w:p>
            <w:pPr>
              <w:pStyle w:val="Compact"/>
              <w:jc w:val="center"/>
            </w:pPr>
            <w:r>
              <w:drawing>
                <wp:inline>
                  <wp:extent cx="5334000" cy="53340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figures/reachability_crossing_ages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33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Age at which each cohort’s CPCFR reaches 2.05, by country; the dotted reference line marks age 43.</w:t>
            </w:r>
          </w:p>
          <w:bookmarkEnd w:id="29"/>
        </w:tc>
      </w:tr>
    </w:tbl>
    <w:p>
      <w:pPr>
        <w:pStyle w:val="BodyText"/>
      </w:pPr>
      <w:r>
        <w:t xml:space="preserve">Forty-three of 45 countries have post-war cohorts observed beyond age 44 that</w:t>
      </w:r>
      <w:r>
        <w:t xml:space="preserve"> </w:t>
      </w:r>
      <w:r>
        <w:t xml:space="preserve">never reached 2.05; only nine have any cohort born after 1970 that crossed.</w:t>
      </w:r>
      <w:r>
        <w:t xml:space="preserve"> </w:t>
      </w:r>
      <w:r>
        <w:t xml:space="preserve">Crossing ages drift upward toward the ceiling before crossings cease</w:t>
      </w:r>
      <w:r>
        <w:t xml:space="preserve"> </w:t>
      </w:r>
      <w:r>
        <w:t xml:space="preserve">(</w:t>
      </w:r>
      <w:hyperlink w:anchor="fig-reach">
        <w:r>
          <w:rPr>
            <w:rStyle w:val="Hyperlink"/>
          </w:rPr>
          <w:t xml:space="preserve">Figure 3</w:t>
        </w:r>
      </w:hyperlink>
      <w:r>
        <w:t xml:space="preserve">).</w:t>
      </w:r>
      <w:r>
        <w:t xml:space="preserve"> </w:t>
      </w:r>
    </w:p>
    <w:bookmarkEnd w:id="30"/>
    <w:bookmarkStart w:id="35" w:name="the-wall-on-the-surface"/>
    <w:p>
      <w:pPr>
        <w:pStyle w:val="Heading2"/>
      </w:pPr>
      <w:r>
        <w:t xml:space="preserve">The wall on the surface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norwall"/>
          <w:p>
            <w:pPr>
              <w:pStyle w:val="Compact"/>
              <w:jc w:val="center"/>
            </w:pPr>
            <w:r>
              <w:drawing>
                <wp:inline>
                  <wp:extent cx="5334000" cy="4667602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figures/featured_wall_nor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667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Norway: composite surface with the effective ceiling overdrawn (dotted). Both vertical escapes of the 2.05 contour terminate at the ceiling.</w:t>
            </w:r>
          </w:p>
          <w:bookmarkEnd w:id="34"/>
        </w:tc>
      </w:tr>
    </w:tbl>
    <w:p>
      <w:pPr>
        <w:pStyle w:val="BodyText"/>
      </w:pPr>
      <w:r>
        <w:t xml:space="preserve">Overlaying the ceiling on the composite surface (</w:t>
      </w:r>
      <w:hyperlink w:anchor="fig-norwall">
        <w:r>
          <w:rPr>
            <w:rStyle w:val="Hyperlink"/>
          </w:rPr>
          <w:t xml:space="preserve">Figure 4</w:t>
        </w:r>
      </w:hyperlink>
      <w:r>
        <w:t xml:space="preserve">; US and South</w:t>
      </w:r>
      <w:r>
        <w:t xml:space="preserve"> </w:t>
      </w:r>
      <w:r>
        <w:t xml:space="preserve">Korean panels in the repository) makes the two contour-termination modes</w:t>
      </w:r>
      <w:r>
        <w:t xml:space="preserve"> </w:t>
      </w:r>
      <w:r>
        <w:t xml:space="preserve">visually distinct: contours that climb into the ceiling and end there</w:t>
      </w:r>
      <w:r>
        <w:t xml:space="preserve"> </w:t>
      </w:r>
      <w:r>
        <w:t xml:space="preserve">(wall-terminated) versus contours cut by the right edge of the data</w:t>
      </w:r>
      <w:r>
        <w:t xml:space="preserve"> </w:t>
      </w:r>
      <w:r>
        <w:t xml:space="preserve">(censored). For Norway, both escapes of the replacement contour are</w:t>
      </w:r>
      <w:r>
        <w:t xml:space="preserve"> </w:t>
      </w:r>
      <w:r>
        <w:t xml:space="preserve">wall-terminations, not censoring artifacts.</w:t>
      </w:r>
    </w:p>
    <w:p>
      <w:pPr>
        <w:pStyle w:val="BodyText"/>
      </w:pPr>
      <w:r>
        <w:t xml:space="preserve">A note on visual complexity: in grammar-of-graphics terms the ceiling adds a</w:t>
      </w:r>
      <w:r>
        <w:t xml:space="preserve"> </w:t>
      </w:r>
      <w:r>
        <w:t xml:space="preserve">fifth encoding to an already four-dimensional composite (x, y, shading,</w:t>
      </w:r>
      <w:r>
        <w:t xml:space="preserve"> </w:t>
      </w:r>
      <w:r>
        <w:t xml:space="preserve">contour weight) — though it is better understood as a third</w:t>
      </w:r>
      <w:r>
        <w:t xml:space="preserve"> </w:t>
      </w:r>
      <w:r>
        <w:rPr>
          <w:i/>
          <w:iCs/>
        </w:rPr>
        <w:t xml:space="preserve">reading</w:t>
      </w:r>
      <w:r>
        <w:t xml:space="preserve"> </w:t>
      </w:r>
      <w:r>
        <w:t xml:space="preserve">of the</w:t>
      </w:r>
      <w:r>
        <w:t xml:space="preserve"> </w:t>
      </w:r>
      <w:r>
        <w:t xml:space="preserve">single underlying ASFR field: its level (shading), its accumulation</w:t>
      </w:r>
      <w:r>
        <w:t xml:space="preserve"> </w:t>
      </w:r>
      <w:r>
        <w:t xml:space="preserve">(contours), and its effective boundary (the ceiling), each a computation the</w:t>
      </w:r>
      <w:r>
        <w:t xml:space="preserve"> </w:t>
      </w:r>
      <w:r>
        <w:t xml:space="preserve">eye cannot perform unaided. Because four encodings already approach the limit</w:t>
      </w:r>
      <w:r>
        <w:t xml:space="preserve"> </w:t>
      </w:r>
      <w:r>
        <w:t xml:space="preserve">of comfortable readability for many audiences, we confine this densest form</w:t>
      </w:r>
      <w:r>
        <w:t xml:space="preserve"> </w:t>
      </w:r>
      <w:r>
        <w:t xml:space="preserve">to the present paper; the companion descriptive finding retains the</w:t>
      </w:r>
      <w:r>
        <w:t xml:space="preserve"> </w:t>
      </w:r>
      <w:r>
        <w:t xml:space="preserve">established four-encoding composite throughout.</w:t>
      </w:r>
    </w:p>
    <w:bookmarkEnd w:id="35"/>
    <w:bookmarkEnd w:id="36"/>
    <w:bookmarkStart w:id="37" w:name="discussion"/>
    <w:p>
      <w:pPr>
        <w:pStyle w:val="Heading1"/>
      </w:pPr>
      <w:r>
        <w:t xml:space="preserve">Discussion</w:t>
      </w:r>
    </w:p>
    <w:p>
      <w:pPr>
        <w:pStyle w:val="FirstParagraph"/>
      </w:pPr>
      <w:r>
        <w:t xml:space="preserve">The corridor framing contributes discipline, not adjudication, to the current</w:t>
      </w:r>
      <w:r>
        <w:t xml:space="preserve"> </w:t>
      </w:r>
      <w:r>
        <w:t xml:space="preserve">debate on accelerating fertility decline. Any candidate explanation —</w:t>
      </w:r>
      <w:r>
        <w:t xml:space="preserve"> </w:t>
      </w:r>
      <w:r>
        <w:t xml:space="preserve">economic precarity</w:t>
      </w:r>
      <w:r>
        <w:t xml:space="preserve"> </w:t>
      </w:r>
      <w:r>
        <w:t xml:space="preserve">(Sobotka et al. 2011; Kearney et al. 2022)</w:t>
      </w:r>
      <w:r>
        <w:t xml:space="preserve">, housing, partnering,</w:t>
      </w:r>
      <w:r>
        <w:t xml:space="preserve"> </w:t>
      </w:r>
      <w:r>
        <w:t xml:space="preserve">smartphone-era social change — must match the same fingerprint:</w:t>
      </w:r>
      <w:r>
        <w:t xml:space="preserve"> </w:t>
      </w:r>
      <w:r>
        <w:rPr>
          <w:i/>
          <w:iCs/>
        </w:rPr>
        <w:t xml:space="preserve">which ages</w:t>
      </w:r>
      <w:r>
        <w:t xml:space="preserve"> </w:t>
      </w:r>
      <w:r>
        <w:t xml:space="preserve">lost fertility,</w:t>
      </w:r>
      <w:r>
        <w:t xml:space="preserve"> </w:t>
      </w:r>
      <w:r>
        <w:rPr>
          <w:i/>
          <w:iCs/>
        </w:rPr>
        <w:t xml:space="preserve">which cohorts</w:t>
      </w:r>
      <w:r>
        <w:t xml:space="preserve"> </w:t>
      </w:r>
      <w:r>
        <w:t xml:space="preserve">carry the loss, whether milestones are delayed</w:t>
      </w:r>
      <w:r>
        <w:t xml:space="preserve"> </w:t>
      </w:r>
      <w:r>
        <w:t xml:space="preserve">(tempo) or abandoned (quantum), and why near-identical exposures produce</w:t>
      </w:r>
      <w:r>
        <w:t xml:space="preserve"> </w:t>
      </w:r>
      <w:r>
        <w:t xml:space="preserve">heterogeneous national responses</w:t>
      </w:r>
      <w:r>
        <w:t xml:space="preserve"> </w:t>
      </w:r>
      <w:r>
        <w:t xml:space="preserve">(Comolli et al. 2021; Hellstrand et al. 2020)</w:t>
      </w:r>
      <w:r>
        <w:t xml:space="preserve">. The</w:t>
      </w:r>
      <w:r>
        <w:t xml:space="preserve"> </w:t>
      </w:r>
      <w:r>
        <w:t xml:space="preserve">composite surfaces render that fingerprint directly; they cannot, and we do</w:t>
      </w:r>
      <w:r>
        <w:t xml:space="preserve"> </w:t>
      </w:r>
      <w:r>
        <w:t xml:space="preserve">not, pick among co-timed period candidates. What the ceiling adds is</w:t>
      </w:r>
      <w:r>
        <w:t xml:space="preserve"> </w:t>
      </w:r>
      <w:r>
        <w:t xml:space="preserve">arithmetic: postponement is not neutral even under unchanged intentions,</w:t>
      </w:r>
      <w:r>
        <w:t xml:space="preserve"> </w:t>
      </w:r>
      <w:r>
        <w:t xml:space="preserve">because trajectories that start later run into an upper boundary that has</w:t>
      </w:r>
      <w:r>
        <w:t xml:space="preserve"> </w:t>
      </w:r>
      <w:r>
        <w:t xml:space="preserve">moved two years while starting ages moved six. Replacement has become a</w:t>
      </w:r>
      <w:r>
        <w:t xml:space="preserve"> </w:t>
      </w:r>
      <w:r>
        <w:t xml:space="preserve">corridor roughly thirteen years wide.</w:t>
      </w:r>
    </w:p>
    <w:p>
      <w:pPr>
        <w:pStyle w:val="BodyText"/>
      </w:pPr>
      <w:r>
        <w:t xml:space="preserve">Limitations: assisted reproduction is shifting the ceiling slowly and</w:t>
      </w:r>
      <w:r>
        <w:t xml:space="preserve"> </w:t>
      </w:r>
      <w:r>
        <w:t xml:space="preserve">unevenly; ceiling estimates at thresholds are sensitive to small-population</w:t>
      </w:r>
      <w:r>
        <w:t xml:space="preserve"> </w:t>
      </w:r>
      <w:r>
        <w:t xml:space="preserve">noise (hence the per-country trajectories as primary output); the cohorts most</w:t>
      </w:r>
      <w:r>
        <w:t xml:space="preserve"> </w:t>
      </w:r>
      <w:r>
        <w:t xml:space="preserve">relevant to the current debate remain right-censored; and single-year ASFR</w:t>
      </w:r>
      <w:r>
        <w:t xml:space="preserve"> </w:t>
      </w:r>
      <w:r>
        <w:t xml:space="preserve">data cannot separate parity-specific dynamics — the natural extension, using</w:t>
      </w:r>
      <w:r>
        <w:t xml:space="preserve"> </w:t>
      </w:r>
      <w:r>
        <w:t xml:space="preserve">the by-birth-order collections already assembled in the repository</w:t>
      </w:r>
      <w:r>
        <w:t xml:space="preserve"> </w:t>
      </w:r>
      <w:r>
        <w:t xml:space="preserve">(Zeman et al. 2018)</w:t>
      </w:r>
      <w:r>
        <w:t xml:space="preserve">.</w:t>
      </w:r>
    </w:p>
    <w:bookmarkEnd w:id="37"/>
    <w:bookmarkStart w:id="57" w:name="references"/>
    <w:p>
      <w:pPr>
        <w:pStyle w:val="Heading1"/>
      </w:pPr>
      <w:r>
        <w:t xml:space="preserve">References</w:t>
      </w:r>
    </w:p>
    <w:bookmarkStart w:id="56" w:name="refs"/>
    <w:bookmarkStart w:id="39" w:name="ref-beaujouan2020"/>
    <w:p>
      <w:pPr>
        <w:pStyle w:val="Bibliography"/>
      </w:pPr>
      <w:r>
        <w:t xml:space="preserve">Beaujouan, Éva. 2020.</w:t>
      </w:r>
      <w:r>
        <w:t xml:space="preserve"> </w:t>
      </w:r>
      <w:r>
        <w:t xml:space="preserve">“Latest-Late Fertility? Decline and Resurgence of Late Parenthood Across the Low-Fertility Countries.”</w:t>
      </w:r>
      <w:r>
        <w:t xml:space="preserve"> </w:t>
      </w:r>
      <w:r>
        <w:rPr>
          <w:i/>
          <w:iCs/>
        </w:rPr>
        <w:t xml:space="preserve">Population and Development Review</w:t>
      </w:r>
      <w:r>
        <w:t xml:space="preserve"> </w:t>
      </w:r>
      <w:r>
        <w:t xml:space="preserve">46 (2): 219–47.</w:t>
      </w:r>
      <w:r>
        <w:t xml:space="preserve"> </w:t>
      </w:r>
      <w:hyperlink r:id="rId38">
        <w:r>
          <w:rPr>
            <w:rStyle w:val="Hyperlink"/>
          </w:rPr>
          <w:t xml:space="preserve">https://doi.org/10.1111/padr.12334</w:t>
        </w:r>
      </w:hyperlink>
      <w:r>
        <w:t xml:space="preserve">.</w:t>
      </w:r>
    </w:p>
    <w:bookmarkEnd w:id="39"/>
    <w:bookmarkStart w:id="41" w:name="ref-comolli2021"/>
    <w:p>
      <w:pPr>
        <w:pStyle w:val="Bibliography"/>
      </w:pPr>
      <w:r>
        <w:t xml:space="preserve">Comolli, Chiara L., Gerda Neyer, Gunnar Andersson, et al. 2021.</w:t>
      </w:r>
      <w:r>
        <w:t xml:space="preserve"> </w:t>
      </w:r>
      <w:r>
        <w:t xml:space="preserve">“Beyond the Economic Gaze: Childbearing During and After Recessions in the</w:t>
      </w:r>
      <w:r>
        <w:t xml:space="preserve"> </w:t>
      </w:r>
      <w:r>
        <w:t xml:space="preserve">Nordic</w:t>
      </w:r>
      <w:r>
        <w:t xml:space="preserve"> </w:t>
      </w:r>
      <w:r>
        <w:t xml:space="preserve">Countries.”</w:t>
      </w:r>
      <w:r>
        <w:t xml:space="preserve"> </w:t>
      </w:r>
      <w:r>
        <w:rPr>
          <w:i/>
          <w:iCs/>
        </w:rPr>
        <w:t xml:space="preserve">European Journal of Population</w:t>
      </w:r>
      <w:r>
        <w:t xml:space="preserve"> </w:t>
      </w:r>
      <w:r>
        <w:t xml:space="preserve">37: 473–520.</w:t>
      </w:r>
      <w:r>
        <w:t xml:space="preserve"> </w:t>
      </w:r>
      <w:hyperlink r:id="rId40">
        <w:r>
          <w:rPr>
            <w:rStyle w:val="Hyperlink"/>
          </w:rPr>
          <w:t xml:space="preserve">https://doi.org/10.1007/s10680-020-09570-0</w:t>
        </w:r>
      </w:hyperlink>
      <w:r>
        <w:t xml:space="preserve">.</w:t>
      </w:r>
    </w:p>
    <w:bookmarkEnd w:id="41"/>
    <w:bookmarkStart w:id="43" w:name="ref-hellstrand2020"/>
    <w:p>
      <w:pPr>
        <w:pStyle w:val="Bibliography"/>
      </w:pPr>
      <w:r>
        <w:t xml:space="preserve">Hellstrand, Julia, Jessica Nisén, and Mikko Myrskylä. 2020.</w:t>
      </w:r>
      <w:r>
        <w:t xml:space="preserve"> </w:t>
      </w:r>
      <w:r>
        <w:t xml:space="preserve">“All-Time Low Period Fertility in</w:t>
      </w:r>
      <w:r>
        <w:t xml:space="preserve"> </w:t>
      </w:r>
      <w:r>
        <w:t xml:space="preserve">Finland</w:t>
      </w:r>
      <w:r>
        <w:t xml:space="preserve">: Demographic Drivers, Tempo Effects, and Cohort Implications.”</w:t>
      </w:r>
      <w:r>
        <w:t xml:space="preserve"> </w:t>
      </w:r>
      <w:r>
        <w:rPr>
          <w:i/>
          <w:iCs/>
        </w:rPr>
        <w:t xml:space="preserve">Population Studies</w:t>
      </w:r>
      <w:r>
        <w:t xml:space="preserve"> </w:t>
      </w:r>
      <w:r>
        <w:t xml:space="preserve">74 (3): 315–29.</w:t>
      </w:r>
      <w:r>
        <w:t xml:space="preserve"> </w:t>
      </w:r>
      <w:hyperlink r:id="rId42">
        <w:r>
          <w:rPr>
            <w:rStyle w:val="Hyperlink"/>
          </w:rPr>
          <w:t xml:space="preserve">https://doi.org/10.1080/00324728.2020.1750677</w:t>
        </w:r>
      </w:hyperlink>
      <w:r>
        <w:t xml:space="preserve">.</w:t>
      </w:r>
    </w:p>
    <w:bookmarkEnd w:id="43"/>
    <w:bookmarkStart w:id="45" w:name="ref-kearney2022"/>
    <w:p>
      <w:pPr>
        <w:pStyle w:val="Bibliography"/>
      </w:pPr>
      <w:r>
        <w:t xml:space="preserve">Kearney, Melissa S., Phillip B. Levine, and Luke Pardue. 2022.</w:t>
      </w:r>
      <w:r>
        <w:t xml:space="preserve"> </w:t>
      </w:r>
      <w:r>
        <w:t xml:space="preserve">“The Puzzle of Falling US Birth Rates Since the</w:t>
      </w:r>
      <w:r>
        <w:t xml:space="preserve"> </w:t>
      </w:r>
      <w:r>
        <w:t xml:space="preserve">Great Recession</w:t>
      </w:r>
      <w:r>
        <w:t xml:space="preserve">.”</w:t>
      </w:r>
      <w:r>
        <w:t xml:space="preserve"> </w:t>
      </w:r>
      <w:r>
        <w:rPr>
          <w:i/>
          <w:iCs/>
        </w:rPr>
        <w:t xml:space="preserve">Journal of Economic Perspectives</w:t>
      </w:r>
      <w:r>
        <w:t xml:space="preserve"> </w:t>
      </w:r>
      <w:r>
        <w:t xml:space="preserve">36 (1): 151–76.</w:t>
      </w:r>
      <w:r>
        <w:t xml:space="preserve"> </w:t>
      </w:r>
      <w:hyperlink r:id="rId44">
        <w:r>
          <w:rPr>
            <w:rStyle w:val="Hyperlink"/>
          </w:rPr>
          <w:t xml:space="preserve">https://doi.org/10.1257/jep.36.1.151</w:t>
        </w:r>
      </w:hyperlink>
      <w:r>
        <w:t xml:space="preserve">.</w:t>
      </w:r>
    </w:p>
    <w:bookmarkEnd w:id="45"/>
    <w:bookmarkStart w:id="47" w:name="ref-hfc2026"/>
    <w:p>
      <w:pPr>
        <w:pStyle w:val="Bibliography"/>
      </w:pPr>
      <w:r>
        <w:t xml:space="preserve">Max Planck Institute for Demographic Research (Germany) and Vienna Institute of Demography (Austria). 2026a.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Human Fertility Collection</w:t>
      </w:r>
      <w:r>
        <w:t xml:space="preserve">.</w:t>
      </w:r>
      <w:r>
        <w:t xml:space="preserve"> </w:t>
      </w:r>
      <w:hyperlink r:id="rId46">
        <w:r>
          <w:rPr>
            <w:rStyle w:val="Hyperlink"/>
          </w:rPr>
          <w:t xml:space="preserve">https://www.fertilitydata.org</w:t>
        </w:r>
      </w:hyperlink>
      <w:r>
        <w:t xml:space="preserve">.</w:t>
      </w:r>
    </w:p>
    <w:bookmarkEnd w:id="47"/>
    <w:bookmarkStart w:id="49" w:name="ref-hfd2026"/>
    <w:p>
      <w:pPr>
        <w:pStyle w:val="Bibliography"/>
      </w:pPr>
      <w:r>
        <w:t xml:space="preserve">Max Planck Institute for Demographic Research (Germany) and Vienna Institute of Demography (Austria). 2026b.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Human Fertility Database</w:t>
      </w:r>
      <w:r>
        <w:t xml:space="preserve">.</w:t>
      </w:r>
      <w:r>
        <w:t xml:space="preserve"> </w:t>
      </w:r>
      <w:hyperlink r:id="rId48">
        <w:r>
          <w:rPr>
            <w:rStyle w:val="Hyperlink"/>
          </w:rPr>
          <w:t xml:space="preserve">https://www.humanfertility.org</w:t>
        </w:r>
      </w:hyperlink>
      <w:r>
        <w:t xml:space="preserve">.</w:t>
      </w:r>
    </w:p>
    <w:bookmarkEnd w:id="49"/>
    <w:bookmarkStart w:id="51" w:name="ref-pattaro2020"/>
    <w:p>
      <w:pPr>
        <w:pStyle w:val="Bibliography"/>
      </w:pPr>
      <w:r>
        <w:t xml:space="preserve">Pattaro, Serena, Laura Vanderbloemen, and Jon Minton. 2020.</w:t>
      </w:r>
      <w:r>
        <w:t xml:space="preserve"> </w:t>
      </w:r>
      <w:r>
        <w:t xml:space="preserve">“Visualizing Fertility Trends for 45 Countries Using Composite Lattice Plots.”</w:t>
      </w:r>
      <w:r>
        <w:t xml:space="preserve"> </w:t>
      </w:r>
      <w:r>
        <w:rPr>
          <w:i/>
          <w:iCs/>
        </w:rPr>
        <w:t xml:space="preserve">Demographic Research</w:t>
      </w:r>
      <w:r>
        <w:t xml:space="preserve"> </w:t>
      </w:r>
      <w:r>
        <w:t xml:space="preserve">42 (23): 689–712.</w:t>
      </w:r>
      <w:r>
        <w:t xml:space="preserve"> </w:t>
      </w:r>
      <w:hyperlink r:id="rId50">
        <w:r>
          <w:rPr>
            <w:rStyle w:val="Hyperlink"/>
          </w:rPr>
          <w:t xml:space="preserve">https://doi.org/10.4054/DemRes.2020.42.23</w:t>
        </w:r>
      </w:hyperlink>
      <w:r>
        <w:t xml:space="preserve">.</w:t>
      </w:r>
    </w:p>
    <w:bookmarkEnd w:id="51"/>
    <w:bookmarkStart w:id="52" w:name="ref-sobotka2017"/>
    <w:p>
      <w:pPr>
        <w:pStyle w:val="Bibliography"/>
      </w:pPr>
      <w:r>
        <w:t xml:space="preserve">Sobotka, Tomáš. 2017.</w:t>
      </w:r>
      <w:r>
        <w:t xml:space="preserve"> </w:t>
      </w:r>
      <w:r>
        <w:t xml:space="preserve">“Post-Transitional Fertility: The Role of Childbearing Postponement in Fuelling the Shift to Low and Unstable Fertility Levels.”</w:t>
      </w:r>
      <w:r>
        <w:t xml:space="preserve"> </w:t>
      </w:r>
      <w:r>
        <w:rPr>
          <w:i/>
          <w:iCs/>
        </w:rPr>
        <w:t xml:space="preserve">Journal of Biosocial Science</w:t>
      </w:r>
      <w:r>
        <w:t xml:space="preserve"> </w:t>
      </w:r>
      <w:r>
        <w:t xml:space="preserve">49 (S1): S20–45.</w:t>
      </w:r>
    </w:p>
    <w:bookmarkEnd w:id="52"/>
    <w:bookmarkStart w:id="53" w:name="ref-sobotka2011"/>
    <w:p>
      <w:pPr>
        <w:pStyle w:val="Bibliography"/>
      </w:pPr>
      <w:r>
        <w:t xml:space="preserve">Sobotka, Tomáš, Vegard Skirbekk, and Dimiter Philipov. 2011.</w:t>
      </w:r>
      <w:r>
        <w:t xml:space="preserve"> </w:t>
      </w:r>
      <w:r>
        <w:t xml:space="preserve">“Economic Recession and Fertility in the Developed World.”</w:t>
      </w:r>
      <w:r>
        <w:t xml:space="preserve"> </w:t>
      </w:r>
      <w:r>
        <w:rPr>
          <w:i/>
          <w:iCs/>
        </w:rPr>
        <w:t xml:space="preserve">Population and Development Review</w:t>
      </w:r>
      <w:r>
        <w:t xml:space="preserve"> </w:t>
      </w:r>
      <w:r>
        <w:t xml:space="preserve">37 (2): 267–306.</w:t>
      </w:r>
    </w:p>
    <w:bookmarkEnd w:id="53"/>
    <w:bookmarkStart w:id="55" w:name="ref-zeman2018"/>
    <w:p>
      <w:pPr>
        <w:pStyle w:val="Bibliography"/>
      </w:pPr>
      <w:r>
        <w:t xml:space="preserve">Zeman, Krystof, Éva Beaujouan, Zuzanna Brzozowska, and Tomáš Sobotka. 2018.</w:t>
      </w:r>
      <w:r>
        <w:t xml:space="preserve"> </w:t>
      </w:r>
      <w:r>
        <w:t xml:space="preserve">“Cohort Fertility Decline in Low Fertility Countries: Decomposition Using Parity Progression Ratios.”</w:t>
      </w:r>
      <w:r>
        <w:t xml:space="preserve"> </w:t>
      </w:r>
      <w:r>
        <w:rPr>
          <w:i/>
          <w:iCs/>
        </w:rPr>
        <w:t xml:space="preserve">Demographic Research</w:t>
      </w:r>
      <w:r>
        <w:t xml:space="preserve"> </w:t>
      </w:r>
      <w:r>
        <w:t xml:space="preserve">38 (25): 651–90.</w:t>
      </w:r>
      <w:r>
        <w:t xml:space="preserve"> </w:t>
      </w:r>
      <w:hyperlink r:id="rId54">
        <w:r>
          <w:rPr>
            <w:rStyle w:val="Hyperlink"/>
          </w:rPr>
          <w:t xml:space="preserve">https://doi.org/10.4054/DemRes.2018.38.25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31" Target="media/rId31.png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16" Target="media/rId16.png" /><Relationship Type="http://schemas.openxmlformats.org/officeDocument/2006/relationships/hyperlink" Id="rId40" Target="https://doi.org/10.1007/s10680-020-09570-0" TargetMode="External" /><Relationship Type="http://schemas.openxmlformats.org/officeDocument/2006/relationships/hyperlink" Id="rId42" Target="https://doi.org/10.1080/00324728.2020.1750677" TargetMode="External" /><Relationship Type="http://schemas.openxmlformats.org/officeDocument/2006/relationships/hyperlink" Id="rId38" Target="https://doi.org/10.1111/padr.12334" TargetMode="External" /><Relationship Type="http://schemas.openxmlformats.org/officeDocument/2006/relationships/hyperlink" Id="rId44" Target="https://doi.org/10.1257/jep.36.1.151" TargetMode="External" /><Relationship Type="http://schemas.openxmlformats.org/officeDocument/2006/relationships/hyperlink" Id="rId54" Target="https://doi.org/10.4054/DemRes.2018.38.25" TargetMode="External" /><Relationship Type="http://schemas.openxmlformats.org/officeDocument/2006/relationships/hyperlink" Id="rId50" Target="https://doi.org/10.4054/DemRes.2020.42.23" TargetMode="External" /><Relationship Type="http://schemas.openxmlformats.org/officeDocument/2006/relationships/hyperlink" Id="rId13" Target="https://github.com/JonMinton/Comparative_Fertility" TargetMode="External" /><Relationship Type="http://schemas.openxmlformats.org/officeDocument/2006/relationships/hyperlink" Id="rId46" Target="https://www.fertilitydata.org" TargetMode="External" /><Relationship Type="http://schemas.openxmlformats.org/officeDocument/2006/relationships/hyperlink" Id="rId48" Target="https://www.humanfertility.org" TargetMode="External" /><Relationship Type="http://schemas.openxmlformats.org/officeDocument/2006/relationships/hyperlink" Id="rId9" Target="mailto:jon.will.minton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doi.org/10.1007/s10680-020-09570-0" TargetMode="External" /><Relationship Type="http://schemas.openxmlformats.org/officeDocument/2006/relationships/hyperlink" Id="rId42" Target="https://doi.org/10.1080/00324728.2020.1750677" TargetMode="External" /><Relationship Type="http://schemas.openxmlformats.org/officeDocument/2006/relationships/hyperlink" Id="rId38" Target="https://doi.org/10.1111/padr.12334" TargetMode="External" /><Relationship Type="http://schemas.openxmlformats.org/officeDocument/2006/relationships/hyperlink" Id="rId44" Target="https://doi.org/10.1257/jep.36.1.151" TargetMode="External" /><Relationship Type="http://schemas.openxmlformats.org/officeDocument/2006/relationships/hyperlink" Id="rId54" Target="https://doi.org/10.4054/DemRes.2018.38.25" TargetMode="External" /><Relationship Type="http://schemas.openxmlformats.org/officeDocument/2006/relationships/hyperlink" Id="rId50" Target="https://doi.org/10.4054/DemRes.2020.42.23" TargetMode="External" /><Relationship Type="http://schemas.openxmlformats.org/officeDocument/2006/relationships/hyperlink" Id="rId13" Target="https://github.com/JonMinton/Comparative_Fertility" TargetMode="External" /><Relationship Type="http://schemas.openxmlformats.org/officeDocument/2006/relationships/hyperlink" Id="rId46" Target="https://www.fertilitydata.org" TargetMode="External" /><Relationship Type="http://schemas.openxmlformats.org/officeDocument/2006/relationships/hyperlink" Id="rId48" Target="https://www.humanfertility.org" TargetMode="External" /><Relationship Type="http://schemas.openxmlformats.org/officeDocument/2006/relationships/hyperlink" Id="rId9" Target="mailto:jon.will.minton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closing corridor: postponement against the effective ceiling of the fertility lifecourse</dc:title>
  <dc:creator>Jon Minton</dc:creator>
  <cp:keywords/>
  <dcterms:created xsi:type="dcterms:W3CDTF">2026-07-11T15:29:19Z</dcterms:created>
  <dcterms:modified xsi:type="dcterms:W3CDTF">2026-07-11T15:29:19Z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Whether a cohort can reach replacement fertility depends on when childbearing starts and when it must end. Ages at first birth have risen five to six years since the 1970s; this paper is about the other boundary. Using the updated 45-country HFD/HFC panel (1850–2025), we define the effective ceiling of the fertility lifecourse as the highest age with ASFR ≥ 1/200 and show it is behavioural, not biological: 47–48 in nineteenth-century populations, pulled down to 41 by the 1980s as parity control truncated high-parity childbearing, and recovered only to about 43 since — one year per fifteen calendar years. The fertility mass above age 40 (0.02–0.07 children) cannot arithmetically substitute for earlier childbearing. Consequently replacement must now be achieved within a corridor roughly thirteen years wide, and on composite lattice plots the replacement contour visibly terminates at the ceiling — distinguishable from right-censoring — in 43 of 45 countries’ recent cohorts. The corridor framing contributes discipline to the debate on accelerating fertility decline: any candidate explanation must match the same age–cohort–timing fingerprint, and postponement converts to quantum loss even under unchanged intentions.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references.bib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date">
    <vt:lpwstr>2026-07-11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subtitle">
    <vt:lpwstr>DRAFT v0.1 (2026-07-11) — working paper for preprint; not yet reviewed by all listed contributors</vt:lpwstr>
  </property>
  <property fmtid="{D5CDD505-2E9C-101B-9397-08002B2CF9AE}" pid="16" name="toc-title">
    <vt:lpwstr>Table of contents</vt:lpwstr>
  </property>
</Properties>
</file>