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0E3" w:rsidRDefault="006A70E3" w:rsidP="006A70E3">
      <w:pPr>
        <w:pStyle w:val="Heading1"/>
      </w:pPr>
      <w:r>
        <w:t>Aim</w:t>
      </w:r>
    </w:p>
    <w:p w:rsidR="00B90175" w:rsidRDefault="006A70E3" w:rsidP="006A70E3">
      <w:r>
        <w:t xml:space="preserve">The aim of this paper is to present and describe the processes involved in producing a lattice plot which shows both age-specific fertility rates (ASFRs) </w:t>
      </w:r>
      <w:r w:rsidR="00B90175">
        <w:t>available by year</w:t>
      </w:r>
      <w:r>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this visualisation the ASFRs are represented graphically by cell shade, CCFRs by a series of easily distinguishable contour lines, and the strips which label each of the small multiples within the visualisation are coloured according to geographic region. </w:t>
      </w:r>
    </w:p>
    <w:p w:rsidR="006A70E3" w:rsidRPr="006A70E3" w:rsidRDefault="00B90175" w:rsidP="006A70E3">
      <w:r>
        <w:t>We suggest that the full visualisation produced is best viewed by being printed out in colour as an A3 or A2 poster, which we have found to greatly facilitate at-a-glance comparison between countries; 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rsidR="001060FB" w:rsidRDefault="006A70E3" w:rsidP="006A70E3">
      <w:pPr>
        <w:pStyle w:val="Heading1"/>
      </w:pPr>
      <w:r>
        <w:t>Methods</w:t>
      </w:r>
    </w:p>
    <w:p w:rsidR="006A70E3" w:rsidRPr="006A70E3" w:rsidRDefault="006A70E3" w:rsidP="006A70E3">
      <w:pPr>
        <w:pStyle w:val="Heading2"/>
      </w:pPr>
      <w:r>
        <w:t>Data</w:t>
      </w:r>
    </w:p>
    <w:p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E1519F">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"&lt;sup&gt;1,2&lt;/sup&gt;", "plainTextFormattedCitation" : "1,2", "previouslyFormattedCitation" : "&lt;sup&gt;1,2&lt;/sup&gt;" }, "properties" : { "noteIndex" : 0 }, "schema" : "https://github.com/citation-style-language/schema/raw/master/csl-citation.json" }</w:instrText>
      </w:r>
      <w:r w:rsidR="00E1519F">
        <w:fldChar w:fldCharType="separate"/>
      </w:r>
      <w:r w:rsidR="00E1519F" w:rsidRPr="00E1519F">
        <w:rPr>
          <w:noProof/>
          <w:vertAlign w:val="superscript"/>
        </w:rPr>
        <w:t>1,2</w:t>
      </w:r>
      <w:r w:rsidR="00E1519F">
        <w:fldChar w:fldCharType="end"/>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C366F">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"&lt;sup&gt;2&lt;/sup&gt;", "plainTextFormattedCitation" : "2", "previouslyFormattedCitation" : "&lt;sup&gt;2&lt;/sup&gt;" }, "properties" : { "noteIndex" : 0 }, "schema" : "https://github.com/citation-style-language/schema/raw/master/csl-citation.json" }</w:instrText>
      </w:r>
      <w:r w:rsidR="00E1519F">
        <w:fldChar w:fldCharType="separate"/>
      </w:r>
      <w:r w:rsidR="00E1519F" w:rsidRPr="00E1519F">
        <w:rPr>
          <w:noProof/>
          <w:vertAlign w:val="superscript"/>
        </w:rPr>
        <w:t>2</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CC366F">
        <w:fldChar w:fldCharType="begin" w:fldLock="1"/>
      </w:r>
      <w:r w:rsidR="00CC366F">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"&lt;sup&gt;3&lt;/sup&gt;", "plainTextFormattedCitation" : "3" }, "properties" : { "noteIndex" : 0 }, "schema" : "https://github.com/citation-style-language/schema/raw/master/csl-citation.json" }</w:instrText>
      </w:r>
      <w:r w:rsidR="00CC366F">
        <w:fldChar w:fldCharType="separate"/>
      </w:r>
      <w:r w:rsidR="00CC366F" w:rsidRPr="00CC366F">
        <w:rPr>
          <w:noProof/>
          <w:vertAlign w:val="superscript"/>
        </w:rPr>
        <w:t>3</w:t>
      </w:r>
      <w:r w:rsidR="00CC366F">
        <w:fldChar w:fldCharType="end"/>
      </w:r>
      <w:r w:rsidR="00CC366F">
        <w:t xml:space="preserve"> Data disaggregated by age in single year was used from both the HFD and HFC, and Lexis squares (one year by one year) rather Lexis triangles or Lexis parallelograms were </w:t>
      </w:r>
      <w:r w:rsidR="00D72E5B">
        <w:t>used. In addition to the 28 countries from the HFD, data from 48 countries were used, but not all were included in the final lattice visualisation because of</w:t>
      </w:r>
      <w:r w:rsidR="00E1519F">
        <w:t xml:space="preserve"> </w:t>
      </w:r>
      <w:r w:rsidR="00D72E5B">
        <w:t xml:space="preserve">limited periods of observation. </w:t>
      </w:r>
    </w:p>
    <w:p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xml:space="preserve">. For almost all countries, this approach produced a dataset comprising ASFRs for many contiguous years. The only exceptions to this contiguity were Bosnia and </w:t>
      </w:r>
      <w:proofErr w:type="spellStart"/>
      <w:r w:rsidR="004F5A64">
        <w:t>Hertzegovina</w:t>
      </w:r>
      <w:proofErr w:type="spellEnd"/>
      <w:r w:rsidR="004F5A64">
        <w:t xml:space="preserve"> (BIH), where records were missing for the years 1991 to 1995 inclusive, and Belarus (BLR), where records for 2013 </w:t>
      </w:r>
      <w:r w:rsidR="004F5A64">
        <w:lastRenderedPageBreak/>
        <w:t xml:space="preserve">were </w:t>
      </w:r>
      <w:r w:rsidR="006A70E3">
        <w:t xml:space="preserve">missing. In both of these cases ASFRs for the missing year were imputed through simple interpolation of ASFRs from the last and next observed years (1990 and 1996 for BIH; 2012 and 2014 for BLR). </w:t>
      </w:r>
    </w:p>
    <w:p w:rsidR="006A70E3" w:rsidRDefault="006A70E3" w:rsidP="006A70E3">
      <w:pPr>
        <w:pStyle w:val="Heading2"/>
      </w:pPr>
      <w:r>
        <w:t xml:space="preserve">Lexis surface mappings </w:t>
      </w:r>
    </w:p>
    <w:p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w:t>
      </w:r>
      <w:r>
        <w:t xml:space="preserve"> </w:t>
      </w:r>
      <w:r w:rsidR="00694E99">
        <w:t xml:space="preserve">ASFRs for each country and year were mapped to colours and shades using the Spectral colour palate from the </w:t>
      </w:r>
      <w:proofErr w:type="spellStart"/>
      <w:r w:rsidR="00937FBD">
        <w:t>RColorBrewer</w:t>
      </w:r>
      <w:proofErr w:type="spellEnd"/>
      <w:r w:rsidR="00937FBD">
        <w:t xml:space="preserve"> R package. [REF]</w:t>
      </w:r>
      <w:r w:rsidR="00694E99">
        <w:t xml:space="preserve"> The R packages Lattice and </w:t>
      </w:r>
      <w:proofErr w:type="spellStart"/>
      <w:r w:rsidR="00694E99">
        <w:t>LatticeExtra</w:t>
      </w:r>
      <w:proofErr w:type="spellEnd"/>
      <w:r w:rsidR="00694E99">
        <w:t xml:space="preserve"> were used to produce </w:t>
      </w:r>
      <w:r w:rsidR="00937FBD">
        <w:t xml:space="preserve">the visualisations. </w:t>
      </w:r>
    </w:p>
    <w:p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m:t>
            </m:r>
            <w:proofErr w:type="gramStart"/>
            <m:r>
              <w:rPr>
                <w:rFonts w:ascii="Cambria Math" w:hAnsi="Cambria Math"/>
              </w:rPr>
              <m:t>,y</m:t>
            </m:r>
            <w:proofErr w:type="gramEnd"/>
            <m:r>
              <w:rPr>
                <w:rFonts w:ascii="Cambria Math" w:hAnsi="Cambria Math"/>
              </w:rPr>
              <m:t>,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babies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rsidR="005D6F4E" w:rsidRDefault="005D6F4E" w:rsidP="005D6F4E">
      <w:pPr>
        <w:pStyle w:val="Heading1"/>
        <w:rPr>
          <w:rFonts w:eastAsiaTheme="minorEastAsia"/>
        </w:rPr>
      </w:pPr>
      <w:r>
        <w:rPr>
          <w:rFonts w:eastAsiaTheme="minorEastAsia"/>
        </w:rPr>
        <w:t xml:space="preserve">Results </w:t>
      </w:r>
    </w:p>
    <w:p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rsidR="00EB0CD3" w:rsidRDefault="00EB0CD3" w:rsidP="005D6F4E">
      <w:pPr>
        <w:pStyle w:val="Heading2"/>
      </w:pPr>
    </w:p>
    <w:p w:rsidR="005D6F4E" w:rsidRDefault="005D6F4E" w:rsidP="005D6F4E">
      <w:pPr>
        <w:pStyle w:val="Heading2"/>
      </w:pPr>
      <w:r>
        <w:t>Low Fertility European Countries: East Germany, West Germany, and Italy</w:t>
      </w:r>
    </w:p>
    <w:p w:rsidR="00EB0CD3" w:rsidRPr="00EB0CD3" w:rsidRDefault="00EB0CD3" w:rsidP="00EB0CD3">
      <w:r>
        <w:fldChar w:fldCharType="begin"/>
      </w:r>
      <w:r>
        <w:instrText xml:space="preserve"> REF _Ref365535323 \h </w:instrText>
      </w:r>
      <w:r>
        <w:fldChar w:fldCharType="separate"/>
      </w:r>
      <w:r>
        <w:t xml:space="preserve">Figure </w:t>
      </w:r>
      <w:r>
        <w:rPr>
          <w:noProof/>
        </w:rPr>
        <w:t>1</w:t>
      </w:r>
      <w:r>
        <w:fldChar w:fldCharType="end"/>
      </w:r>
      <w:r>
        <w:t xml:space="preserve"> shows the CFP for Spain, Italy and Germany, separated into East and West.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babies/woman,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babies/woman, looks like it may last be achieved for cohorts born between 1970-75 in all four countries; and in all four populations it appears levels of 1.30 will continue to be met for </w:t>
      </w:r>
      <w:r w:rsidR="00250AB5">
        <w:t>future</w:t>
      </w:r>
      <w:r>
        <w:t xml:space="preserve"> cohorts, though by around the age of 35 years in East/West Germany, and by age 40 in Spain and Italy; Spain and Italy therefore appear at greater risk of future cohorts not reaching even the 1.30 level, and so for total fertility in these countries to fall below those in Germany. In all four populations a shift from younger to higher ages of peak fertility is observed by noting that cell colours between around age 20 and 25 years change from yellow to green over time. </w:t>
      </w:r>
    </w:p>
    <w:p w:rsidR="00EB0CD3" w:rsidRDefault="00EB0CD3" w:rsidP="00EB0CD3">
      <w:pPr>
        <w:keepNext/>
      </w:pPr>
      <w:r>
        <w:rPr>
          <w:noProof/>
          <w:lang w:val="en-US"/>
        </w:rPr>
        <w:drawing>
          <wp:inline distT="0" distB="0" distL="0" distR="0" wp14:anchorId="0A1C5A6B" wp14:editId="7CC571CA">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6">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rsidR="005D6F4E" w:rsidRDefault="00EB0CD3" w:rsidP="00EB0CD3">
      <w:pPr>
        <w:pStyle w:val="Caption"/>
      </w:pPr>
      <w:bookmarkStart w:id="0" w:name="_Ref365535323"/>
      <w:r>
        <w:t xml:space="preserve">Figure </w:t>
      </w:r>
      <w:r>
        <w:fldChar w:fldCharType="begin"/>
      </w:r>
      <w:r>
        <w:instrText xml:space="preserve"> SEQ Figure \* ARABIC </w:instrText>
      </w:r>
      <w:r>
        <w:fldChar w:fldCharType="separate"/>
      </w:r>
      <w:r w:rsidR="00250AB5">
        <w:rPr>
          <w:noProof/>
        </w:rPr>
        <w:t>1</w:t>
      </w:r>
      <w:r>
        <w:fldChar w:fldCharType="end"/>
      </w:r>
      <w:bookmarkEnd w:id="0"/>
      <w:r>
        <w:t xml:space="preserve"> Composite Fertility Plot for Spain, Italy and Germany</w:t>
      </w:r>
    </w:p>
    <w:p w:rsidR="005D6F4E" w:rsidRPr="005D6F4E" w:rsidRDefault="005D6F4E" w:rsidP="005D6F4E"/>
    <w:p w:rsidR="00937FBD" w:rsidRDefault="00250AB5" w:rsidP="00250AB5">
      <w:pPr>
        <w:pStyle w:val="Heading2"/>
      </w:pPr>
      <w:r>
        <w:t xml:space="preserve">Anglophone Countries and Norway </w:t>
      </w:r>
    </w:p>
    <w:p w:rsidR="00250AB5" w:rsidRDefault="00250AB5" w:rsidP="00250AB5">
      <w:r>
        <w:fldChar w:fldCharType="begin"/>
      </w:r>
      <w:r>
        <w:instrText xml:space="preserve"> REF _Ref365537045 \h </w:instrText>
      </w:r>
      <w:r>
        <w:fldChar w:fldCharType="separate"/>
      </w:r>
      <w:r>
        <w:t xml:space="preserve">Figure </w:t>
      </w:r>
      <w:r>
        <w:rPr>
          <w:noProof/>
        </w:rPr>
        <w:t>2</w:t>
      </w:r>
      <w:r>
        <w:fldChar w:fldCharType="end"/>
      </w:r>
      <w:r>
        <w:t xml:space="preserve"> compares fertility trends in two pairs of </w:t>
      </w:r>
      <w:proofErr w:type="spellStart"/>
      <w:r>
        <w:t>Anglphone</w:t>
      </w:r>
      <w:proofErr w:type="spellEnd"/>
      <w:r>
        <w:t xml:space="preserve"> countries  - New Zealand and Australia; and the USA and Canada – with Norway. Each of these countries </w:t>
      </w:r>
      <w:proofErr w:type="gramStart"/>
      <w:r>
        <w:t>have</w:t>
      </w:r>
      <w:proofErr w:type="gramEnd"/>
      <w:r>
        <w:t xml:space="preserve"> relatively high fertility for affluent world nations. Compared with Australia, New Zealand has somewhat higher fertility with total fertility cohort fertility levels (thick solid contour) being achieved by age 40 years in the 1975 cohort, and with this contour appearing to level off at around this age; this is in contrast to Australia, where replacement levels were last met for the 1966 cohort. </w:t>
      </w:r>
    </w:p>
    <w:p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w:t>
      </w:r>
      <w:proofErr w:type="gramStart"/>
      <w:r w:rsidR="00B562FC">
        <w:t>RF  line</w:t>
      </w:r>
      <w:proofErr w:type="gramEnd"/>
      <w:r w:rsidR="00B562FC">
        <w:t xml:space="preserve"> hovers around age 43 in the latest period, whereas in the USA it appears to have stabilised around age 36. Of these populations, Canada has the lowest fertility, and appears to have stabilised at levels between 1.50 and 1.80 babies/woman. </w:t>
      </w:r>
    </w:p>
    <w:p w:rsidR="00B562FC" w:rsidRPr="00250AB5" w:rsidRDefault="00B562FC" w:rsidP="00250AB5">
      <w:r>
        <w:t xml:space="preserve">Looking at the colour and shading of cells, the USA is distinct amongst affluent world nations in having a wider range of ages of high fertility, with less evidence of fertility postponement within the population overall than in most other comparable nations. </w:t>
      </w:r>
    </w:p>
    <w:p w:rsidR="00250AB5" w:rsidRDefault="00250AB5" w:rsidP="00250AB5">
      <w:pPr>
        <w:keepNext/>
      </w:pPr>
      <w:r>
        <w:rPr>
          <w:noProof/>
          <w:lang w:val="en-US"/>
        </w:rPr>
        <w:drawing>
          <wp:inline distT="0" distB="0" distL="0" distR="0" wp14:anchorId="2F40CE94" wp14:editId="6441BE6F">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7">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rsidR="00250AB5" w:rsidRDefault="00250AB5" w:rsidP="00250AB5">
      <w:pPr>
        <w:pStyle w:val="Caption"/>
      </w:pPr>
      <w:bookmarkStart w:id="1" w:name="_Ref365537045"/>
      <w:r>
        <w:t xml:space="preserve">Figure </w:t>
      </w:r>
      <w:r>
        <w:fldChar w:fldCharType="begin"/>
      </w:r>
      <w:r>
        <w:instrText xml:space="preserve"> SEQ Figure \* ARABIC </w:instrText>
      </w:r>
      <w:r>
        <w:fldChar w:fldCharType="separate"/>
      </w:r>
      <w:r>
        <w:rPr>
          <w:noProof/>
        </w:rPr>
        <w:t>2</w:t>
      </w:r>
      <w:r>
        <w:fldChar w:fldCharType="end"/>
      </w:r>
      <w:bookmarkEnd w:id="1"/>
      <w:r>
        <w:t xml:space="preserve"> Composite Fertility Plots for Anglophone Countries and Norway</w:t>
      </w:r>
    </w:p>
    <w:p w:rsidR="00250AB5" w:rsidRPr="00250AB5" w:rsidRDefault="00250AB5" w:rsidP="00250AB5">
      <w:bookmarkStart w:id="2" w:name="_GoBack"/>
      <w:bookmarkEnd w:id="2"/>
    </w:p>
    <w:sectPr w:rsidR="00250AB5" w:rsidRPr="00250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4"/>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BC9"/>
    <w:rsid w:val="001060FB"/>
    <w:rsid w:val="001C4B18"/>
    <w:rsid w:val="001F5DA2"/>
    <w:rsid w:val="00250AB5"/>
    <w:rsid w:val="004F5A64"/>
    <w:rsid w:val="00563BC9"/>
    <w:rsid w:val="005D6F4E"/>
    <w:rsid w:val="00694E99"/>
    <w:rsid w:val="006A70E3"/>
    <w:rsid w:val="00937FBD"/>
    <w:rsid w:val="009F6EF2"/>
    <w:rsid w:val="00B31B93"/>
    <w:rsid w:val="00B562FC"/>
    <w:rsid w:val="00B90175"/>
    <w:rsid w:val="00CC366F"/>
    <w:rsid w:val="00D27233"/>
    <w:rsid w:val="00D72E5B"/>
    <w:rsid w:val="00E1519F"/>
    <w:rsid w:val="00EB0C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EDEAD-DBC5-6747-9879-2D4D30CF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Pages>
  <Words>2149</Words>
  <Characters>12254</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jm383x</cp:lastModifiedBy>
  <cp:revision>1</cp:revision>
  <dcterms:created xsi:type="dcterms:W3CDTF">2017-08-25T07:06:00Z</dcterms:created>
  <dcterms:modified xsi:type="dcterms:W3CDTF">2017-08-28T10:13:00Z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http://www.zotero.org/styles/american-medical-association</vt:lpwstr>
  </property>
</Properties>
</file>