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63F" w:rsidRDefault="00C8763F" w:rsidP="00C8763F">
      <w:pPr>
        <w:pStyle w:val="PlainText"/>
      </w:pPr>
      <w:r>
        <w:t xml:space="preserve">"Major revision required.  </w:t>
      </w:r>
    </w:p>
    <w:p w:rsidR="00C8763F" w:rsidRDefault="00C8763F" w:rsidP="00C8763F">
      <w:pPr>
        <w:pStyle w:val="PlainText"/>
      </w:pPr>
    </w:p>
    <w:p w:rsidR="00C8763F" w:rsidRPr="00454F94" w:rsidRDefault="00C8763F" w:rsidP="00C8763F">
      <w:pPr>
        <w:pStyle w:val="PlainText"/>
        <w:rPr>
          <w:b/>
        </w:rPr>
      </w:pPr>
      <w:r w:rsidRPr="00454F94">
        <w:rPr>
          <w:b/>
        </w:rPr>
        <w:t xml:space="preserve">C01: This paper needs reworking: the novelty aspect beyond overlaying the Lexis surfaces with CFS </w:t>
      </w:r>
      <w:proofErr w:type="spellStart"/>
      <w:r w:rsidRPr="00454F94">
        <w:rPr>
          <w:b/>
        </w:rPr>
        <w:t>isolines</w:t>
      </w:r>
      <w:proofErr w:type="spellEnd"/>
      <w:r w:rsidRPr="00454F94">
        <w:rPr>
          <w:b/>
        </w:rPr>
        <w:t xml:space="preserve"> is not obvious, so this aspect would need strengthening.  </w:t>
      </w:r>
    </w:p>
    <w:p w:rsidR="00C8763F" w:rsidRPr="00454F94" w:rsidRDefault="00C8763F" w:rsidP="00C8763F">
      <w:pPr>
        <w:pStyle w:val="PlainText"/>
        <w:rPr>
          <w:b/>
        </w:rPr>
      </w:pPr>
      <w:r w:rsidRPr="00454F94">
        <w:rPr>
          <w:b/>
        </w:rPr>
        <w:t>I'll chime in to try to clarify:</w:t>
      </w:r>
    </w:p>
    <w:p w:rsidR="00C8763F" w:rsidRPr="00454F94" w:rsidRDefault="00C8763F" w:rsidP="00C8763F">
      <w:pPr>
        <w:pStyle w:val="PlainText"/>
        <w:rPr>
          <w:b/>
        </w:rPr>
      </w:pPr>
      <w:r w:rsidRPr="00454F94">
        <w:rPr>
          <w:b/>
        </w:rPr>
        <w:t xml:space="preserve">The novelty aspect could be addressed by adding a section in the introduction that explains in more details how your visualisation is superior to other existing ways of visualising that kind of data.  </w:t>
      </w:r>
    </w:p>
    <w:p w:rsidR="00C8763F" w:rsidRPr="00454F94" w:rsidRDefault="00C8763F" w:rsidP="00C8763F">
      <w:pPr>
        <w:pStyle w:val="PlainText"/>
        <w:rPr>
          <w:b/>
        </w:rPr>
      </w:pPr>
    </w:p>
    <w:p w:rsidR="00C8763F" w:rsidRDefault="00F20994" w:rsidP="00C8763F">
      <w:pPr>
        <w:pStyle w:val="PlainText"/>
        <w:rPr>
          <w:b/>
        </w:rPr>
      </w:pPr>
      <w:r>
        <w:rPr>
          <w:b/>
        </w:rPr>
        <w:t xml:space="preserve">C02: </w:t>
      </w:r>
      <w:r w:rsidR="00C8763F" w:rsidRPr="00454F94">
        <w:rPr>
          <w:b/>
        </w:rPr>
        <w:t xml:space="preserve">The legibility of Figures 1-4 could be improved by adding a new figure 1 that shows just one or two Lattice Plots and uses direct labelling and perhaps a concrete example to guide the reader. East and West Germany would make a nice case study to explain what the plots show and why they are superior to other existing visualisations of the same data type. </w:t>
      </w:r>
    </w:p>
    <w:p w:rsidR="00F20994" w:rsidRPr="00F20994" w:rsidRDefault="00F20994" w:rsidP="00C8763F">
      <w:pPr>
        <w:pStyle w:val="PlainText"/>
      </w:pPr>
      <w:r w:rsidRPr="00F20994">
        <w:t>Re</w:t>
      </w:r>
      <w:r>
        <w:t>sponse: See main response below.</w:t>
      </w:r>
    </w:p>
    <w:p w:rsidR="00CA5C05" w:rsidRPr="00454F94" w:rsidRDefault="00CA5C05" w:rsidP="00CA5C05">
      <w:pPr>
        <w:pStyle w:val="PlainText"/>
        <w:rPr>
          <w:b/>
        </w:rPr>
      </w:pPr>
    </w:p>
    <w:p w:rsidR="00CA5C05" w:rsidRDefault="00CA5C05" w:rsidP="00CA5C05">
      <w:pPr>
        <w:pStyle w:val="PlainText"/>
        <w:rPr>
          <w:b/>
        </w:rPr>
      </w:pPr>
      <w:r w:rsidRPr="00454F94">
        <w:rPr>
          <w:b/>
        </w:rPr>
        <w:t>C0</w:t>
      </w:r>
      <w:r w:rsidR="00F20994">
        <w:rPr>
          <w:b/>
        </w:rPr>
        <w:t>3</w:t>
      </w:r>
      <w:r w:rsidRPr="00454F94">
        <w:rPr>
          <w:b/>
        </w:rPr>
        <w:t>: I admit that I currently struggle to read the figures; especially the contour lines are hard to read, also due to the fact that the labels (for solid, dashed</w:t>
      </w:r>
      <w:proofErr w:type="gramStart"/>
      <w:r w:rsidRPr="00454F94">
        <w:rPr>
          <w:b/>
        </w:rPr>
        <w:t>,...</w:t>
      </w:r>
      <w:proofErr w:type="gramEnd"/>
      <w:r w:rsidRPr="00454F94">
        <w:rPr>
          <w:b/>
        </w:rPr>
        <w:t xml:space="preserve">) are hidden in the notes below the plots. Perhaps you could adjust the colour scheme of the surface to use fewer colours and then use colour to distinguish the contour lines. </w:t>
      </w:r>
    </w:p>
    <w:p w:rsidR="00F20994" w:rsidRPr="00F20994" w:rsidRDefault="00F20994" w:rsidP="00CA5C05">
      <w:pPr>
        <w:pStyle w:val="PlainText"/>
      </w:pPr>
      <w:r w:rsidRPr="00F20994">
        <w:t>Response: See main response below</w:t>
      </w:r>
    </w:p>
    <w:p w:rsidR="00CA5C05" w:rsidRDefault="00CA5C05" w:rsidP="00C8763F">
      <w:pPr>
        <w:pStyle w:val="PlainText"/>
      </w:pPr>
    </w:p>
    <w:p w:rsidR="00CA5C05" w:rsidRDefault="00F20994" w:rsidP="00C8763F">
      <w:pPr>
        <w:pStyle w:val="PlainText"/>
      </w:pPr>
      <w:r>
        <w:t xml:space="preserve">Main </w:t>
      </w:r>
      <w:r w:rsidR="00CA5C05">
        <w:t>Response: W</w:t>
      </w:r>
      <w:r>
        <w:t>e have attempted to address C01, C02 and C03</w:t>
      </w:r>
      <w:r w:rsidR="00CA5C05">
        <w:t xml:space="preserve">, by providing a much clearer introduction to the approach using West and East Germany as examples. In addition to illustrating the construction of the method, aiding interpretability, they also highlight, through inline annotations, a number of substantive features identified within Germany demographic data when both age-specific fertility rates, and cumulative cohort fertility milestones, are presented in the same visualisation. Given the word limit we have not attempted to provide a summary comparison with existing visualisation approaches, but hope through this detailed introduction to the approach, illustrating its substantive value through the German examples, the overall novelty and benefits of the approach are now much clearer. </w:t>
      </w:r>
    </w:p>
    <w:p w:rsidR="00CA5C05" w:rsidRDefault="00CA5C05" w:rsidP="00C8763F">
      <w:pPr>
        <w:pStyle w:val="PlainText"/>
      </w:pPr>
      <w:r>
        <w:t>The specific sequence of new illustrations is as follows:</w:t>
      </w:r>
    </w:p>
    <w:p w:rsidR="00CA5C05" w:rsidRDefault="00CA5C05" w:rsidP="00F20994">
      <w:pPr>
        <w:pStyle w:val="PlainText"/>
        <w:numPr>
          <w:ilvl w:val="0"/>
          <w:numId w:val="1"/>
        </w:numPr>
      </w:pPr>
      <w:r>
        <w:t xml:space="preserve">The first subfigure demonstrates the intuition behind the contour lines </w:t>
      </w:r>
      <w:r w:rsidR="00C44847">
        <w:t xml:space="preserve">by presenting cumulative cohort fertility schedules for two birth cohorts in West Germany: 1935 and 1938, alongside both cohorts’ age-specific fertility schedules. </w:t>
      </w:r>
      <w:r w:rsidR="00E54705">
        <w:t xml:space="preserve">This subfigure shows how the contour lines are produced at whichever ages the cumulative fertility schedules of a given cohort intersect specific fertility thresholds or milestones. In the example given three of these thresholds are reached at similar ages for both cohorts, but the replacement fertility contour is reached at a substantially older age for the 1938 than the 1935 cohort. The complete cumulative cohort fertility for both cohorts is evident through the cumulative schedules becoming vertical from the early 40s onwards, illustrating why the associated contours tend to move near-vertically from these ages in many figures (i.e. if a birth cohort has not reached replacement fertility by around age 45, they are unlikely to reach replacement fertility at any age). This first subfigure also includes an inline sketch showing the monotonic ordering of four contour lines added to all figures. As the ordering of contour lines is consistent by definition, and each line uniquely identified through its combination of thickness and dash type, </w:t>
      </w:r>
      <w:r w:rsidR="00375AEA">
        <w:t>we hope to remain using hue and intensity to indicate age-specific fertility rates exclusively as before.</w:t>
      </w:r>
    </w:p>
    <w:p w:rsidR="00454F94" w:rsidRDefault="00C06C05" w:rsidP="00F20994">
      <w:pPr>
        <w:pStyle w:val="PlainText"/>
        <w:ind w:left="720"/>
      </w:pPr>
      <w:r>
        <w:t xml:space="preserve">The second subfigure shows the two key elements of the composite plot – colour and contour lines – separately for West Germany, as well as combined. Each of the separated plots are heavily annotated to highlight both methodological features, which apply to all other visualisations, and substantive features specific to West German patterns of fertility </w:t>
      </w:r>
      <w:r>
        <w:lastRenderedPageBreak/>
        <w:t>change. The methodological features include: the fact population label backgrounds are coloured by region, where the colour key is located; and the reason the contour lines do not extend as far to the left as the first coloured tile. The substantive findings include the fall in fertility</w:t>
      </w:r>
      <w:r w:rsidR="00454F94">
        <w:t xml:space="preserve"> at all ages in the late 1960s; </w:t>
      </w:r>
      <w:r>
        <w:t xml:space="preserve">the </w:t>
      </w:r>
      <w:r w:rsidR="00454F94">
        <w:t xml:space="preserve">upwards drift in age of peak fertility and corresponding fall in magnitude of peak fertility; the last birth cohorts to have experienced replacement or near-replacement fertility levels; and speculations about the likely trajectories of the 1.5 and 1.3 contour lines, and thus the likely </w:t>
      </w:r>
      <w:r>
        <w:t xml:space="preserve">the </w:t>
      </w:r>
      <w:r w:rsidR="00454F94">
        <w:t xml:space="preserve">total cohort fertility levels at which West Germany appears likely to stabilise at. In total 20 features within the figures are highlighted using within-figure annotations, in order to make much clearer the density of information revealed about population fertility within a single plot. </w:t>
      </w:r>
    </w:p>
    <w:p w:rsidR="00375AEA" w:rsidRDefault="00454F94" w:rsidP="00F20994">
      <w:pPr>
        <w:pStyle w:val="PlainText"/>
        <w:numPr>
          <w:ilvl w:val="0"/>
          <w:numId w:val="1"/>
        </w:numPr>
      </w:pPr>
      <w:r>
        <w:t xml:space="preserve">The third subfigure provides a side-by-side comparison of East with West Germany on a common scale. A large number of substantive features have already been pointed out in the second subfigure for West Germany, and some additional corresponding features are highlighted through in-figure annotations for East Germany. </w:t>
      </w:r>
    </w:p>
    <w:p w:rsidR="00454F94" w:rsidRDefault="00454F94" w:rsidP="00C8763F">
      <w:pPr>
        <w:pStyle w:val="PlainText"/>
      </w:pPr>
    </w:p>
    <w:p w:rsidR="00F20994" w:rsidRDefault="00F20994" w:rsidP="00F20994">
      <w:pPr>
        <w:pStyle w:val="PlainText"/>
        <w:rPr>
          <w:b/>
        </w:rPr>
      </w:pPr>
      <w:r w:rsidRPr="00454F94">
        <w:rPr>
          <w:b/>
        </w:rPr>
        <w:t>C0</w:t>
      </w:r>
      <w:r>
        <w:rPr>
          <w:b/>
        </w:rPr>
        <w:t>4</w:t>
      </w:r>
      <w:r w:rsidRPr="00454F94">
        <w:rPr>
          <w:b/>
        </w:rPr>
        <w:t xml:space="preserve">: In Figures 1-3, the grid lines seem too dense and distracting from the message; likewise, in Figure 4 there seem to be too many tick points.  </w:t>
      </w:r>
    </w:p>
    <w:p w:rsidR="00F20994" w:rsidRDefault="00F20994" w:rsidP="00F20994">
      <w:pPr>
        <w:pStyle w:val="PlainText"/>
      </w:pPr>
      <w:r>
        <w:t xml:space="preserve">Response: The gridlines have now been removed. </w:t>
      </w:r>
    </w:p>
    <w:p w:rsidR="00F20994" w:rsidRDefault="00F20994" w:rsidP="00F20994">
      <w:pPr>
        <w:pStyle w:val="PlainText"/>
      </w:pPr>
      <w:r>
        <w:t xml:space="preserve">Response: The size of figure 4 has been increased slightly, from 25x25cm to 26x26cm, to reduce the density of </w:t>
      </w:r>
      <w:proofErr w:type="spellStart"/>
      <w:r>
        <w:t>tickpoints</w:t>
      </w:r>
      <w:proofErr w:type="spellEnd"/>
      <w:r>
        <w:t xml:space="preserve">. The manuscript will also include clearer links to a larger version of this figure for printing on an A3 printer or similar, as this print size seems more appropriate for a visualisation of this complexity. The larger version of this figure also includes full labelling of each countries, rather than use of HMD codes, to improve readability further. </w:t>
      </w:r>
    </w:p>
    <w:p w:rsidR="00454F94" w:rsidRDefault="00454F94" w:rsidP="00C8763F">
      <w:pPr>
        <w:pStyle w:val="PlainText"/>
      </w:pPr>
    </w:p>
    <w:p w:rsidR="00C8763F" w:rsidRDefault="00C8763F" w:rsidP="00C8763F">
      <w:pPr>
        <w:pStyle w:val="PlainText"/>
      </w:pPr>
    </w:p>
    <w:p w:rsidR="00E54705" w:rsidRDefault="00C8763F" w:rsidP="00C8763F">
      <w:pPr>
        <w:pStyle w:val="PlainText"/>
        <w:rPr>
          <w:b/>
        </w:rPr>
      </w:pPr>
      <w:r w:rsidRPr="00F20994">
        <w:rPr>
          <w:b/>
        </w:rPr>
        <w:t>C0</w:t>
      </w:r>
      <w:r w:rsidR="00F20994" w:rsidRPr="00F20994">
        <w:rPr>
          <w:b/>
        </w:rPr>
        <w:t>4</w:t>
      </w:r>
      <w:r w:rsidRPr="00F20994">
        <w:rPr>
          <w:b/>
        </w:rPr>
        <w:t xml:space="preserve">: The equation objects within the text need improving, and </w:t>
      </w:r>
    </w:p>
    <w:p w:rsidR="00F20994" w:rsidRPr="004C3B4F" w:rsidRDefault="00F20994" w:rsidP="00C8763F">
      <w:pPr>
        <w:pStyle w:val="PlainText"/>
      </w:pPr>
      <w:r w:rsidRPr="004C3B4F">
        <w:t xml:space="preserve">Response: All equation objects have been rewritten so that less information is presented in the form of subscripts, because these are harder to read. For example </w:t>
      </w:r>
      <m:oMath>
        <m:sSub>
          <m:sSubPr>
            <m:ctrlPr>
              <w:rPr>
                <w:rFonts w:ascii="Cambria Math" w:hAnsi="Cambria Math"/>
                <w:i/>
              </w:rPr>
            </m:ctrlPr>
          </m:sSubPr>
          <m:e>
            <m:r>
              <w:rPr>
                <w:rFonts w:ascii="Cambria Math" w:hAnsi="Cambria Math"/>
              </w:rPr>
              <m:t>A</m:t>
            </m:r>
          </m:e>
          <m:sub>
            <m:r>
              <w:rPr>
                <w:rFonts w:ascii="Cambria Math" w:hAnsi="Cambria Math"/>
              </w:rPr>
              <m:t>x, y</m:t>
            </m:r>
          </m:sub>
        </m:sSub>
      </m:oMath>
      <w:r w:rsidRPr="004C3B4F">
        <w:rPr>
          <w:rFonts w:eastAsiaTheme="minorEastAsia"/>
        </w:rPr>
        <w:t xml:space="preserve"> would now be written </w:t>
      </w:r>
      <w:proofErr w:type="gramStart"/>
      <w:r w:rsidRPr="004C3B4F">
        <w:rPr>
          <w:rFonts w:eastAsiaTheme="minorEastAsia"/>
        </w:rPr>
        <w:t xml:space="preserve">as </w:t>
      </w:r>
      <w:proofErr w:type="gramEnd"/>
      <m:oMath>
        <m:r>
          <w:rPr>
            <w:rFonts w:ascii="Cambria Math" w:eastAsiaTheme="minorEastAsia" w:hAnsi="Cambria Math"/>
          </w:rPr>
          <m:t>A(x, y)</m:t>
        </m:r>
      </m:oMath>
      <w:r w:rsidR="004C3B4F" w:rsidRPr="004C3B4F">
        <w:rPr>
          <w:rFonts w:eastAsiaTheme="minorEastAsia"/>
        </w:rPr>
        <w:t xml:space="preserve">. </w:t>
      </w:r>
    </w:p>
    <w:p w:rsidR="00E54705" w:rsidRDefault="00E54705" w:rsidP="00C8763F">
      <w:pPr>
        <w:pStyle w:val="PlainText"/>
      </w:pPr>
    </w:p>
    <w:p w:rsidR="00C8763F" w:rsidRPr="00915101" w:rsidRDefault="00E54705" w:rsidP="00C8763F">
      <w:pPr>
        <w:pStyle w:val="PlainText"/>
        <w:rPr>
          <w:b/>
        </w:rPr>
      </w:pPr>
      <w:bookmarkStart w:id="0" w:name="_GoBack"/>
      <w:r w:rsidRPr="00915101">
        <w:rPr>
          <w:b/>
        </w:rPr>
        <w:t>C0</w:t>
      </w:r>
      <w:r w:rsidR="00F20994" w:rsidRPr="00915101">
        <w:rPr>
          <w:b/>
        </w:rPr>
        <w:t>5</w:t>
      </w:r>
      <w:r w:rsidRPr="00915101">
        <w:rPr>
          <w:b/>
        </w:rPr>
        <w:t xml:space="preserve">: </w:t>
      </w:r>
      <w:r w:rsidR="00C8763F" w:rsidRPr="00915101">
        <w:rPr>
          <w:b/>
        </w:rPr>
        <w:t>all the visualisations need to be double-checked from the point of view of being colour blindness/CVD-friendly."</w:t>
      </w:r>
    </w:p>
    <w:p w:rsidR="00C8763F" w:rsidRPr="00915101" w:rsidRDefault="00C8763F" w:rsidP="00C8763F">
      <w:pPr>
        <w:pStyle w:val="PlainText"/>
        <w:rPr>
          <w:b/>
        </w:rPr>
      </w:pPr>
      <w:r w:rsidRPr="00915101">
        <w:rPr>
          <w:b/>
        </w:rPr>
        <w:t>C0</w:t>
      </w:r>
      <w:r w:rsidR="00E54705" w:rsidRPr="00915101">
        <w:rPr>
          <w:b/>
        </w:rPr>
        <w:t>6</w:t>
      </w:r>
      <w:r w:rsidR="00F20994" w:rsidRPr="00915101">
        <w:rPr>
          <w:b/>
        </w:rPr>
        <w:t>:</w:t>
      </w:r>
      <w:r w:rsidRPr="00915101">
        <w:rPr>
          <w:b/>
        </w:rPr>
        <w:t xml:space="preserve"> We (the guest editors) agree that optimising the figures for colour blind readers is a valid point, but we also realise that this may not always be achievable. The most common type of colour blindness is the red/green weakness, meaning people cannot distinguish red from green. Hence, it's a good starting point not to use red and green together in the same figure. Please check if you could adjust (without too much extra work) the colour scheme accordingly. </w:t>
      </w:r>
    </w:p>
    <w:p w:rsidR="00C8763F" w:rsidRPr="00915101" w:rsidRDefault="00C8763F" w:rsidP="00C8763F">
      <w:pPr>
        <w:pStyle w:val="PlainText"/>
        <w:rPr>
          <w:b/>
        </w:rPr>
      </w:pPr>
      <w:r w:rsidRPr="00915101">
        <w:rPr>
          <w:b/>
        </w:rPr>
        <w:t xml:space="preserve">More details on "How to Optimize Charts </w:t>
      </w:r>
      <w:proofErr w:type="gramStart"/>
      <w:r w:rsidRPr="00915101">
        <w:rPr>
          <w:b/>
        </w:rPr>
        <w:t>For</w:t>
      </w:r>
      <w:proofErr w:type="gramEnd"/>
      <w:r w:rsidRPr="00915101">
        <w:rPr>
          <w:b/>
        </w:rPr>
        <w:t xml:space="preserve"> </w:t>
      </w:r>
      <w:proofErr w:type="spellStart"/>
      <w:r w:rsidRPr="00915101">
        <w:rPr>
          <w:b/>
        </w:rPr>
        <w:t>Color</w:t>
      </w:r>
      <w:proofErr w:type="spellEnd"/>
      <w:r w:rsidRPr="00915101">
        <w:rPr>
          <w:b/>
        </w:rPr>
        <w:t xml:space="preserve"> Blind Readers Using </w:t>
      </w:r>
      <w:proofErr w:type="spellStart"/>
      <w:r w:rsidRPr="00915101">
        <w:rPr>
          <w:b/>
        </w:rPr>
        <w:t>Color</w:t>
      </w:r>
      <w:proofErr w:type="spellEnd"/>
      <w:r w:rsidRPr="00915101">
        <w:rPr>
          <w:b/>
        </w:rPr>
        <w:t xml:space="preserve"> Blind Friendly Palettes" can be found here: </w:t>
      </w:r>
      <w:hyperlink r:id="rId5" w:history="1">
        <w:r w:rsidRPr="00915101">
          <w:rPr>
            <w:rStyle w:val="Hyperlink"/>
            <w:b/>
          </w:rPr>
          <w:t>https://venngage.com/blog/color-blind-friendly-palette/</w:t>
        </w:r>
      </w:hyperlink>
    </w:p>
    <w:bookmarkEnd w:id="0"/>
    <w:p w:rsidR="00786D59" w:rsidRDefault="00915101"/>
    <w:p w:rsidR="00782B64" w:rsidRDefault="004C3B4F">
      <w:r>
        <w:t xml:space="preserve">We thank the reviewer and guest editors for these additional considerations regarding use of colour. We have changed the main colour scheme used for representing age-specific fertility rates from </w:t>
      </w:r>
      <w:proofErr w:type="spellStart"/>
      <w:r>
        <w:t>RColorBrewer’s</w:t>
      </w:r>
      <w:proofErr w:type="spellEnd"/>
      <w:r>
        <w:t xml:space="preserve"> </w:t>
      </w:r>
      <w:r w:rsidR="00782B64">
        <w:t>‘</w:t>
      </w:r>
      <w:r>
        <w:t>Spectral</w:t>
      </w:r>
      <w:r w:rsidR="00782B64">
        <w:t>’</w:t>
      </w:r>
      <w:r>
        <w:t xml:space="preserve"> to </w:t>
      </w:r>
      <w:r w:rsidR="00782B64">
        <w:t>‘</w:t>
      </w:r>
      <w:r>
        <w:t>Paired</w:t>
      </w:r>
      <w:r w:rsidR="00782B64">
        <w:t>’</w:t>
      </w:r>
      <w:r>
        <w:t xml:space="preserve"> colour scheme. Whereas gradations in value using the </w:t>
      </w:r>
      <w:r w:rsidR="00782B64">
        <w:t>‘</w:t>
      </w:r>
      <w:r>
        <w:t>Spectral</w:t>
      </w:r>
      <w:r w:rsidR="00782B64">
        <w:t>’</w:t>
      </w:r>
      <w:r>
        <w:t xml:space="preserve"> scheme are </w:t>
      </w:r>
      <w:r w:rsidR="00782B64">
        <w:t xml:space="preserve">indicated </w:t>
      </w:r>
      <w:r>
        <w:t xml:space="preserve">primarily through shifts in hue from red to blue, which would be difficult from someone with the most common forms of CVD to distinguish between effectively, the </w:t>
      </w:r>
      <w:r w:rsidR="00782B64">
        <w:t>‘</w:t>
      </w:r>
      <w:r>
        <w:t>Paired</w:t>
      </w:r>
      <w:r w:rsidR="00782B64">
        <w:t>’</w:t>
      </w:r>
      <w:r>
        <w:t xml:space="preserve"> scheme employs both hue and brightness in order </w:t>
      </w:r>
      <w:r w:rsidR="00782B64">
        <w:t xml:space="preserve">to distinguish between values. </w:t>
      </w:r>
    </w:p>
    <w:p w:rsidR="004C3B4F" w:rsidRDefault="00782B64">
      <w:r>
        <w:t>The ‘Paired’ scheme places a sequence colours of dissimilar hues adjacent to each other, and then within each hue adjusts brightness from light to dark. An implication of this is that, even if someone were completely colour-blind and could only perceive monochrome, they would still see be able to interpret increasing or decreasing values presented using this scheme as a series of alternating light-</w:t>
      </w:r>
      <w:r>
        <w:lastRenderedPageBreak/>
        <w:t>dark-light-dark bands. Given age-specific fertility schedules are usually unimodal (with the possible exception of the USA),</w:t>
      </w:r>
      <w:r w:rsidR="00915101">
        <w:t xml:space="preserve"> rising at </w:t>
      </w:r>
      <w:r>
        <w:t>younger ages and falling at older ages, even in the edge case of complete colour-blindness the viewer should still be able to identify when these alternating bands indicate increases or decreases in fertility rates. In the more common forms of CVD</w:t>
      </w:r>
      <w:r w:rsidR="00915101">
        <w:t xml:space="preserve"> involving difficulties distinguishing reds from green, the scheme should still be interpretable as the red region is adjacent to orange, the green region adjacent to blue, and red and green distinguished from themselves by brightness (light-dark-light). </w:t>
      </w:r>
    </w:p>
    <w:p w:rsidR="00915101" w:rsidRDefault="00915101">
      <w:r>
        <w:t>A modification of the Paired colour scheme, in which the current blue-green-red-orange-purple-brown ordering is modified to (say) blue-green-orange-red-purple-brown, may provide even greater accessibility to those with CVD, and we would be happy to produce this modification if required.</w:t>
      </w:r>
    </w:p>
    <w:p w:rsidR="00915101" w:rsidRDefault="00915101"/>
    <w:p w:rsidR="00915101" w:rsidRDefault="00915101"/>
    <w:p w:rsidR="00C8763F" w:rsidRDefault="00C8763F"/>
    <w:sectPr w:rsidR="00C87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5E6291"/>
    <w:multiLevelType w:val="hybridMultilevel"/>
    <w:tmpl w:val="47C49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63"/>
    <w:rsid w:val="000F0986"/>
    <w:rsid w:val="002A0C3B"/>
    <w:rsid w:val="00375AEA"/>
    <w:rsid w:val="00454F94"/>
    <w:rsid w:val="00471F7A"/>
    <w:rsid w:val="004C3B4F"/>
    <w:rsid w:val="00782B64"/>
    <w:rsid w:val="00915101"/>
    <w:rsid w:val="00C06C05"/>
    <w:rsid w:val="00C44847"/>
    <w:rsid w:val="00C8763F"/>
    <w:rsid w:val="00CA5C05"/>
    <w:rsid w:val="00E54705"/>
    <w:rsid w:val="00E91B35"/>
    <w:rsid w:val="00F20994"/>
    <w:rsid w:val="00FD081B"/>
    <w:rsid w:val="00FD7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D2CED-2845-4CB9-A4CF-2E166594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763F"/>
    <w:rPr>
      <w:color w:val="0563C1" w:themeColor="hyperlink"/>
      <w:u w:val="single"/>
    </w:rPr>
  </w:style>
  <w:style w:type="paragraph" w:styleId="PlainText">
    <w:name w:val="Plain Text"/>
    <w:basedOn w:val="Normal"/>
    <w:link w:val="PlainTextChar"/>
    <w:uiPriority w:val="99"/>
    <w:semiHidden/>
    <w:unhideWhenUsed/>
    <w:rsid w:val="00C8763F"/>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C8763F"/>
    <w:rPr>
      <w:rFonts w:ascii="Calibri" w:hAnsi="Calibri" w:cs="Consolas"/>
      <w:szCs w:val="21"/>
    </w:rPr>
  </w:style>
  <w:style w:type="character" w:styleId="PlaceholderText">
    <w:name w:val="Placeholder Text"/>
    <w:basedOn w:val="DefaultParagraphFont"/>
    <w:uiPriority w:val="99"/>
    <w:semiHidden/>
    <w:rsid w:val="00F209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6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nngage.com/blog/color-blind-friendly-palet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6</cp:revision>
  <dcterms:created xsi:type="dcterms:W3CDTF">2018-08-03T09:37:00Z</dcterms:created>
  <dcterms:modified xsi:type="dcterms:W3CDTF">2018-08-08T10:43:00Z</dcterms:modified>
</cp:coreProperties>
</file>