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6.png" ContentType="image/png"/>
  <Override PartName="/word/media/rId26.png" ContentType="image/png"/>
  <Override PartName="/word/media/rId1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out of runway: fertility trends for 45 countries revisited</w:t>
      </w:r>
    </w:p>
    <w:p>
      <w:pPr>
        <w:pStyle w:val="Subtitle"/>
      </w:pPr>
      <w:r>
        <w:t xml:space="preserve">MERGED DRAFT v0.2 (2026-07-19) - sole-authored working paper; comments welcome</w:t>
      </w:r>
    </w:p>
    <w:p>
      <w:pPr>
        <w:pStyle w:val="Author"/>
      </w:pPr>
      <w:r>
        <w:t xml:space="preserve">Jon Minton</w:t>
      </w:r>
    </w:p>
    <w:p>
      <w:pPr>
        <w:pStyle w:val="Date"/>
      </w:pPr>
      <w:r>
        <w:t xml:space="preserve">2026-07-19</w:t>
      </w:r>
    </w:p>
    <w:p>
      <w:pPr>
        <w:pStyle w:val="AbstractTitle"/>
      </w:pPr>
      <w:r>
        <w:t xml:space="preserve">Abstract</w:t>
      </w:r>
    </w:p>
    <w:p>
      <w:pPr>
        <w:pStyle w:val="Abstract"/>
      </w:pPr>
      <w:r>
        <w:t xml:space="preserve">BACKGROUND - Fertility decline in high-income countries has drawn renewed</w:t>
      </w:r>
      <w:r>
        <w:t xml:space="preserve"> </w:t>
      </w:r>
      <w:r>
        <w:t xml:space="preserve">attention, with widely read accounts documenting steepening, converging</w:t>
      </w:r>
      <w:r>
        <w:t xml:space="preserve"> </w:t>
      </w:r>
      <w:r>
        <w:t xml:space="preserve">declines in total fertility rates (TFRs) since the late 2000s. TFRs,</w:t>
      </w:r>
      <w:r>
        <w:t xml:space="preserve"> </w:t>
      </w:r>
      <w:r>
        <w:t xml:space="preserve">however, discard the age structure on which explanations of the decline</w:t>
      </w:r>
      <w:r>
        <w:t xml:space="preserve"> </w:t>
      </w:r>
      <w:r>
        <w:t xml:space="preserve">differ. A 2020 paper by Pattaro, Vanderbloemen and Minton visualized that</w:t>
      </w:r>
      <w:r>
        <w:t xml:space="preserve"> </w:t>
      </w:r>
      <w:r>
        <w:t xml:space="preserve">structure directly, as composite fertility lattice plots for 45 countries,</w:t>
      </w:r>
      <w:r>
        <w:t xml:space="preserve"> </w:t>
      </w:r>
      <w:r>
        <w:t xml:space="preserve">and - unusually for a descriptive piece - published qualitative forecasts</w:t>
      </w:r>
      <w:r>
        <w:t xml:space="preserve"> </w:t>
      </w:r>
      <w:r>
        <w:t xml:space="preserve">for its two replacement-level exceptions, Norway and the United States.</w:t>
      </w:r>
      <w:r>
        <w:t xml:space="preserve"> </w:t>
      </w:r>
      <w:r>
        <w:t xml:space="preserve">OBJECTIVE - To update the 45-country panel to 2023-25; to check the 2020</w:t>
      </w:r>
      <w:r>
        <w:t xml:space="preserve"> </w:t>
      </w:r>
      <w:r>
        <w:t xml:space="preserve">forecasts against the accumulated data; and to formalize two features</w:t>
      </w:r>
      <w:r>
        <w:t xml:space="preserve"> </w:t>
      </w:r>
      <w:r>
        <w:t xml:space="preserve">readable on the surfaces - the age and amount of peak fertility (AAPF)</w:t>
      </w:r>
      <w:r>
        <w:t xml:space="preserve"> </w:t>
      </w:r>
      <w:r>
        <w:t xml:space="preserve">and the age of no return (ANR) - that together describe the narrowing</w:t>
      </w:r>
      <w:r>
        <w:t xml:space="preserve"> </w:t>
      </w:r>
      <w:r>
        <w:t xml:space="preserve">space within which cohorts can now reach replacement. METHODS - The</w:t>
      </w:r>
      <w:r>
        <w:t xml:space="preserve"> </w:t>
      </w:r>
      <w:r>
        <w:t xml:space="preserve">published combination rules and visual specification are reapplied to the</w:t>
      </w:r>
      <w:r>
        <w:t xml:space="preserve"> </w:t>
      </w:r>
      <w:r>
        <w:t xml:space="preserve">2026 HFD/HFC releases (1850-2025); the 2020-vintage data are frozen at a</w:t>
      </w:r>
      <w:r>
        <w:t xml:space="preserve"> </w:t>
      </w:r>
      <w:r>
        <w:t xml:space="preserve">public repository tag for exact comparison. The AAPF is the ridge of the</w:t>
      </w:r>
      <w:r>
        <w:t xml:space="preserve"> </w:t>
      </w:r>
      <w:r>
        <w:t xml:space="preserve">fertility surface (the modal age of the schedule and the rate at that</w:t>
      </w:r>
      <w:r>
        <w:t xml:space="preserve"> </w:t>
      </w:r>
      <w:r>
        <w:t xml:space="preserve">age); the ANR is the highest age at which the ASFR reaches 1/200, a</w:t>
      </w:r>
      <w:r>
        <w:t xml:space="preserve"> </w:t>
      </w:r>
      <w:r>
        <w:t xml:space="preserve">threshold fixed ex ante with sensitivity checks. RESULTS - Both 2020</w:t>
      </w:r>
      <w:r>
        <w:t xml:space="preserve"> </w:t>
      </w:r>
      <w:r>
        <w:t xml:space="preserve">forecasts were qualitatively correct but quantitatively optimistic.</w:t>
      </w:r>
      <w:r>
        <w:t xml:space="preserve"> </w:t>
      </w:r>
      <w:r>
        <w:t xml:space="preserve">Norway lost replacement not gradually but immediately: no cohort born</w:t>
      </w:r>
      <w:r>
        <w:t xml:space="preserve"> </w:t>
      </w:r>
      <w:r>
        <w:t xml:space="preserve">after 1971 reaches replacement at any observed age. The United States</w:t>
      </w:r>
      <w:r>
        <w:t xml:space="preserve"> </w:t>
      </w:r>
      <w:r>
        <w:t xml:space="preserve">sustained replacement through the 1984 cohort, but at crossing ages of</w:t>
      </w:r>
      <w:r>
        <w:t xml:space="preserve"> </w:t>
      </w:r>
      <w:r>
        <w:t xml:space="preserve">39-40 rather than the extrapolated 37. Across the panel, the AAPF rose</w:t>
      </w:r>
      <w:r>
        <w:t xml:space="preserve"> </w:t>
      </w:r>
      <w:r>
        <w:t xml:space="preserve">from a median age of 24 (1950s-70s) to 31 (2020s) while nearly halving</w:t>
      </w:r>
      <w:r>
        <w:t xml:space="preserve"> </w:t>
      </w:r>
      <w:r>
        <w:t xml:space="preserve">in level, and the ANR fell from 45 to 41 before recovering only to 43:</w:t>
      </w:r>
      <w:r>
        <w:t xml:space="preserve"> </w:t>
      </w:r>
      <w:r>
        <w:t xml:space="preserve">the usable runway between peak childbearing and its effective end has</w:t>
      </w:r>
      <w:r>
        <w:t xml:space="preserve"> </w:t>
      </w:r>
      <w:r>
        <w:t xml:space="preserve">narrowed from twenty years to twelve. CONCLUSIONS - Cohorts are reaching</w:t>
      </w:r>
      <w:r>
        <w:t xml:space="preserve"> </w:t>
      </w:r>
      <w:r>
        <w:t xml:space="preserve">maximum fertility speed later, at lower speed, on a shorter runway. This</w:t>
      </w:r>
      <w:r>
        <w:t xml:space="preserve"> </w:t>
      </w:r>
      <w:r>
        <w:t xml:space="preserve">age-structure account explains, in higher resolution, the TFR-level</w:t>
      </w:r>
      <w:r>
        <w:t xml:space="preserve"> </w:t>
      </w:r>
      <w:r>
        <w:t xml:space="preserve">convergence now attracting attention, and the successful direction of the</w:t>
      </w:r>
      <w:r>
        <w:t xml:space="preserve"> </w:t>
      </w:r>
      <w:r>
        <w:t xml:space="preserve">2020 forecasts shows that reading fertility surfaces can support</w:t>
      </w:r>
      <w:r>
        <w:t xml:space="preserve"> </w:t>
      </w:r>
      <w:r>
        <w:t xml:space="preserve">legitimate medium-term expectations - while their shared optimism shows</w:t>
      </w:r>
      <w:r>
        <w:t xml:space="preserve"> </w:t>
      </w:r>
      <w:r>
        <w:t xml:space="preserve">exactly where informal extrapolation needs formal help. CONTRIBUTION -</w:t>
      </w:r>
      <w:r>
        <w:t xml:space="preserve"> </w:t>
      </w:r>
      <w:r>
        <w:t xml:space="preserve">An updated 45-country fertility surface panel; a resolved test of</w:t>
      </w:r>
      <w:r>
        <w:t xml:space="preserve"> </w:t>
      </w:r>
      <w:r>
        <w:t xml:space="preserve">published visual extrapolations; and two simple, formally defined</w:t>
      </w:r>
      <w:r>
        <w:t xml:space="preserve"> </w:t>
      </w:r>
      <w:r>
        <w:t xml:space="preserve">summaries (AAPF, ANR) that distil the surfaces into a single readable</w:t>
      </w:r>
      <w:r>
        <w:t xml:space="preserve"> </w:t>
      </w:r>
      <w:r>
        <w:t xml:space="preserve">chart of the squeeze.</w:t>
      </w:r>
    </w:p>
    <w:p>
      <w:pPr>
        <w:pStyle w:val="BlockText"/>
      </w:pPr>
      <w:r>
        <w:rPr>
          <w:b/>
          <w:bCs/>
        </w:rPr>
        <w:t xml:space="preserve">FOR REVIEWERS (Word copy).</w:t>
      </w:r>
      <w:r>
        <w:t xml:space="preserve"> </w:t>
      </w:r>
      <w:r>
        <w:t xml:space="preserve">Please comment using Word’s</w:t>
      </w:r>
      <w:r>
        <w:t xml:space="preserve"> </w:t>
      </w:r>
      <w:r>
        <w:rPr>
          <w:i/>
          <w:iCs/>
        </w:rPr>
        <w:t xml:space="preserve">Comments</w:t>
      </w:r>
      <w:r>
        <w:t xml:space="preserve"> </w:t>
      </w:r>
      <w:r>
        <w:t xml:space="preserve">and</w:t>
      </w:r>
      <w:r>
        <w:t xml:space="preserve"> </w:t>
      </w:r>
      <w:r>
        <w:rPr>
          <w:i/>
          <w:iCs/>
        </w:rPr>
        <w:t xml:space="preserve">Track Changes</w:t>
      </w:r>
      <w:r>
        <w:t xml:space="preserve"> </w:t>
      </w:r>
      <w:r>
        <w:t xml:space="preserve">features - do not edit silently. Return the file to</w:t>
      </w:r>
      <w:r>
        <w:t xml:space="preserve"> </w:t>
      </w:r>
      <w:hyperlink r:id="rId9">
        <w:r>
          <w:rPr>
            <w:rStyle w:val="Hyperlink"/>
          </w:rPr>
          <w:t xml:space="preserve">jon.will.minton@gmail.com</w:t>
        </w:r>
      </w:hyperlink>
      <w:r>
        <w:t xml:space="preserve">. Comments will be logged in the project’s public</w:t>
      </w:r>
      <w:r>
        <w:t xml:space="preserve"> </w:t>
      </w:r>
      <w:r>
        <w:t xml:space="preserve">feedback register (</w:t>
      </w:r>
      <w:r>
        <w:rPr>
          <w:rStyle w:val="VerbatimChar"/>
        </w:rPr>
        <w:t xml:space="preserve">manuscript_2026/review/FEEDBACK.md</w:t>
      </w:r>
      <w:r>
        <w:t xml:space="preserve"> </w:t>
      </w:r>
      <w:r>
        <w:t xml:space="preserve">on GitHub), actioned,</w:t>
      </w:r>
      <w:r>
        <w:t xml:space="preserve"> </w:t>
      </w:r>
      <w:r>
        <w:t xml:space="preserve">and credited; substantive contributions meeting authorship criteria are</w:t>
      </w:r>
      <w:r>
        <w:t xml:space="preserve"> </w:t>
      </w:r>
      <w:r>
        <w:t xml:space="preserve">recognized with co-authorship in later versions, with consent. This is the</w:t>
      </w:r>
      <w:r>
        <w:t xml:space="preserve"> </w:t>
      </w:r>
      <w:r>
        <w:t xml:space="preserve">MERGED draft v0.2 (2026-07-19), not yet submitted anywhere.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Draft status and authorship.</w:t>
            </w:r>
            <w:r>
              <w:t xml:space="preserve"> </w:t>
            </w:r>
            <w:r>
              <w:t xml:space="preserve">This is a sole-authored working version</w:t>
            </w:r>
            <w:r>
              <w:t xml:space="preserve"> </w:t>
            </w:r>
            <w:r>
              <w:t xml:space="preserve">posted for open comment; Jon Minton is the only author and is solely</w:t>
            </w:r>
            <w:r>
              <w:t xml:space="preserve"> </w:t>
            </w:r>
            <w:r>
              <w:t xml:space="preserve">responsible for its content. It supersedes two working papers of 11 July</w:t>
            </w:r>
            <w:r>
              <w:t xml:space="preserve"> </w:t>
            </w:r>
            <w:r>
              <w:t xml:space="preserve">2026 and a first merged draft of 14 July 2026, all retained in the project</w:t>
            </w:r>
            <w:r>
              <w:t xml:space="preserve"> </w:t>
            </w:r>
            <w:r>
              <w:t xml:space="preserve">repository for provenance. The manuscript updates and builds on</w:t>
            </w:r>
            <w:r>
              <w:t xml:space="preserve"> </w:t>
            </w:r>
            <w:r>
              <w:t xml:space="preserve">Pattaro et al. (2020)</w:t>
            </w:r>
            <w:r>
              <w:t xml:space="preserve">, whose co-authors Serena Pattaro and Laura Vanderbloemen are</w:t>
            </w:r>
            <w:r>
              <w:t xml:space="preserve"> </w:t>
            </w:r>
            <w:r>
              <w:t xml:space="preserve">acknowledged for the original work and for review comments on the working</w:t>
            </w:r>
            <w:r>
              <w:t xml:space="preserve"> </w:t>
            </w:r>
            <w:r>
              <w:t xml:space="preserve">papers, but are not authors of this version; contributions meeting</w:t>
            </w:r>
            <w:r>
              <w:t xml:space="preserve"> </w:t>
            </w:r>
            <w:r>
              <w:t xml:space="preserve">authorship criteria will be recognized with co-authorship in later</w:t>
            </w:r>
            <w:r>
              <w:t xml:space="preserve"> </w:t>
            </w:r>
            <w:r>
              <w:t xml:space="preserve">versions, with consent. The manuscript was drafted with AI assistance</w:t>
            </w:r>
            <w:r>
              <w:t xml:space="preserve"> </w:t>
            </w:r>
            <w:r>
              <w:t xml:space="preserve">(Claude, Anthropic) under the author’s direction; the role of AI-assisted</w:t>
            </w:r>
            <w:r>
              <w:t xml:space="preserve"> </w:t>
            </w:r>
            <w:r>
              <w:t xml:space="preserve">workflow in this project is described in the Discussion. The analysis is</w:t>
            </w:r>
            <w:r>
              <w:t xml:space="preserve"> </w:t>
            </w:r>
            <w:r>
              <w:t xml:space="preserve">reproducible from</w:t>
            </w:r>
            <w:r>
              <w:t xml:space="preserve"> </w:t>
            </w:r>
            <w:hyperlink r:id="rId13">
              <w:r>
                <w:rPr>
                  <w:rStyle w:val="Hyperlink"/>
                </w:rPr>
                <w:t xml:space="preserve">https://github.com/JonMinton/comparative_fertility</w:t>
              </w:r>
            </w:hyperlink>
            <w:r>
              <w:t xml:space="preserve">;</w:t>
            </w:r>
            <w:r>
              <w:t xml:space="preserve"> </w:t>
            </w:r>
            <w:r>
              <w:t xml:space="preserve">analytic choices (thresholds, definitions) were fixed in the repository’s</w:t>
            </w:r>
            <w:r>
              <w:t xml:space="preserve"> </w:t>
            </w:r>
            <w:r>
              <w:t xml:space="preserve">public workplan before the analysis ran on the updated data, with</w:t>
            </w:r>
            <w:r>
              <w:t xml:space="preserve"> </w:t>
            </w:r>
            <w:r>
              <w:t xml:space="preserve">prototypes on the pre-update data disclosed there. Additional materials are</w:t>
            </w:r>
            <w:r>
              <w:t xml:space="preserve"> </w:t>
            </w:r>
            <w:r>
              <w:t xml:space="preserve">in the accompanying supplement (sections S1-S8), generated from the same</w:t>
            </w:r>
            <w:r>
              <w:t xml:space="preserve"> </w:t>
            </w:r>
            <w:r>
              <w:t xml:space="preserve">repository.</w:t>
            </w:r>
          </w:p>
          <w:p/>
        </w:tc>
      </w:tr>
    </w:tbl>
    <w:bookmarkStart w:id="14" w:name="introduction"/>
    <w:p>
      <w:pPr>
        <w:pStyle w:val="Heading1"/>
      </w:pPr>
      <w:r>
        <w:t xml:space="preserve">Introduction</w:t>
      </w:r>
    </w:p>
    <w:p>
      <w:pPr>
        <w:pStyle w:val="FirstParagraph"/>
      </w:pPr>
      <w:r>
        <w:t xml:space="preserve">Fertility decline is attracting attention again, and with a new inflection:</w:t>
      </w:r>
      <w:r>
        <w:t xml:space="preserve"> </w:t>
      </w:r>
      <w:r>
        <w:t xml:space="preserve">not just that fertility in high-income countries is low, but that its</w:t>
      </w:r>
      <w:r>
        <w:t xml:space="preserve"> </w:t>
      </w:r>
      <w:r>
        <w:t xml:space="preserve">decline appears to have steepened since the late 2000s and to be arriving</w:t>
      </w:r>
      <w:r>
        <w:t xml:space="preserve"> </w:t>
      </w:r>
      <w:r>
        <w:t xml:space="preserve">everywhere at once. The most widely read descriptive accounts are</w:t>
      </w:r>
      <w:r>
        <w:t xml:space="preserve"> </w:t>
      </w:r>
      <w:r>
        <w:t xml:space="preserve">period-TFR-based: a recent Our World in Data (OWiD) insight documents</w:t>
      </w:r>
      <w:r>
        <w:t xml:space="preserve"> </w:t>
      </w:r>
      <w:r>
        <w:t xml:space="preserve">fertility rates converging steeply downward across countries with very</w:t>
      </w:r>
      <w:r>
        <w:t xml:space="preserve"> </w:t>
      </w:r>
      <w:r>
        <w:t xml:space="preserve">different starting points</w:t>
      </w:r>
      <w:r>
        <w:t xml:space="preserve"> </w:t>
      </w:r>
      <w:r>
        <w:t xml:space="preserve">(Ritchie 2026)</w:t>
      </w:r>
      <w:r>
        <w:t xml:space="preserve">, and data journalism in</w:t>
      </w:r>
      <w:r>
        <w:t xml:space="preserve"> </w:t>
      </w:r>
      <w:r>
        <w:t xml:space="preserve">the</w:t>
      </w:r>
      <w:r>
        <w:t xml:space="preserve"> </w:t>
      </w:r>
      <w:r>
        <w:rPr>
          <w:i/>
          <w:iCs/>
        </w:rPr>
        <w:t xml:space="preserve">Financial Times</w:t>
      </w:r>
      <w:r>
        <w:t xml:space="preserve"> </w:t>
      </w:r>
      <w:r>
        <w:t xml:space="preserve">has argued that the timing of the steepening tracks</w:t>
      </w:r>
      <w:r>
        <w:t xml:space="preserve"> </w:t>
      </w:r>
      <w:r>
        <w:t xml:space="preserve">mass smartphone adoption across otherwise dissimilar countries</w:t>
      </w:r>
      <w:r>
        <w:t xml:space="preserve"> </w:t>
      </w:r>
      <w:r>
        <w:t xml:space="preserve">(Burn-Murdoch 2026)</w:t>
      </w:r>
      <w:r>
        <w:t xml:space="preserve">. A research literature on the acceleration and its</w:t>
      </w:r>
      <w:r>
        <w:t xml:space="preserve"> </w:t>
      </w:r>
      <w:r>
        <w:t xml:space="preserve">candidate causes - economic precarity after 2008, digital-technology</w:t>
      </w:r>
      <w:r>
        <w:t xml:space="preserve"> </w:t>
      </w:r>
      <w:r>
        <w:t xml:space="preserve">exposure, housing and partnership - is growing quickly</w:t>
      </w:r>
      <w:r>
        <w:t xml:space="preserve"> </w:t>
      </w:r>
      <w:r>
        <w:t xml:space="preserve">(Sobotka et al. 2011; Kearney et al. 2022; Hudson and Moscoso Boedo 2026; Moscoso Boedo and Hudson 2026; Myers and Hooper 2026)</w:t>
      </w:r>
      <w:r>
        <w:t xml:space="preserve">.</w:t>
      </w:r>
    </w:p>
    <w:p>
      <w:pPr>
        <w:pStyle w:val="BodyText"/>
      </w:pPr>
      <w:r>
        <w:t xml:space="preserve">This paper approaches the renewed interest from the descriptive side, in</w:t>
      </w:r>
      <w:r>
        <w:t xml:space="preserve"> </w:t>
      </w:r>
      <w:r>
        <w:t xml:space="preserve">three phases. First, we reintroduce a visualization method - composite</w:t>
      </w:r>
      <w:r>
        <w:t xml:space="preserve"> </w:t>
      </w:r>
      <w:r>
        <w:t xml:space="preserve">fertility lattice plots for 45 countries, published in 2020 - and consider</w:t>
      </w:r>
      <w:r>
        <w:t xml:space="preserve"> </w:t>
      </w:r>
      <w:r>
        <w:t xml:space="preserve">candidly why its uptake was limited. Second, we show that the method’s 2020</w:t>
      </w:r>
      <w:r>
        <w:t xml:space="preserve"> </w:t>
      </w:r>
      <w:r>
        <w:t xml:space="preserve">outputs contained falsifiable forecasts for Norway and the United States;</w:t>
      </w:r>
      <w:r>
        <w:t xml:space="preserve"> </w:t>
      </w:r>
      <w:r>
        <w:t xml:space="preserve">we update the panel to 2023-25 and check them, finding both qualitatively</w:t>
      </w:r>
      <w:r>
        <w:t xml:space="preserve"> </w:t>
      </w:r>
      <w:r>
        <w:t xml:space="preserve">correct but quantitatively optimistic. Third, we formalize two quantities</w:t>
      </w:r>
      <w:r>
        <w:t xml:space="preserve"> </w:t>
      </w:r>
      <w:r>
        <w:t xml:space="preserve">that the surfaces make visible - the age and amount of peak fertility</w:t>
      </w:r>
      <w:r>
        <w:t xml:space="preserve"> </w:t>
      </w:r>
      <w:r>
        <w:t xml:space="preserve">(AAPF) and the age of no return (ANR) - and show that their convergent</w:t>
      </w:r>
      <w:r>
        <w:t xml:space="preserve"> </w:t>
      </w:r>
      <w:r>
        <w:t xml:space="preserve">trajectories, peak later and lower, endpoint sooner, are the age-structure</w:t>
      </w:r>
      <w:r>
        <w:t xml:space="preserve"> </w:t>
      </w:r>
      <w:r>
        <w:t xml:space="preserve">mechanics beneath the TFR convergence now drawing attention: cohorts are</w:t>
      </w:r>
      <w:r>
        <w:t xml:space="preserve"> </w:t>
      </w:r>
      <w:r>
        <w:t xml:space="preserve">running out of runway.</w:t>
      </w:r>
    </w:p>
    <w:bookmarkEnd w:id="14"/>
    <w:bookmarkStart w:id="21" w:name="Xb2a44fc6fc242292268aca2856e713aff624c10"/>
    <w:p>
      <w:pPr>
        <w:pStyle w:val="Heading1"/>
      </w:pPr>
      <w:r>
        <w:t xml:space="preserve">The visualization method, and why it deserves a second look</w:t>
      </w:r>
    </w:p>
    <w:bookmarkStart w:id="19" w:name="composite-fertility-lattice-plots"/>
    <w:p>
      <w:pPr>
        <w:pStyle w:val="Heading2"/>
      </w:pPr>
      <w:r>
        <w:t xml:space="preserve">Composite fertility lattice plots</w:t>
      </w:r>
    </w:p>
    <w:p>
      <w:pPr>
        <w:pStyle w:val="FirstParagraph"/>
      </w:pPr>
      <w:r>
        <w:t xml:space="preserve">Using Human Fertility Database (HFD) and Human Fertility Collection (HFC)</w:t>
      </w:r>
      <w:r>
        <w:t xml:space="preserve"> </w:t>
      </w:r>
      <w:r>
        <w:t xml:space="preserve">data ending in 2014-15,</w:t>
      </w:r>
      <w:r>
        <w:t xml:space="preserve"> </w:t>
      </w:r>
      <w:r>
        <w:t xml:space="preserve">Pattaro et al. (2020)</w:t>
      </w:r>
      <w:r>
        <w:t xml:space="preserve"> </w:t>
      </w:r>
      <w:r>
        <w:t xml:space="preserve">introduced composite fertility lattice</w:t>
      </w:r>
      <w:r>
        <w:t xml:space="preserve"> </w:t>
      </w:r>
      <w:r>
        <w:t xml:space="preserve">plots: Lexis surfaces combining level-plot shading of age-specific</w:t>
      </w:r>
      <w:r>
        <w:t xml:space="preserve"> </w:t>
      </w:r>
      <w:r>
        <w:t xml:space="preserve">fertility rates (ASFRs) with contour lines marking cumulative pseudo-cohort</w:t>
      </w:r>
      <w:r>
        <w:t xml:space="preserve"> </w:t>
      </w:r>
      <w:r>
        <w:t xml:space="preserve">fertility rate (CPCFR) milestones of 1.50 and 2.05 (</w:t>
      </w:r>
      <w:r>
        <w:t xml:space="preserve">“replacement”</w:t>
      </w:r>
      <w:r>
        <w:t xml:space="preserve">) children</w:t>
      </w:r>
      <w:r>
        <w:t xml:space="preserve"> </w:t>
      </w:r>
      <w:r>
        <w:t xml:space="preserve">per woman, drawn for 45 countries on a common specification</w:t>
      </w:r>
      <w:r>
        <w:t xml:space="preserve"> </w:t>
      </w:r>
      <w:r>
        <w:t xml:space="preserve">(Sarkar 2008)</w:t>
      </w:r>
      <w:r>
        <w:t xml:space="preserve">.</w:t>
      </w:r>
      <w:r>
        <w:t xml:space="preserve"> </w:t>
      </w:r>
      <w:r>
        <w:t xml:space="preserve">The underlying object is a surface in the literal sense: fertility as a</w:t>
      </w:r>
      <w:r>
        <w:t xml:space="preserve"> </w:t>
      </w:r>
      <w:r>
        <w:t xml:space="preserve">terrain over age and time, whose height at any point is the ASFR</w:t>
      </w:r>
      <w:r>
        <w:t xml:space="preserve"> </w:t>
      </w:r>
      <w:r>
        <w:t xml:space="preserve">(</w:t>
      </w:r>
      <w:hyperlink w:anchor="fig-terrain">
        <w:r>
          <w:rPr>
            <w:rStyle w:val="Hyperlink"/>
          </w:rPr>
          <w:t xml:space="preserve">Figure 1</w:t>
        </w:r>
      </w:hyperlink>
      <w:r>
        <w:t xml:space="preserve">). The lattice plots are the bird’s-eye view of this terrain,</w:t>
      </w:r>
      <w:r>
        <w:t xml:space="preserve"> </w:t>
      </w:r>
      <w:r>
        <w:t xml:space="preserve">with height carried by shading; the terrain’s crest - the cells where each</w:t>
      </w:r>
      <w:r>
        <w:t xml:space="preserve"> </w:t>
      </w:r>
      <w:r>
        <w:t xml:space="preserve">year’s schedule peaks, and the rate in those cells - is a feature we will</w:t>
      </w:r>
      <w:r>
        <w:t xml:space="preserve"> </w:t>
      </w:r>
      <w:r>
        <w:t xml:space="preserve">return to and name in Section 3.</w:t>
      </w:r>
    </w:p>
    <w:tbl>
      <w:tblPr>
        <w:tblStyle w:val="Table"/>
        <w:tblW w:type="pct" w:w="5000"/>
        <w:tblLayout w:type="fixed"/>
        <w:tblLook w:firstRow="0" w:lastRow="0" w:firstColumn="0" w:lastColumn="0" w:noHBand="0" w:noVBand="0" w:val="0000"/>
      </w:tblPr>
      <w:tblGrid>
        <w:gridCol w:w="7920"/>
      </w:tblGrid>
      <w:tr>
        <w:tc>
          <w:tcPr/>
          <w:bookmarkStart w:id="18" w:name="fig-terrain"/>
          <w:p>
            <w:pPr>
              <w:pStyle w:val="Compact"/>
              <w:jc w:val="center"/>
            </w:pPr>
            <w:r>
              <w:drawing>
                <wp:inline>
                  <wp:extent cx="5334000" cy="6668441"/>
                  <wp:effectExtent b="0" l="0" r="0" t="0"/>
                  <wp:docPr descr="" title="" id="16" name="Picture"/>
                  <a:graphic>
                    <a:graphicData uri="http://schemas.openxmlformats.org/drawingml/2006/picture">
                      <pic:pic>
                        <pic:nvPicPr>
                          <pic:cNvPr descr="figures/lexis3d_aapf_panels.png" id="17" name="Picture"/>
                          <pic:cNvPicPr>
                            <a:picLocks noChangeArrowheads="1" noChangeAspect="1"/>
                          </pic:cNvPicPr>
                        </pic:nvPicPr>
                        <pic:blipFill>
                          <a:blip r:embed="rId15"/>
                          <a:stretch>
                            <a:fillRect/>
                          </a:stretch>
                        </pic:blipFill>
                        <pic:spPr bwMode="auto">
                          <a:xfrm>
                            <a:off x="0" y="0"/>
                            <a:ext cx="5334000" cy="666844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fertility surface as terrain, viewed from high above so that the correspondence with the fully overhead lattice plots is direct: France, Norway, and South Korea, 1950-2024 (South Korea from 1960). Left column: the ASFR terrain, shading matching the lattice plots (darker is higher); the cells forming the crest of each year’s schedule are coloured magenta - these cells are the AAPF, the age and amount of peak fertility, formalized in Section 3. (Magenta rather than dark purple, because the shading scale itself ends in dark purple exactly where the ridge sits.) Right column: the AAPF trajectory each surface distils to - the age of the magenta cells over time, shaded by the rate in them. The United States is not used as an example because its historically flat-topped schedules make the ridge ill-defined (Supplement S8).</w:t>
            </w:r>
          </w:p>
          <w:bookmarkEnd w:id="18"/>
        </w:tc>
      </w:tr>
    </w:tbl>
    <w:p>
      <w:pPr>
        <w:pStyle w:val="BodyText"/>
      </w:pPr>
      <w:r>
        <w:t xml:space="preserve">Reading the flattened surface requires one distinction above all: between</w:t>
      </w:r>
      <w:r>
        <w:t xml:space="preserve"> </w:t>
      </w:r>
      <w:r>
        <w:t xml:space="preserve">age, period, and cohort effects. Age effects are lifecycle regularities -</w:t>
      </w:r>
      <w:r>
        <w:t xml:space="preserve"> </w:t>
      </w:r>
      <w:r>
        <w:t xml:space="preserve">fertility concentrated in the twenties and early thirties, the terrain’s</w:t>
      </w:r>
      <w:r>
        <w:t xml:space="preserve"> </w:t>
      </w:r>
      <w:r>
        <w:t xml:space="preserve">main massif. Period effects strike all ages in the same calendar years: a</w:t>
      </w:r>
      <w:r>
        <w:t xml:space="preserve"> </w:t>
      </w:r>
      <w:r>
        <w:t xml:space="preserve">crisis, a pandemic, a price shock. Cohort effects travel with generations,</w:t>
      </w:r>
      <w:r>
        <w:t xml:space="preserve"> </w:t>
      </w:r>
      <w:r>
        <w:t xml:space="preserve">set early and carried forward as each cohort ages. On the surfaces used in</w:t>
      </w:r>
      <w:r>
        <w:t xml:space="preserve"> </w:t>
      </w:r>
      <w:r>
        <w:t xml:space="preserve">this paper, age runs up the vertical axis and birth cohorts along the</w:t>
      </w:r>
      <w:r>
        <w:t xml:space="preserve"> </w:t>
      </w:r>
      <w:r>
        <w:t xml:space="preserve">horizontal, so period effects appear as diagonal bands</w:t>
      </w:r>
      <w:r>
        <w:t xml:space="preserve"> </w:t>
      </w:r>
      <w:r>
        <w:t xml:space="preserve">(Pattaro et al. 2020; Burkimsher 2017)</w:t>
      </w:r>
      <w:r>
        <w:t xml:space="preserve">. The three are easy to conflate and expensive to confuse,</w:t>
      </w:r>
      <w:r>
        <w:t xml:space="preserve"> </w:t>
      </w:r>
      <w:r>
        <w:t xml:space="preserve">and the United States supplies the cautionary example this paper returns</w:t>
      </w:r>
      <w:r>
        <w:t xml:space="preserve"> </w:t>
      </w:r>
      <w:r>
        <w:t xml:space="preserve">to: its period TFR fell from 2.12 to 1.59 after 2007, so on period evidence</w:t>
      </w:r>
      <w:r>
        <w:t xml:space="preserve"> </w:t>
      </w:r>
      <w:r>
        <w:t xml:space="preserve">alone the American fertility exception died in the financial crisis - yet</w:t>
      </w:r>
      <w:r>
        <w:t xml:space="preserve"> </w:t>
      </w:r>
      <w:r>
        <w:t xml:space="preserve">cohort-cumulative milestones show women born as late as 1984 completing</w:t>
      </w:r>
      <w:r>
        <w:t xml:space="preserve"> </w:t>
      </w:r>
      <w:r>
        <w:t xml:space="preserve">replacement-level childbearing in the 2020s. Period accounting misdates the</w:t>
      </w:r>
      <w:r>
        <w:t xml:space="preserve"> </w:t>
      </w:r>
      <w:r>
        <w:t xml:space="preserve">end of the US exception by nearly two decades, because postponed births are</w:t>
      </w:r>
      <w:r>
        <w:t xml:space="preserve"> </w:t>
      </w:r>
      <w:r>
        <w:t xml:space="preserve">debited to the years in which they did not occur rather than credited to</w:t>
      </w:r>
      <w:r>
        <w:t xml:space="preserve"> </w:t>
      </w:r>
      <w:r>
        <w:t xml:space="preserve">the cohorts that eventually had them</w:t>
      </w:r>
      <w:r>
        <w:t xml:space="preserve"> </w:t>
      </w:r>
      <w:r>
        <w:t xml:space="preserve">(Sobotka 2017)</w:t>
      </w:r>
      <w:r>
        <w:t xml:space="preserve">.</w:t>
      </w:r>
    </w:p>
    <w:bookmarkEnd w:id="19"/>
    <w:bookmarkStart w:id="20" w:name="why-uptake-was-limited"/>
    <w:p>
      <w:pPr>
        <w:pStyle w:val="Heading2"/>
      </w:pPr>
      <w:r>
        <w:t xml:space="preserve">Why uptake was limited</w:t>
      </w:r>
    </w:p>
    <w:p>
      <w:pPr>
        <w:pStyle w:val="FirstParagraph"/>
      </w:pPr>
      <w:r>
        <w:t xml:space="preserve">The method’s uptake since 2020 has been modest, and it is worth being</w:t>
      </w:r>
      <w:r>
        <w:t xml:space="preserve"> </w:t>
      </w:r>
      <w:r>
        <w:t xml:space="preserve">candid about the likely reasons, because they set this paper’s agenda. The</w:t>
      </w:r>
      <w:r>
        <w:t xml:space="preserve"> </w:t>
      </w:r>
      <w:r>
        <w:t xml:space="preserve">first is inherent complexity. The composite form already carries four</w:t>
      </w:r>
      <w:r>
        <w:t xml:space="preserve"> </w:t>
      </w:r>
      <w:r>
        <w:t xml:space="preserve">encodings - two positional axes, shading, and contour weight - which</w:t>
      </w:r>
      <w:r>
        <w:t xml:space="preserve"> </w:t>
      </w:r>
      <w:r>
        <w:t xml:space="preserve">approaches the limit of comfortable readability for many audiences; the</w:t>
      </w:r>
      <w:r>
        <w:t xml:space="preserve"> </w:t>
      </w:r>
      <w:r>
        <w:t xml:space="preserve">plots repay study but do not yield their content at a glance. The second</w:t>
      </w:r>
      <w:r>
        <w:t xml:space="preserve"> </w:t>
      </w:r>
      <w:r>
        <w:t xml:space="preserve">reason is, we suspect, a methodologist’s suspicion: that visualizations,</w:t>
      </w:r>
      <w:r>
        <w:t xml:space="preserve"> </w:t>
      </w:r>
      <w:r>
        <w:t xml:space="preserve">however rich, do not generate the clear predictions and projections that</w:t>
      </w:r>
      <w:r>
        <w:t xml:space="preserve"> </w:t>
      </w:r>
      <w:r>
        <w:t xml:space="preserve">formal statistical models do - that reading graphs is commentary, not</w:t>
      </w:r>
      <w:r>
        <w:t xml:space="preserve"> </w:t>
      </w:r>
      <w:r>
        <w:t xml:space="preserve">inference. The first concern we address by distillation: Section 6 reduces</w:t>
      </w:r>
      <w:r>
        <w:t xml:space="preserve"> </w:t>
      </w:r>
      <w:r>
        <w:t xml:space="preserve">each surface to two trajectories that fit on a single ordinary chart. The</w:t>
      </w:r>
      <w:r>
        <w:t xml:space="preserve"> </w:t>
      </w:r>
      <w:r>
        <w:t xml:space="preserve">second concern is answerable empirically, because the 2020 paper did</w:t>
      </w:r>
      <w:r>
        <w:t xml:space="preserve"> </w:t>
      </w:r>
      <w:r>
        <w:t xml:space="preserve">something unusual for a descriptive visualization piece: it made</w:t>
      </w:r>
      <w:r>
        <w:t xml:space="preserve"> </w:t>
      </w:r>
      <w:r>
        <w:t xml:space="preserve">predictions, in print, and enough time has now passed to check them.</w:t>
      </w:r>
    </w:p>
    <w:bookmarkEnd w:id="20"/>
    <w:bookmarkEnd w:id="21"/>
    <w:bookmarkStart w:id="24" w:name="data-and-methods"/>
    <w:p>
      <w:pPr>
        <w:pStyle w:val="Heading1"/>
      </w:pPr>
      <w:r>
        <w:t xml:space="preserve">Data and methods</w:t>
      </w:r>
    </w:p>
    <w:bookmarkStart w:id="22" w:name="the-2026-rebuild"/>
    <w:p>
      <w:pPr>
        <w:pStyle w:val="Heading2"/>
      </w:pPr>
      <w:r>
        <w:t xml:space="preserve">The 2026 rebuild</w:t>
      </w:r>
    </w:p>
    <w:p>
      <w:pPr>
        <w:pStyle w:val="FirstParagraph"/>
      </w:pPr>
      <w:r>
        <w:t xml:space="preserve">We reapply the combination rules of</w:t>
      </w:r>
      <w:r>
        <w:t xml:space="preserve"> </w:t>
      </w:r>
      <w:r>
        <w:t xml:space="preserve">Pattaro et al. (2020)</w:t>
      </w:r>
      <w:r>
        <w:t xml:space="preserve"> </w:t>
      </w:r>
      <w:r>
        <w:t xml:space="preserve">to the current HFD</w:t>
      </w:r>
      <w:r>
        <w:t xml:space="preserve"> </w:t>
      </w:r>
      <w:r>
        <w:t xml:space="preserve">(Max Planck Institute for Demographic Research (Germany) and Vienna Institute of Demography (Austria) 2026b)</w:t>
      </w:r>
      <w:r>
        <w:t xml:space="preserve"> </w:t>
      </w:r>
      <w:r>
        <w:t xml:space="preserve">and HFC</w:t>
      </w:r>
      <w:r>
        <w:t xml:space="preserve"> </w:t>
      </w:r>
      <w:r>
        <w:t xml:space="preserve">(Max Planck Institute for Demographic Research (Germany) and Vienna Institute of Demography (Austria) 2026a)</w:t>
      </w:r>
      <w:r>
        <w:t xml:space="preserve"> </w:t>
      </w:r>
      <w:r>
        <w:t xml:space="preserve">releases: HFD is preferred over HFC for any</w:t>
      </w:r>
      <w:r>
        <w:t xml:space="preserve"> </w:t>
      </w:r>
      <w:r>
        <w:t xml:space="preserve">country-year; within the HFC, single-year periods with age in completed</w:t>
      </w:r>
      <w:r>
        <w:t xml:space="preserve"> </w:t>
      </w:r>
      <w:r>
        <w:t xml:space="preserve">years are retained under the collection preference STAT &gt; ODE &gt; RE; small</w:t>
      </w:r>
      <w:r>
        <w:t xml:space="preserve"> </w:t>
      </w:r>
      <w:r>
        <w:t xml:space="preserve">internal gaps (at most four years) are linearly interpolated and flagged.</w:t>
      </w:r>
      <w:r>
        <w:t xml:space="preserve"> </w:t>
      </w:r>
      <w:r>
        <w:t xml:space="preserve">The updated panel spans 1850-2025 (51 populations before the published</w:t>
      </w:r>
      <w:r>
        <w:t xml:space="preserve"> </w:t>
      </w:r>
      <w:r>
        <w:t xml:space="preserve">exclusions; the same 45-country panel after them). One correction to the</w:t>
      </w:r>
      <w:r>
        <w:t xml:space="preserve"> </w:t>
      </w:r>
      <w:r>
        <w:t xml:space="preserve">2016 build is applied: HFD’s France series (code FRATNP) was previously</w:t>
      </w:r>
      <w:r>
        <w:t xml:space="preserve"> </w:t>
      </w:r>
      <w:r>
        <w:t xml:space="preserve">dropped by an unmapped country code, so the published figures showed France</w:t>
      </w:r>
      <w:r>
        <w:t xml:space="preserve"> </w:t>
      </w:r>
      <w:r>
        <w:t xml:space="preserve">ending in 2008; the updated build restores France to 2023. A back-revision</w:t>
      </w:r>
      <w:r>
        <w:t xml:space="preserve"> </w:t>
      </w:r>
      <w:r>
        <w:t xml:space="preserve">audit against the 2016 dataset is included in the repository; the largest</w:t>
      </w:r>
      <w:r>
        <w:t xml:space="preserve"> </w:t>
      </w:r>
      <w:r>
        <w:t xml:space="preserve">differences (Ireland, Spain, Denmark) reflect HFD’s own revisions of</w:t>
      </w:r>
      <w:r>
        <w:t xml:space="preserve"> </w:t>
      </w:r>
      <w:r>
        <w:t xml:space="preserve">historical exposures.</w:t>
      </w:r>
    </w:p>
    <w:p>
      <w:pPr>
        <w:pStyle w:val="BodyText"/>
      </w:pPr>
      <w:r>
        <w:t xml:space="preserve">Two reproducibility properties matter for what follows. First, the 2020</w:t>
      </w:r>
      <w:r>
        <w:t xml:space="preserve"> </w:t>
      </w:r>
      <w:r>
        <w:t xml:space="preserve">findings are reproducible from the dataset frozen in the repository - the</w:t>
      </w:r>
      <w:r>
        <w:t xml:space="preserve"> </w:t>
      </w:r>
      <w:r>
        <w:t xml:space="preserve">exact data behind the published figures are preserved at the public</w:t>
      </w:r>
      <w:r>
        <w:t xml:space="preserve"> </w:t>
      </w:r>
      <w:r>
        <w:t xml:space="preserve">repository tag</w:t>
      </w:r>
      <w:r>
        <w:t xml:space="preserve"> </w:t>
      </w:r>
      <w:r>
        <w:rPr>
          <w:rStyle w:val="VerbatimChar"/>
        </w:rPr>
        <w:t xml:space="preserve">demres-2020</w:t>
      </w:r>
      <w:r>
        <w:t xml:space="preserve"> </w:t>
      </w:r>
      <w:r>
        <w:t xml:space="preserve">- but they are not exactly replicable from</w:t>
      </w:r>
      <w:r>
        <w:t xml:space="preserve"> </w:t>
      </w:r>
      <w:r>
        <w:t xml:space="preserve">fresh source downloads, because the source databases have themselves been</w:t>
      </w:r>
      <w:r>
        <w:t xml:space="preserve"> </w:t>
      </w:r>
      <w:r>
        <w:t xml:space="preserve">revised; an inherent property of living data infrastructures, and part of</w:t>
      </w:r>
      <w:r>
        <w:t xml:space="preserve"> </w:t>
      </w:r>
      <w:r>
        <w:t xml:space="preserve">the motivation for periodic updates of this kind. Second, it was this</w:t>
      </w:r>
      <w:r>
        <w:t xml:space="preserve"> </w:t>
      </w:r>
      <w:r>
        <w:t xml:space="preserve">preserved, re-runnable codebase that made the present update tractable at</w:t>
      </w:r>
      <w:r>
        <w:t xml:space="preserve"> </w:t>
      </w:r>
      <w:r>
        <w:t xml:space="preserve">all: the update is as much a test of the pipeline’s reproducibility as of</w:t>
      </w:r>
      <w:r>
        <w:t xml:space="preserve"> </w:t>
      </w:r>
      <w:r>
        <w:t xml:space="preserve">the paper’s claims. Where this paper compares</w:t>
      </w:r>
      <w:r>
        <w:t xml:space="preserve"> </w:t>
      </w:r>
      <w:r>
        <w:t xml:space="preserve">“then”</w:t>
      </w:r>
      <w:r>
        <w:t xml:space="preserve"> </w:t>
      </w:r>
      <w:r>
        <w:t xml:space="preserve">with</w:t>
      </w:r>
      <w:r>
        <w:t xml:space="preserve"> </w:t>
      </w:r>
      <w:r>
        <w:t xml:space="preserve">“now”</w:t>
      </w:r>
      <w:r>
        <w:t xml:space="preserve"> </w:t>
      </w:r>
      <w:r>
        <w:t xml:space="preserve">(Section</w:t>
      </w:r>
      <w:r>
        <w:t xml:space="preserve"> </w:t>
      </w:r>
      <w:r>
        <w:t xml:space="preserve">4), the</w:t>
      </w:r>
      <w:r>
        <w:t xml:space="preserve"> </w:t>
      </w:r>
      <w:r>
        <w:t xml:space="preserve">“then”</w:t>
      </w:r>
      <w:r>
        <w:t xml:space="preserve"> </w:t>
      </w:r>
      <w:r>
        <w:t xml:space="preserve">panels are re-rendered from the tagged 2020-vintage data in</w:t>
      </w:r>
      <w:r>
        <w:t xml:space="preserve"> </w:t>
      </w:r>
      <w:r>
        <w:t xml:space="preserve">the current visual specification, so that the only difference between the</w:t>
      </w:r>
      <w:r>
        <w:t xml:space="preserve"> </w:t>
      </w:r>
      <w:r>
        <w:t xml:space="preserve">compared panels is the data window.</w:t>
      </w:r>
    </w:p>
    <w:p>
      <w:pPr>
        <w:pStyle w:val="BodyText"/>
      </w:pPr>
      <w:r>
        <w:t xml:space="preserve">All surface figures use the published visual specification: viridis</w:t>
      </w:r>
      <w:r>
        <w:t xml:space="preserve"> </w:t>
      </w:r>
      <w:r>
        <w:t xml:space="preserve">(reversed) level-plot shading of ASFR on birth-year by age panels, solid</w:t>
      </w:r>
      <w:r>
        <w:t xml:space="preserve"> </w:t>
      </w:r>
      <w:r>
        <w:t xml:space="preserve">contours at CPCFR = 2.05 and 1.50, years 1950 onward, ages to 50, and</w:t>
      </w:r>
      <w:r>
        <w:t xml:space="preserve"> </w:t>
      </w:r>
      <w:r>
        <w:t xml:space="preserve">countries ordered by CPCFR at 2007, the ranking year of the published</w:t>
      </w:r>
      <w:r>
        <w:t xml:space="preserve"> </w:t>
      </w:r>
      <w:r>
        <w:t xml:space="preserve">figures</w:t>
      </w:r>
      <w:r>
        <w:t xml:space="preserve"> </w:t>
      </w:r>
      <w:r>
        <w:t xml:space="preserve">(Sarkar 2008; Garnier 2018)</w:t>
      </w:r>
      <w:r>
        <w:t xml:space="preserve">.</w:t>
      </w:r>
    </w:p>
    <w:bookmarkEnd w:id="22"/>
    <w:bookmarkStart w:id="23" w:name="formal-definitions-aapf-and-anr"/>
    <w:p>
      <w:pPr>
        <w:pStyle w:val="Heading2"/>
      </w:pPr>
      <w:r>
        <w:t xml:space="preserve">Formal definitions: AAPF and ANR</w:t>
      </w:r>
    </w:p>
    <w:p>
      <w:pPr>
        <w:pStyle w:val="FirstParagraph"/>
      </w:pPr>
      <w:r>
        <w:t xml:space="preserve">If visual reading is to answer the methodologist’s suspicion of Section</w:t>
      </w:r>
      <w:r>
        <w:t xml:space="preserve"> </w:t>
      </w:r>
      <w:r>
        <w:t xml:space="preserve">2.2, its objects should be defined, not just pointed at. Let</w:t>
      </w:r>
      <w:r>
        <w:t xml:space="preserve"> </w:t>
      </w:r>
      <m:oMath>
        <m:sSub>
          <m:e>
            <m:r>
              <m:t>f</m:t>
            </m:r>
          </m:e>
          <m:sub>
            <m:r>
              <m:t>c</m:t>
            </m:r>
          </m:sub>
        </m:sSub>
        <m:r>
          <m:rPr>
            <m:sty m:val="p"/>
          </m:rPr>
          <m:t>(</m:t>
        </m:r>
        <m:r>
          <m:t>x</m:t>
        </m:r>
        <m:r>
          <m:rPr>
            <m:sty m:val="p"/>
          </m:rPr>
          <m:t>,</m:t>
        </m:r>
        <m:r>
          <m:t>t</m:t>
        </m:r>
        <m:r>
          <m:rPr>
            <m:sty m:val="p"/>
          </m:rPr>
          <m:t>)</m:t>
        </m:r>
      </m:oMath>
      <w:r>
        <w:t xml:space="preserve"> </w:t>
      </w:r>
      <w:r>
        <w:t xml:space="preserve">denote the ASFR of population</w:t>
      </w:r>
      <w:r>
        <w:t xml:space="preserve"> </w:t>
      </w:r>
      <m:oMath>
        <m:r>
          <m:t>c</m:t>
        </m:r>
      </m:oMath>
      <w:r>
        <w:t xml:space="preserve"> </w:t>
      </w:r>
      <w:r>
        <w:t xml:space="preserve">at single year of age</w:t>
      </w:r>
      <w:r>
        <w:t xml:space="preserve"> </w:t>
      </w:r>
      <m:oMath>
        <m:r>
          <m:t>x</m:t>
        </m:r>
      </m:oMath>
      <w:r>
        <w:t xml:space="preserve"> </w:t>
      </w:r>
      <w:r>
        <w:t xml:space="preserve">in calendar</w:t>
      </w:r>
      <w:r>
        <w:t xml:space="preserve"> </w:t>
      </w:r>
      <w:r>
        <w:t xml:space="preserve">year</w:t>
      </w:r>
      <w:r>
        <w:t xml:space="preserve"> </w:t>
      </w:r>
      <m:oMath>
        <m:r>
          <m:t>t</m:t>
        </m:r>
      </m:oMath>
      <w:r>
        <w:t xml:space="preserve">, and let the cumulative pseudo-cohort fertility rate of the cohort</w:t>
      </w:r>
      <w:r>
        <w:t xml:space="preserve"> </w:t>
      </w:r>
      <w:r>
        <w:t xml:space="preserve">born in year</w:t>
      </w:r>
      <w:r>
        <w:t xml:space="preserve"> </w:t>
      </w:r>
      <m:oMath>
        <m:r>
          <m:t>b</m:t>
        </m:r>
        <m:r>
          <m:rPr>
            <m:sty m:val="p"/>
          </m:rPr>
          <m:t>=</m:t>
        </m:r>
        <m:r>
          <m:t>t</m:t>
        </m:r>
        <m:r>
          <m:rPr>
            <m:sty m:val="p"/>
          </m:rPr>
          <m:t>−</m:t>
        </m:r>
        <m:r>
          <m:t>x</m:t>
        </m:r>
      </m:oMath>
      <w:r>
        <w:t xml:space="preserve"> </w:t>
      </w:r>
      <w:r>
        <w:t xml:space="preserve">be the sum of the ASFRs the cohort has traversed:</w:t>
      </w:r>
    </w:p>
    <w:p>
      <w:pPr>
        <w:pStyle w:val="BodyText"/>
      </w:pPr>
      <m:oMathPara>
        <m:oMathParaPr>
          <m:jc m:val="center"/>
        </m:oMathParaPr>
        <m:oMath>
          <m:sSub>
            <m:e>
              <m:r>
                <m:t>F</m:t>
              </m:r>
            </m:e>
            <m:sub>
              <m:r>
                <m:t>c</m:t>
              </m:r>
            </m:sub>
          </m:sSub>
          <m:r>
            <m:rPr>
              <m:sty m:val="p"/>
            </m:rPr>
            <m:t>(</m:t>
          </m:r>
          <m:r>
            <m:t>x</m:t>
          </m:r>
          <m:r>
            <m:rPr>
              <m:sty m:val="p"/>
            </m:rPr>
            <m:t>,</m:t>
          </m:r>
          <m:r>
            <m:t>b</m:t>
          </m:r>
          <m:r>
            <m:rPr>
              <m:sty m:val="p"/>
            </m:rPr>
            <m:t>)</m:t>
          </m:r>
          <m:r>
            <m:rPr>
              <m:sty m:val="p"/>
            </m:rPr>
            <m:t>=</m:t>
          </m:r>
          <m:nary>
            <m:naryPr>
              <m:chr m:val="∑"/>
              <m:limLoc m:val="undOvr"/>
              <m:subHide m:val="off"/>
              <m:supHide m:val="on"/>
            </m:naryPr>
            <m:sub>
              <m:r>
                <m:t>u</m:t>
              </m:r>
              <m:r>
                <m:rPr>
                  <m:sty m:val="p"/>
                </m:rPr>
                <m:t>&lt;</m:t>
              </m:r>
              <m:r>
                <m:t>x</m:t>
              </m:r>
            </m:sub>
            <m:sup>
              <m:r>
                <m:t>​</m:t>
              </m:r>
            </m:sup>
            <m:e>
              <m:sSub>
                <m:e>
                  <m:r>
                    <m:t>f</m:t>
                  </m:r>
                </m:e>
                <m:sub>
                  <m:r>
                    <m:t>c</m:t>
                  </m:r>
                </m:sub>
              </m:sSub>
            </m:e>
          </m:nary>
          <m:r>
            <m:rPr>
              <m:sty m:val="p"/>
            </m:rPr>
            <m:t>(</m:t>
          </m:r>
          <m:r>
            <m:t>u</m:t>
          </m:r>
          <m:r>
            <m:rPr>
              <m:sty m:val="p"/>
            </m:rPr>
            <m:t>,</m:t>
          </m:r>
          <m:r>
            <m:t> </m:t>
          </m:r>
          <m:r>
            <m:t>b</m:t>
          </m:r>
          <m:r>
            <m:rPr>
              <m:sty m:val="p"/>
            </m:rPr>
            <m:t>+</m:t>
          </m:r>
          <m:r>
            <m:t>u</m:t>
          </m:r>
          <m:r>
            <m:rPr>
              <m:sty m:val="p"/>
            </m:rPr>
            <m:t>)</m:t>
          </m:r>
          <m:r>
            <m:rPr>
              <m:sty m:val="p"/>
            </m:rPr>
            <m:t>,</m:t>
          </m:r>
        </m:oMath>
      </m:oMathPara>
    </w:p>
    <w:p>
      <w:pPr>
        <w:pStyle w:val="FirstParagraph"/>
      </w:pPr>
      <w:r>
        <w:t xml:space="preserve">with replacement read as</w:t>
      </w:r>
      <w:r>
        <w:t xml:space="preserve"> </w:t>
      </w:r>
      <m:oMath>
        <m:r>
          <m:t>F</m:t>
        </m:r>
        <m:r>
          <m:rPr>
            <m:sty m:val="p"/>
          </m:rPr>
          <m:t>≥</m:t>
        </m:r>
        <m:r>
          <m:t>2.05</m:t>
        </m:r>
      </m:oMath>
      <w:r>
        <w:t xml:space="preserve"> </w:t>
      </w:r>
      <w:r>
        <w:t xml:space="preserve">(Pattaro et al. 2020)</w:t>
      </w:r>
      <w:r>
        <w:t xml:space="preserve">. Three per-year</w:t>
      </w:r>
      <w:r>
        <w:t xml:space="preserve"> </w:t>
      </w:r>
      <w:r>
        <w:t xml:space="preserve">summaries are then defined, with all operational choices fixed ex ante in</w:t>
      </w:r>
      <w:r>
        <w:t xml:space="preserve"> </w:t>
      </w:r>
      <w:r>
        <w:t xml:space="preserve">the repository’s public workplan before the analysis ran on the updated</w:t>
      </w:r>
      <w:r>
        <w:t xml:space="preserve"> </w:t>
      </w:r>
      <w:r>
        <w:t xml:space="preserve">data:</w:t>
      </w:r>
    </w:p>
    <w:p>
      <w:pPr>
        <w:pStyle w:val="Compact"/>
        <w:numPr>
          <w:ilvl w:val="0"/>
          <w:numId w:val="1001"/>
        </w:numPr>
      </w:pPr>
      <w:r>
        <w:rPr>
          <w:b/>
          <w:bCs/>
        </w:rPr>
        <w:t xml:space="preserve">Age and amount of peak fertility (AAPF).</w:t>
      </w:r>
      <w:r>
        <w:t xml:space="preserve"> </w:t>
      </w:r>
      <w:r>
        <w:t xml:space="preserve">The ridge of the surface in</w:t>
      </w:r>
      <w:r>
        <w:t xml:space="preserve"> </w:t>
      </w:r>
      <w:hyperlink w:anchor="fig-terrain">
        <w:r>
          <w:rPr>
            <w:rStyle w:val="Hyperlink"/>
          </w:rPr>
          <w:t xml:space="preserve">Figure 1</w:t>
        </w:r>
      </w:hyperlink>
      <w:r>
        <w:t xml:space="preserve">: the modal age of the schedule and the rate at that age,</w:t>
      </w:r>
    </w:p>
    <w:p>
      <w:pPr>
        <w:pStyle w:val="Compact"/>
      </w:pPr>
      <m:oMathPara>
        <m:oMathParaPr>
          <m:jc m:val="center"/>
        </m:oMathParaPr>
        <m:oMath>
          <m:sSubSup>
            <m:e>
              <m:r>
                <m:t>x</m:t>
              </m:r>
            </m:e>
            <m:sub>
              <m:r>
                <m:t>c</m:t>
              </m:r>
            </m:sub>
            <m:sup>
              <m:r>
                <m:rPr>
                  <m:sty m:val="p"/>
                </m:rPr>
                <m:t>*</m:t>
              </m:r>
            </m:sup>
          </m:sSubSup>
          <m:r>
            <m:rPr>
              <m:sty m:val="p"/>
            </m:rPr>
            <m:t>(</m:t>
          </m:r>
          <m:r>
            <m:t>t</m:t>
          </m:r>
          <m:r>
            <m:rPr>
              <m:sty m:val="p"/>
            </m:rPr>
            <m:t>)</m:t>
          </m:r>
          <m:r>
            <m:rPr>
              <m:sty m:val="p"/>
            </m:rPr>
            <m:t>=</m:t>
          </m:r>
          <m:r>
            <m:rPr>
              <m:sty m:val="p"/>
            </m:rPr>
            <m:t>arg</m:t>
          </m:r>
          <m:limLow>
            <m:e>
              <m:r>
                <m:rPr>
                  <m:sty m:val="p"/>
                </m:rPr>
                <m:t>max</m:t>
              </m:r>
            </m:e>
            <m:lim>
              <m:r>
                <m:t>x</m:t>
              </m:r>
            </m:lim>
          </m:limLow>
          <m:sSub>
            <m:e>
              <m:r>
                <m:t>f</m:t>
              </m:r>
            </m:e>
            <m:sub>
              <m:r>
                <m:t>c</m:t>
              </m:r>
            </m:sub>
          </m:sSub>
          <m:r>
            <m:rPr>
              <m:sty m:val="p"/>
            </m:rPr>
            <m:t>(</m:t>
          </m:r>
          <m:r>
            <m:t>x</m:t>
          </m:r>
          <m:r>
            <m:rPr>
              <m:sty m:val="p"/>
            </m:rPr>
            <m:t>,</m:t>
          </m:r>
          <m:r>
            <m:t>t</m:t>
          </m:r>
          <m:r>
            <m:rPr>
              <m:sty m:val="p"/>
            </m:rPr>
            <m:t>)</m:t>
          </m:r>
          <m:r>
            <m:rPr>
              <m:sty m:val="p"/>
            </m:rPr>
            <m:t>,</m:t>
          </m:r>
          <m:r>
            <m:t>  </m:t>
          </m:r>
          <m:sSubSup>
            <m:e>
              <m:r>
                <m:t>f</m:t>
              </m:r>
            </m:e>
            <m:sub>
              <m:r>
                <m:t>c</m:t>
              </m:r>
            </m:sub>
            <m:sup>
              <m:r>
                <m:rPr>
                  <m:sty m:val="p"/>
                </m:rPr>
                <m:t>*</m:t>
              </m:r>
            </m:sup>
          </m:sSubSup>
          <m:r>
            <m:rPr>
              <m:sty m:val="p"/>
            </m:rPr>
            <m:t>(</m:t>
          </m:r>
          <m:r>
            <m:t>t</m:t>
          </m:r>
          <m:r>
            <m:rPr>
              <m:sty m:val="p"/>
            </m:rPr>
            <m:t>)</m:t>
          </m:r>
          <m:r>
            <m:rPr>
              <m:sty m:val="p"/>
            </m:rPr>
            <m:t>=</m:t>
          </m:r>
          <m:sSub>
            <m:e>
              <m:r>
                <m:t>f</m:t>
              </m:r>
            </m:e>
            <m:sub>
              <m:r>
                <m:t>c</m:t>
              </m:r>
            </m:sub>
          </m:sSub>
          <m:r>
            <m:t>​</m:t>
          </m:r>
          <m:d>
            <m:dPr>
              <m:begChr m:val="("/>
              <m:sepChr m:val=""/>
              <m:endChr m:val=")"/>
              <m:grow/>
            </m:dPr>
            <m:e>
              <m:sSubSup>
                <m:e>
                  <m:r>
                    <m:t>x</m:t>
                  </m:r>
                </m:e>
                <m:sub>
                  <m:r>
                    <m:t>c</m:t>
                  </m:r>
                </m:sub>
                <m:sup>
                  <m:r>
                    <m:rPr>
                      <m:sty m:val="p"/>
                    </m:rPr>
                    <m:t>*</m:t>
                  </m:r>
                </m:sup>
              </m:sSubSup>
              <m:r>
                <m:rPr>
                  <m:sty m:val="p"/>
                </m:rPr>
                <m:t>(</m:t>
              </m:r>
              <m:r>
                <m:t>t</m:t>
              </m:r>
              <m:r>
                <m:rPr>
                  <m:sty m:val="p"/>
                </m:rPr>
                <m:t>)</m:t>
              </m:r>
              <m:r>
                <m:rPr>
                  <m:sty m:val="p"/>
                </m:rPr>
                <m:t>,</m:t>
              </m:r>
              <m:r>
                <m:t> </m:t>
              </m:r>
              <m:r>
                <m:t>t</m:t>
              </m:r>
            </m:e>
          </m:d>
          <m:r>
            <m:rPr>
              <m:sty m:val="p"/>
            </m:rPr>
            <m:t>,</m:t>
          </m:r>
        </m:oMath>
      </m:oMathPara>
    </w:p>
    <w:p>
      <w:pPr>
        <w:pStyle w:val="Compact"/>
        <w:numPr>
          <w:ilvl w:val="0"/>
          <w:numId w:val="1000"/>
        </w:numPr>
      </w:pPr>
      <w:r>
        <w:t xml:space="preserve">with ties broken to the youngest tied age, so flat or plateau schedules</w:t>
      </w:r>
      <w:r>
        <w:t xml:space="preserve"> </w:t>
      </w:r>
      <w:r>
        <w:t xml:space="preserve">are read conservatively (the United States’ historical plateau makes this</w:t>
      </w:r>
      <w:r>
        <w:t xml:space="preserve"> </w:t>
      </w:r>
      <w:r>
        <w:t xml:space="preserve">choice consequential; Supplement S8).</w:t>
      </w:r>
    </w:p>
    <w:p>
      <w:pPr>
        <w:pStyle w:val="Compact"/>
        <w:numPr>
          <w:ilvl w:val="0"/>
          <w:numId w:val="1001"/>
        </w:numPr>
      </w:pPr>
      <w:r>
        <w:rPr>
          <w:b/>
          <w:bCs/>
        </w:rPr>
        <w:t xml:space="preserve">Age of no return (ANR).</w:t>
      </w:r>
      <w:r>
        <w:t xml:space="preserve"> </w:t>
      </w:r>
      <w:r>
        <w:t xml:space="preserve">The effective upper end of the fertility</w:t>
      </w:r>
      <w:r>
        <w:t xml:space="preserve"> </w:t>
      </w:r>
      <w:r>
        <w:t xml:space="preserve">lifecourse: the highest age at which childbearing remains a live</w:t>
      </w:r>
      <w:r>
        <w:t xml:space="preserve"> </w:t>
      </w:r>
      <w:r>
        <w:t xml:space="preserve">behavioural possibility rather than a rarity,</w:t>
      </w:r>
    </w:p>
    <w:p>
      <w:pPr>
        <w:pStyle w:val="Compact"/>
      </w:pPr>
      <m:oMathPara>
        <m:oMathParaPr>
          <m:jc m:val="center"/>
        </m:oMathParaPr>
        <m:oMath>
          <m:sSub>
            <m:e>
              <m:r>
                <m:t>A</m:t>
              </m:r>
            </m:e>
            <m:sub>
              <m:r>
                <m:t>c</m:t>
              </m:r>
            </m:sub>
          </m:sSub>
          <m:r>
            <m:rPr>
              <m:sty m:val="p"/>
            </m:rPr>
            <m:t>(</m:t>
          </m:r>
          <m:r>
            <m:t>t</m:t>
          </m:r>
          <m:r>
            <m:rPr>
              <m:sty m:val="p"/>
            </m:rPr>
            <m:t>)</m:t>
          </m:r>
          <m:r>
            <m:rPr>
              <m:sty m:val="p"/>
            </m:rPr>
            <m:t>=</m:t>
          </m:r>
          <m:r>
            <m:rPr>
              <m:sty m:val="p"/>
            </m:rPr>
            <m:t>max</m:t>
          </m:r>
          <m:r>
            <m:rPr>
              <m:sty m:val="p"/>
            </m:rPr>
            <m:t>{</m:t>
          </m:r>
          <m:r>
            <m:t> </m:t>
          </m:r>
          <m:r>
            <m:t>x</m:t>
          </m:r>
          <m:r>
            <m:rPr>
              <m:sty m:val="p"/>
            </m:rPr>
            <m:t>:</m:t>
          </m:r>
          <m:sSub>
            <m:e>
              <m:r>
                <m:t>f</m:t>
              </m:r>
            </m:e>
            <m:sub>
              <m:r>
                <m:t>c</m:t>
              </m:r>
            </m:sub>
          </m:sSub>
          <m:r>
            <m:rPr>
              <m:sty m:val="p"/>
            </m:rPr>
            <m:t>(</m:t>
          </m:r>
          <m:r>
            <m:t>x</m:t>
          </m:r>
          <m:r>
            <m:rPr>
              <m:sty m:val="p"/>
            </m:rPr>
            <m:t>,</m:t>
          </m:r>
          <m:r>
            <m:t>t</m:t>
          </m:r>
          <m:r>
            <m:rPr>
              <m:sty m:val="p"/>
            </m:rPr>
            <m:t>)</m:t>
          </m:r>
          <m:r>
            <m:rPr>
              <m:sty m:val="p"/>
            </m:rPr>
            <m:t>≥</m:t>
          </m:r>
          <m:r>
            <m:t>φ</m:t>
          </m:r>
          <m:r>
            <m:t> </m:t>
          </m:r>
          <m:r>
            <m:rPr>
              <m:sty m:val="p"/>
            </m:rPr>
            <m:t>}</m:t>
          </m:r>
          <m:r>
            <m:rPr>
              <m:sty m:val="p"/>
            </m:rPr>
            <m:t>,</m:t>
          </m:r>
          <m:r>
            <m:t>  </m:t>
          </m:r>
          <m:r>
            <m:t>φ</m:t>
          </m:r>
          <m:r>
            <m:rPr>
              <m:sty m:val="p"/>
            </m:rPr>
            <m:t>=</m:t>
          </m:r>
          <m:r>
            <m:t>1</m:t>
          </m:r>
          <m:r>
            <m:rPr>
              <m:sty m:val="p"/>
            </m:rPr>
            <m:t>/</m:t>
          </m:r>
          <m:r>
            <m:t>200</m:t>
          </m:r>
          <m:r>
            <m:rPr>
              <m:sty m:val="p"/>
            </m:rPr>
            <m:t>,</m:t>
          </m:r>
        </m:oMath>
      </m:oMathPara>
    </w:p>
    <w:p>
      <w:pPr>
        <w:pStyle w:val="Compact"/>
        <w:numPr>
          <w:ilvl w:val="0"/>
          <w:numId w:val="1000"/>
        </w:numPr>
      </w:pPr>
      <w:r>
        <w:t xml:space="preserve">with</w:t>
      </w:r>
      <w:r>
        <w:t xml:space="preserve"> </w:t>
      </w:r>
      <m:oMath>
        <m:r>
          <m:t>φ</m:t>
        </m:r>
        <m:r>
          <m:rPr>
            <m:sty m:val="p"/>
          </m:rPr>
          <m:t>=</m:t>
        </m:r>
        <m:r>
          <m:t>1</m:t>
        </m:r>
        <m:r>
          <m:rPr>
            <m:sty m:val="p"/>
          </m:rPr>
          <m:t>/</m:t>
        </m:r>
        <m:r>
          <m:t>1000</m:t>
        </m:r>
      </m:oMath>
      <w:r>
        <w:t xml:space="preserve"> </w:t>
      </w:r>
      <w:r>
        <w:t xml:space="preserve">as a sensitivity threshold (Supplement S4). Three</w:t>
      </w:r>
      <w:r>
        <w:t xml:space="preserve"> </w:t>
      </w:r>
      <w:r>
        <w:t xml:space="preserve">considerations justify the operationalisation. The threshold is</w:t>
      </w:r>
      <w:r>
        <w:t xml:space="preserve"> </w:t>
      </w:r>
      <w:r>
        <w:rPr>
          <w:i/>
          <w:iCs/>
        </w:rPr>
        <w:t xml:space="preserve">absolute</w:t>
      </w:r>
      <w:r>
        <w:t xml:space="preserve"> </w:t>
      </w:r>
      <w:r>
        <w:t xml:space="preserve">rather than relative (for example, a quantile of the schedule)</w:t>
      </w:r>
      <w:r>
        <w:t xml:space="preserve"> </w:t>
      </w:r>
      <w:r>
        <w:t xml:space="preserve">because the benchmark it serves - replacement - is absolute; a relative</w:t>
      </w:r>
      <w:r>
        <w:t xml:space="preserve"> </w:t>
      </w:r>
      <w:r>
        <w:t xml:space="preserve">threshold would move with the schedule and hide precisely the narrowing</w:t>
      </w:r>
      <w:r>
        <w:t xml:space="preserve"> </w:t>
      </w:r>
      <w:r>
        <w:t xml:space="preserve">we wish to measure. The primary value 1/200 is interpretable - fewer</w:t>
      </w:r>
      <w:r>
        <w:t xml:space="preserve"> </w:t>
      </w:r>
      <w:r>
        <w:t xml:space="preserve">than one birth per two hundred woman-years - and empirically it marks</w:t>
      </w:r>
      <w:r>
        <w:t xml:space="preserve"> </w:t>
      </w:r>
      <w:r>
        <w:t xml:space="preserve">the age above which remaining cumulative fertility is small in</w:t>
      </w:r>
      <w:r>
        <w:t xml:space="preserve"> </w:t>
      </w:r>
      <w:r>
        <w:t xml:space="preserve">replacement terms: cumulative ASFR above age 40 has ranged between 0.02</w:t>
      </w:r>
      <w:r>
        <w:t xml:space="preserve"> </w:t>
      </w:r>
      <w:r>
        <w:t xml:space="preserve">and 0.12 children across the post-war panel (Section 6), at most a few</w:t>
      </w:r>
      <w:r>
        <w:t xml:space="preserve"> </w:t>
      </w:r>
      <w:r>
        <w:t xml:space="preserve">percent of a 2.05 target. And the trend is robust to the choice: the</w:t>
      </w:r>
      <w:r>
        <w:t xml:space="preserve"> </w:t>
      </w:r>
      <w:r>
        <w:t xml:space="preserve">1/1000 ceiling sits roughly two years higher but moves in parallel.</w:t>
      </w:r>
    </w:p>
    <w:p>
      <w:pPr>
        <w:pStyle w:val="Compact"/>
        <w:numPr>
          <w:ilvl w:val="0"/>
          <w:numId w:val="1001"/>
        </w:numPr>
      </w:pPr>
      <w:r>
        <w:rPr>
          <w:b/>
          <w:bCs/>
        </w:rPr>
        <w:t xml:space="preserve">Reachability.</w:t>
      </w:r>
      <w:r>
        <w:t xml:space="preserve"> </w:t>
      </w:r>
      <w:r>
        <w:t xml:space="preserve">For each cohort observed from age 16 or earlier, the</w:t>
      </w:r>
      <w:r>
        <w:t xml:space="preserve"> </w:t>
      </w:r>
      <w:r>
        <w:t xml:space="preserve">age at which</w:t>
      </w:r>
      <w:r>
        <w:t xml:space="preserve"> </w:t>
      </w:r>
      <m:oMath>
        <m:r>
          <m:t>F</m:t>
        </m:r>
      </m:oMath>
      <w:r>
        <w:t xml:space="preserve"> </w:t>
      </w:r>
      <w:r>
        <w:t xml:space="preserve">first reaches 2.05, classified as</w:t>
      </w:r>
      <w:r>
        <w:t xml:space="preserve"> </w:t>
      </w:r>
      <w:r>
        <w:rPr>
          <w:i/>
          <w:iCs/>
        </w:rPr>
        <w:t xml:space="preserve">crossed</w:t>
      </w:r>
      <w:r>
        <w:t xml:space="preserve">;</w:t>
      </w:r>
      <w:r>
        <w:t xml:space="preserve"> </w:t>
      </w:r>
      <w:r>
        <w:rPr>
          <w:i/>
          <w:iCs/>
        </w:rPr>
        <w:t xml:space="preserve">never</w:t>
      </w:r>
      <w:r>
        <w:t xml:space="preserve"> </w:t>
      </w:r>
      <w:r>
        <w:t xml:space="preserve">(observed beyond age 44 without crossing); or</w:t>
      </w:r>
      <w:r>
        <w:t xml:space="preserve"> </w:t>
      </w:r>
      <w:r>
        <w:rPr>
          <w:i/>
          <w:iCs/>
        </w:rPr>
        <w:t xml:space="preserve">censored</w:t>
      </w:r>
      <w:r>
        <w:t xml:space="preserve"> </w:t>
      </w:r>
      <w:r>
        <w:t xml:space="preserve">(still</w:t>
      </w:r>
      <w:r>
        <w:t xml:space="preserve"> </w:t>
      </w:r>
      <w:r>
        <w:t xml:space="preserve">unobserved at the ages that would decide it).</w:t>
      </w:r>
    </w:p>
    <w:p>
      <w:pPr>
        <w:pStyle w:val="FirstParagraph"/>
      </w:pPr>
      <w:r>
        <w:t xml:space="preserve">The vertical distance</w:t>
      </w:r>
      <w:r>
        <w:t xml:space="preserve"> </w:t>
      </w:r>
      <m:oMath>
        <m:sSub>
          <m:e>
            <m:r>
              <m:t>A</m:t>
            </m:r>
          </m:e>
          <m:sub>
            <m:r>
              <m:t>c</m:t>
            </m:r>
          </m:sub>
        </m:sSub>
        <m:r>
          <m:rPr>
            <m:sty m:val="p"/>
          </m:rPr>
          <m:t>(</m:t>
        </m:r>
        <m:r>
          <m:t>t</m:t>
        </m:r>
        <m:r>
          <m:rPr>
            <m:sty m:val="p"/>
          </m:rPr>
          <m:t>)</m:t>
        </m:r>
        <m:r>
          <m:rPr>
            <m:sty m:val="p"/>
          </m:rPr>
          <m:t>−</m:t>
        </m:r>
        <m:sSubSup>
          <m:e>
            <m:r>
              <m:t>x</m:t>
            </m:r>
          </m:e>
          <m:sub>
            <m:r>
              <m:t>c</m:t>
            </m:r>
          </m:sub>
          <m:sup>
            <m:r>
              <m:rPr>
                <m:sty m:val="p"/>
              </m:rPr>
              <m:t>*</m:t>
            </m:r>
          </m:sup>
        </m:sSubSup>
        <m:r>
          <m:rPr>
            <m:sty m:val="p"/>
          </m:rPr>
          <m:t>(</m:t>
        </m:r>
        <m:r>
          <m:t>t</m:t>
        </m:r>
        <m:r>
          <m:rPr>
            <m:sty m:val="p"/>
          </m:rPr>
          <m:t>)</m:t>
        </m:r>
      </m:oMath>
      <w:r>
        <w:t xml:space="preserve"> </w:t>
      </w:r>
      <w:r>
        <w:t xml:space="preserve">between the two ages is</w:t>
      </w:r>
      <w:r>
        <w:t xml:space="preserve"> </w:t>
      </w:r>
      <w:r>
        <w:t xml:space="preserve">the</w:t>
      </w:r>
      <w:r>
        <w:t xml:space="preserve"> </w:t>
      </w:r>
      <w:r>
        <w:rPr>
          <w:i/>
          <w:iCs/>
        </w:rPr>
        <w:t xml:space="preserve">usable runway</w:t>
      </w:r>
      <w:r>
        <w:t xml:space="preserve">: the span between where childbearing is concentrated</w:t>
      </w:r>
      <w:r>
        <w:t xml:space="preserve"> </w:t>
      </w:r>
      <w:r>
        <w:t xml:space="preserve">and where it effectively ends. Per-country trajectories are the primary</w:t>
      </w:r>
      <w:r>
        <w:t xml:space="preserve"> </w:t>
      </w:r>
      <w:r>
        <w:t xml:space="preserve">outputs throughout; pooled cross-country medians are reported as context.</w:t>
      </w:r>
    </w:p>
    <w:bookmarkEnd w:id="23"/>
    <w:bookmarkEnd w:id="24"/>
    <w:bookmarkStart w:id="34" w:name="the-2020-forecasts-checked"/>
    <w:p>
      <w:pPr>
        <w:pStyle w:val="Heading1"/>
      </w:pPr>
      <w:r>
        <w:t xml:space="preserve">The 2020 forecasts, checked</w:t>
      </w:r>
    </w:p>
    <w:bookmarkStart w:id="25" w:name="what-the-2020-paper-predicted"/>
    <w:p>
      <w:pPr>
        <w:pStyle w:val="Heading2"/>
      </w:pPr>
      <w:r>
        <w:t xml:space="preserve">What the 2020 paper predicted</w:t>
      </w:r>
    </w:p>
    <w:p>
      <w:pPr>
        <w:pStyle w:val="FirstParagraph"/>
      </w:pPr>
      <w:r>
        <w:t xml:space="preserve">The 2020 paper reported a striking regularity across its 45 countries:</w:t>
      </w:r>
      <w:r>
        <w:t xml:space="preserve"> </w:t>
      </w:r>
      <w:r>
        <w:t xml:space="preserve">once a country’s cohorts fell below the replacement milestone, they tended</w:t>
      </w:r>
      <w:r>
        <w:t xml:space="preserve"> </w:t>
      </w:r>
      <w:r>
        <w:t xml:space="preserve">not to return to it. Two exceptions were named - Norway, where cohorts born</w:t>
      </w:r>
      <w:r>
        <w:t xml:space="preserve"> </w:t>
      </w:r>
      <w:r>
        <w:t xml:space="preserve">after the 1950s regained replacement, and the United States, for cohorts</w:t>
      </w:r>
      <w:r>
        <w:t xml:space="preserve"> </w:t>
      </w:r>
      <w:r>
        <w:t xml:space="preserve">born after the late 1960s - and for these two the paper went beyond</w:t>
      </w:r>
      <w:r>
        <w:t xml:space="preserve"> </w:t>
      </w:r>
      <w:r>
        <w:t xml:space="preserve">description. Reading the trajectories of the replacement contours in its</w:t>
      </w:r>
      <w:r>
        <w:t xml:space="preserve"> </w:t>
      </w:r>
      <w:r>
        <w:t xml:space="preserve">Figure 2, the published discussion reasoned that the contour</w:t>
      </w:r>
      <w:r>
        <w:t xml:space="preserve"> </w:t>
      </w:r>
      <w:r>
        <w:t xml:space="preserve">“has been</w:t>
      </w:r>
      <w:r>
        <w:t xml:space="preserve"> </w:t>
      </w:r>
      <w:r>
        <w:t xml:space="preserve">trending upwards for Norway but falling for the United States,”</w:t>
      </w:r>
      <w:r>
        <w:t xml:space="preserve"> </w:t>
      </w:r>
      <w:r>
        <w:t xml:space="preserve">that</w:t>
      </w:r>
      <w:r>
        <w:t xml:space="preserve"> </w:t>
      </w:r>
      <w:r>
        <w:t xml:space="preserve">cumulative fertility by age 43 is in practice close to completed fertility,</w:t>
      </w:r>
      <w:r>
        <w:t xml:space="preserve"> </w:t>
      </w:r>
      <w:r>
        <w:t xml:space="preserve">and concluded that</w:t>
      </w:r>
      <w:r>
        <w:t xml:space="preserve"> </w:t>
      </w:r>
      <w:r>
        <w:t xml:space="preserve">“Norway looks likely to lose replacement fertility</w:t>
      </w:r>
      <w:r>
        <w:t xml:space="preserve"> </w:t>
      </w:r>
      <w:r>
        <w:t xml:space="preserve">levels over the next few years,”</w:t>
      </w:r>
      <w:r>
        <w:t xml:space="preserve"> </w:t>
      </w:r>
      <w:r>
        <w:t xml:space="preserve">whereas</w:t>
      </w:r>
      <w:r>
        <w:t xml:space="preserve"> </w:t>
      </w:r>
      <w:r>
        <w:t xml:space="preserve">“we might assume that replacement</w:t>
      </w:r>
      <w:r>
        <w:t xml:space="preserve"> </w:t>
      </w:r>
      <w:r>
        <w:t xml:space="preserve">levels will be sustained for longer in the United States”</w:t>
      </w:r>
      <w:r>
        <w:t xml:space="preserve"> </w:t>
      </w:r>
      <w:r>
        <w:t xml:space="preserve">(Pattaro et al. 2020, 699–700)</w:t>
      </w:r>
      <w:r>
        <w:t xml:space="preserve">. In a pre-publication working version of the figure the</w:t>
      </w:r>
      <w:r>
        <w:t xml:space="preserve"> </w:t>
      </w:r>
      <w:r>
        <w:t xml:space="preserve">forecasts were drawn rather than stated, as dotted lines labelled</w:t>
      </w:r>
      <w:r>
        <w:t xml:space="preserve"> </w:t>
      </w:r>
      <w:r>
        <w:t xml:space="preserve">“speculative extrapolation of replacement contour”</w:t>
      </w:r>
      <w:r>
        <w:t xml:space="preserve">: for Norway holding</w:t>
      </w:r>
      <w:r>
        <w:t xml:space="preserve"> </w:t>
      </w:r>
      <w:r>
        <w:t xml:space="preserve">near age 43 for a further decade of cohorts before turning vertical; for</w:t>
      </w:r>
      <w:r>
        <w:t xml:space="preserve"> </w:t>
      </w:r>
      <w:r>
        <w:t xml:space="preserve">the United States continuing near-flat at age 37. The drawn</w:t>
      </w:r>
      <w:r>
        <w:t xml:space="preserve"> </w:t>
      </w:r>
      <w:r>
        <w:t xml:space="preserve">lines were dropped in revision but are publicly timestamped in the project</w:t>
      </w:r>
      <w:r>
        <w:t xml:space="preserve"> </w:t>
      </w:r>
      <w:r>
        <w:t xml:space="preserve">repository (September 2018; Supplement S7 reproduces both the published</w:t>
      </w:r>
      <w:r>
        <w:t xml:space="preserve"> </w:t>
      </w:r>
      <w:r>
        <w:t xml:space="preserve">figure and the working version), which makes the informal forecasts</w:t>
      </w:r>
      <w:r>
        <w:t xml:space="preserve"> </w:t>
      </w:r>
      <w:r>
        <w:t xml:space="preserve">concrete and datable. A decade of new data - covering the years in which</w:t>
      </w:r>
      <w:r>
        <w:t xml:space="preserve"> </w:t>
      </w:r>
      <w:r>
        <w:t xml:space="preserve">period fertility fell to record lows across the Nordic countries, the</w:t>
      </w:r>
      <w:r>
        <w:t xml:space="preserve"> </w:t>
      </w:r>
      <w:r>
        <w:t xml:space="preserve">United States, and East Asia</w:t>
      </w:r>
      <w:r>
        <w:t xml:space="preserve"> </w:t>
      </w:r>
      <w:r>
        <w:t xml:space="preserve">(Comolli et al. 2021; Hellstrand et al. 2020; Kearney et al. 2022; Yoo and Sobotka 2018)</w:t>
      </w:r>
      <w:r>
        <w:t xml:space="preserve"> </w:t>
      </w:r>
      <w:r>
        <w:t xml:space="preserve">- lets them resolve.</w:t>
      </w:r>
    </w:p>
    <w:bookmarkEnd w:id="25"/>
    <w:bookmarkStart w:id="32" w:name="then-and-now"/>
    <w:p>
      <w:pPr>
        <w:pStyle w:val="Heading2"/>
      </w:pPr>
      <w:r>
        <w:t xml:space="preserve">Then and now</w:t>
      </w:r>
    </w:p>
    <w:p>
      <w:pPr>
        <w:pStyle w:val="FirstParagraph"/>
      </w:pPr>
      <w:hyperlink w:anchor="fig-2x2">
        <w:r>
          <w:rPr>
            <w:rStyle w:val="Hyperlink"/>
          </w:rPr>
          <w:t xml:space="preserve">Figure 2</w:t>
        </w:r>
      </w:hyperlink>
      <w:r>
        <w:t xml:space="preserve"> </w:t>
      </w:r>
      <w:r>
        <w:t xml:space="preserve">puts the check in a single view: the 2020-vintage panels,</w:t>
      </w:r>
      <w:r>
        <w:t xml:space="preserve"> </w:t>
      </w:r>
      <w:r>
        <w:t xml:space="preserve">re-rendered from the tagged data with the extrapolations restored, beside</w:t>
      </w:r>
      <w:r>
        <w:t xml:space="preserve"> </w:t>
      </w:r>
      <w:r>
        <w:t xml:space="preserve">the updated panels. On these composites a replacement contour can end in</w:t>
      </w:r>
      <w:r>
        <w:t xml:space="preserve"> </w:t>
      </w:r>
      <w:r>
        <w:t xml:space="preserve">two ways, and the distinction carries the results: a contour that escapes</w:t>
      </w:r>
      <w:r>
        <w:t xml:space="preserve"> </w:t>
      </w:r>
      <w:r>
        <w:t xml:space="preserve">vertically through the top of a fully observed region marks cohorts that</w:t>
      </w:r>
      <w:r>
        <w:t xml:space="preserve"> </w:t>
      </w:r>
      <w:r>
        <w:t xml:space="preserve">never reach the milestone at any age, while a contour cut at the diagonal</w:t>
      </w:r>
      <w:r>
        <w:t xml:space="preserve"> </w:t>
      </w:r>
      <w:r>
        <w:t xml:space="preserve">data edge is merely censored.</w:t>
      </w:r>
      <w:r>
        <w:t xml:space="preserve"> </w:t>
      </w:r>
      <w:hyperlink w:anchor="tbl-scoreboard">
        <w:r>
          <w:rPr>
            <w:rStyle w:val="Hyperlink"/>
          </w:rPr>
          <w:t xml:space="preserve">Table 1</w:t>
        </w:r>
      </w:hyperlink>
      <w:r>
        <w:t xml:space="preserve"> </w:t>
      </w:r>
      <w:r>
        <w:t xml:space="preserve">states the resolutions.</w:t>
      </w:r>
    </w:p>
    <w:tbl>
      <w:tblPr>
        <w:tblStyle w:val="Table"/>
        <w:tblW w:type="pct" w:w="5000"/>
        <w:tblLayout w:type="fixed"/>
        <w:tblLook w:firstRow="0" w:lastRow="0" w:firstColumn="0" w:lastColumn="0" w:noHBand="0" w:noVBand="0" w:val="0000"/>
      </w:tblPr>
      <w:tblGrid>
        <w:gridCol w:w="7920"/>
      </w:tblGrid>
      <w:tr>
        <w:tc>
          <w:tcPr/>
          <w:bookmarkStart w:id="29" w:name="fig-2x2"/>
          <w:p>
            <w:pPr>
              <w:pStyle w:val="Compact"/>
              <w:jc w:val="center"/>
            </w:pPr>
            <w:r>
              <w:drawing>
                <wp:inline>
                  <wp:extent cx="5334000" cy="4149410"/>
                  <wp:effectExtent b="0" l="0" r="0" t="0"/>
                  <wp:docPr descr="" title="" id="27" name="Picture"/>
                  <a:graphic>
                    <a:graphicData uri="http://schemas.openxmlformats.org/drawingml/2006/picture">
                      <pic:pic>
                        <pic:nvPicPr>
                          <pic:cNvPr descr="figures/forecast_check_2x2.png" id="28" name="Picture"/>
                          <pic:cNvPicPr>
                            <a:picLocks noChangeArrowheads="1" noChangeAspect="1"/>
                          </pic:cNvPicPr>
                        </pic:nvPicPr>
                        <pic:blipFill>
                          <a:blip r:embed="rId26"/>
                          <a:stretch>
                            <a:fillRect/>
                          </a:stretch>
                        </pic:blipFill>
                        <pic:spPr bwMode="auto">
                          <a:xfrm>
                            <a:off x="0" y="0"/>
                            <a:ext cx="5334000" cy="414941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2020 extrapolations and what the new data showed. Rows: Norway, United States. Left column: the 2020-vintage data (repository tag</w:t>
            </w:r>
            <w:r>
              <w:t xml:space="preserve"> </w:t>
            </w:r>
            <w:r>
              <w:rPr>
                <w:rStyle w:val="VerbatimChar"/>
              </w:rPr>
              <w:t xml:space="preserve">demres-2020</w:t>
            </w:r>
            <w:r>
              <w:t xml:space="preserve">), re-rendered in the current visual specification, with the 2020-era speculative extrapolations in magenta, digitized from the September 2018 working figure (Supplement S7); they appear on the 2020-vintage panels only. Right column: the 2026 update. Heavy contour: CPCFR = 2.05 (replacement); thin: 1.50. Contours escaping through the top mark cohorts that never reach the milestone; contours cut at the data edge are censored.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scoreboard"/>
          <w:p>
            <w:pPr>
              <w:jc w:val="center"/>
            </w:pPr>
            <w:pPr>
              <w:jc w:val="left"/>
              <w:spacing w:before="200"/>
              <w:pStyle w:val="ImageCaption"/>
            </w:pPr>
            <w:r>
              <w:t xml:space="preserve">Table 1: The 2020 extrapolations and their resolutions.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Reading in</w:t>
                  </w:r>
                  <w:r>
                    <w:t xml:space="preserve"> </w:t>
                  </w:r>
                  <w:r>
                    <w:t xml:space="preserve">Pattaro et al. (2020)</w:t>
                  </w:r>
                </w:p>
              </w:tc>
              <w:tc>
                <w:tcPr/>
                <w:p>
                  <w:pPr>
                    <w:pStyle w:val="Compact"/>
                    <w:jc w:val="left"/>
                    <w:jc w:val="center"/>
                  </w:pPr>
                  <w:r>
                    <w:t xml:space="preserve">Outcome on data to 2023-25</w:t>
                  </w:r>
                </w:p>
              </w:tc>
            </w:tr>
            <w:tr>
              <w:tc>
                <w:tcPr/>
                <w:p>
                  <w:pPr>
                    <w:pStyle w:val="Compact"/>
                    <w:jc w:val="left"/>
                    <w:jc w:val="center"/>
                  </w:pPr>
                  <w:r>
                    <w:t xml:space="preserve">“Once countries have fallen below a replacement fertility level, they tend to not return to it.”</w:t>
                  </w:r>
                </w:p>
              </w:tc>
              <w:tc>
                <w:tcPr/>
                <w:p>
                  <w:pPr>
                    <w:pStyle w:val="Compact"/>
                    <w:jc w:val="left"/>
                    <w:jc w:val="center"/>
                  </w:pPr>
                  <w:r>
                    <w:t xml:space="preserve">Strengthened: 43 of 45 countries now have post-war cohorts observed beyond age 44 that never reached replacement.</w:t>
                  </w:r>
                </w:p>
              </w:tc>
            </w:tr>
            <w:tr>
              <w:tc>
                <w:tcPr/>
                <w:p>
                  <w:pPr>
                    <w:pStyle w:val="Compact"/>
                    <w:jc w:val="left"/>
                    <w:jc w:val="center"/>
                  </w:pPr>
                  <w:r>
                    <w:t xml:space="preserve">Norway</w:t>
                  </w:r>
                  <w:r>
                    <w:t xml:space="preserve"> </w:t>
                  </w:r>
                  <w:r>
                    <w:t xml:space="preserve">“looks likely to lose replacement fertility levels over the next few years.”</w:t>
                  </w:r>
                </w:p>
              </w:tc>
              <w:tc>
                <w:tcPr/>
                <w:p>
                  <w:pPr>
                    <w:pStyle w:val="Compact"/>
                    <w:jc w:val="left"/>
                    <w:jc w:val="center"/>
                  </w:pPr>
                  <w:r>
                    <w:t xml:space="preserve">Qualitatively correct; quantitatively optimistic: the loss was already complete at the data edge being read. The drawn extrapolation held the contour near age 43 for a further decade of cohorts before its vertical exit; in the event the vertical escape comes immediately after the 1971 cohort - no later-born cohort reaches replacement at any observed age. Period TFR 1.98 (2009) to 1.40 (2023).</w:t>
                  </w:r>
                </w:p>
              </w:tc>
            </w:tr>
            <w:tr>
              <w:tc>
                <w:tcPr/>
                <w:p>
                  <w:pPr>
                    <w:pStyle w:val="Compact"/>
                    <w:jc w:val="left"/>
                    <w:jc w:val="center"/>
                  </w:pPr>
                  <w:r>
                    <w:t xml:space="preserve">“Replacement levels will be sustained for longer in the United States”</w:t>
                  </w:r>
                  <w:r>
                    <w:t xml:space="preserve"> </w:t>
                  </w:r>
                  <w:r>
                    <w:t xml:space="preserve">(drawn extrapolation: sustained near age 37).</w:t>
                  </w:r>
                </w:p>
              </w:tc>
              <w:tc>
                <w:tcPr/>
                <w:p>
                  <w:pPr>
                    <w:pStyle w:val="Compact"/>
                    <w:jc w:val="left"/>
                    <w:jc w:val="center"/>
                  </w:pPr>
                  <w:r>
                    <w:t xml:space="preserve">Qualitatively correct; quantitatively optimistic: crossings continue through the 1984 cohort - some twenty further cohorts - but at ages 39-40, not 37, and cohorts beyond are censored and running lower at every age.</w:t>
                  </w:r>
                </w:p>
              </w:tc>
            </w:tr>
          </w:tbl>
          <w:bookmarkEnd w:id="30"/>
          <w:p/>
        </w:tc>
      </w:tr>
    </w:tbl>
    <w:p>
      <w:pPr>
        <w:pStyle w:val="BodyText"/>
      </w:pPr>
      <w:r>
        <w:t xml:space="preserve">For Norway, the updated panel shows a complete arc: the replacement</w:t>
      </w:r>
      <w:r>
        <w:t xml:space="preserve"> </w:t>
      </w:r>
      <w:r>
        <w:t xml:space="preserve">contour climbs effectively vertically for cohorts born around 1950,</w:t>
      </w:r>
      <w:r>
        <w:t xml:space="preserve"> </w:t>
      </w:r>
      <w:r>
        <w:t xml:space="preserve">returns to the surface at around age 40 for cohorts born 1958-68 - the</w:t>
      </w:r>
      <w:r>
        <w:t xml:space="preserve"> </w:t>
      </w:r>
      <w:r>
        <w:t xml:space="preserve">recovery that made Norway the 2020 paper’s leading exception</w:t>
      </w:r>
      <w:r>
        <w:t xml:space="preserve"> </w:t>
      </w:r>
      <w:r>
        <w:t xml:space="preserve">(Kravdal 2016)</w:t>
      </w:r>
      <w:r>
        <w:t xml:space="preserve"> </w:t>
      </w:r>
      <w:r>
        <w:t xml:space="preserve">- and then escapes vertically a second time immediately after the 1971</w:t>
      </w:r>
      <w:r>
        <w:t xml:space="preserve"> </w:t>
      </w:r>
      <w:r>
        <w:t xml:space="preserve">cohort. The drawn 2020 forecast had anticipated the same shape but a</w:t>
      </w:r>
      <w:r>
        <w:t xml:space="preserve"> </w:t>
      </w:r>
      <w:r>
        <w:t xml:space="preserve">decade later: its dotted line holds near age 43 through cohorts born to</w:t>
      </w:r>
      <w:r>
        <w:t xml:space="preserve"> </w:t>
      </w:r>
      <w:r>
        <w:t xml:space="preserve">about 1981 before turning vertical (</w:t>
      </w:r>
      <w:hyperlink w:anchor="fig-2x2">
        <w:r>
          <w:rPr>
            <w:rStyle w:val="Hyperlink"/>
          </w:rPr>
          <w:t xml:space="preserve">Figure 2</w:t>
        </w:r>
      </w:hyperlink>
      <w:r>
        <w:t xml:space="preserve">, left). The realized exit</w:t>
      </w:r>
      <w:r>
        <w:t xml:space="preserve"> </w:t>
      </w:r>
      <w:r>
        <w:t xml:space="preserve">came ten cohorts sooner, and was total.</w:t>
      </w:r>
    </w:p>
    <w:p>
      <w:pPr>
        <w:pStyle w:val="BodyText"/>
      </w:pPr>
      <w:r>
        <w:t xml:space="preserve">For the United States the statement must be more careful, and the care is</w:t>
      </w:r>
      <w:r>
        <w:t xml:space="preserve"> </w:t>
      </w:r>
      <w:r>
        <w:t xml:space="preserve">itself instructive. In cohort terms the US exception</w:t>
      </w:r>
      <w:r>
        <w:t xml:space="preserve"> </w:t>
      </w:r>
      <w:r>
        <w:rPr>
          <w:i/>
          <w:iCs/>
        </w:rPr>
        <w:t xml:space="preserve">persisted</w:t>
      </w:r>
      <w:r>
        <w:t xml:space="preserve">: cohorts</w:t>
      </w:r>
      <w:r>
        <w:t xml:space="preserve"> </w:t>
      </w:r>
      <w:r>
        <w:t xml:space="preserve">born 1982, 1983 and 1984 all crossed replacement, at ages 39, 39 and 40,</w:t>
      </w:r>
      <w:r>
        <w:t xml:space="preserve"> </w:t>
      </w:r>
      <w:r>
        <w:t xml:space="preserve">with completed cumulative fertility of 2.14, 2.13 and 2.09; the 1985</w:t>
      </w:r>
      <w:r>
        <w:t xml:space="preserve"> </w:t>
      </w:r>
      <w:r>
        <w:t xml:space="preserve">cohort stood at 2.04 by age 39 and will plausibly cross; cohorts beyond</w:t>
      </w:r>
      <w:r>
        <w:t xml:space="preserve"> </w:t>
      </w:r>
      <w:r>
        <w:t xml:space="preserve">run progressively lower at every age but remain right-censored, so the US</w:t>
      </w:r>
      <w:r>
        <w:t xml:space="preserve"> </w:t>
      </w:r>
      <w:r>
        <w:t xml:space="preserve">verdict is still open.</w:t>
      </w:r>
      <w:r>
        <w:t xml:space="preserve"> </w:t>
      </w:r>
      <w:r>
        <w:t xml:space="preserve">“Sustained for longer”</w:t>
      </w:r>
      <w:r>
        <w:t xml:space="preserve"> </w:t>
      </w:r>
      <w:r>
        <w:t xml:space="preserve">was therefore correct. But</w:t>
      </w:r>
      <w:r>
        <w:t xml:space="preserve"> </w:t>
      </w:r>
      <w:r>
        <w:t xml:space="preserve">the drawn forecast had the contour holding near age 37, and the realized</w:t>
      </w:r>
      <w:r>
        <w:t xml:space="preserve"> </w:t>
      </w:r>
      <w:r>
        <w:t xml:space="preserve">crossings occurred at 39-40: the exception was sustained not by stable</w:t>
      </w:r>
      <w:r>
        <w:t xml:space="preserve"> </w:t>
      </w:r>
      <w:r>
        <w:t xml:space="preserve">timing but by pushing childbearing against the upper edge of the</w:t>
      </w:r>
      <w:r>
        <w:t xml:space="preserve"> </w:t>
      </w:r>
      <w:r>
        <w:t xml:space="preserve">reproductive lifecourse - a distinction invisible in period TFR and</w:t>
      </w:r>
      <w:r>
        <w:t xml:space="preserve"> </w:t>
      </w:r>
      <w:r>
        <w:t xml:space="preserve">legible only on the surface.</w:t>
      </w:r>
    </w:p>
    <w:p>
      <w:pPr>
        <w:pStyle w:val="BodyText"/>
      </w:pPr>
      <w:r>
        <w:t xml:space="preserve">Nor were Norway and the United States ever the</w:t>
      </w:r>
      <w:r>
        <w:t xml:space="preserve"> </w:t>
      </w:r>
      <w:r>
        <w:rPr>
          <w:i/>
          <w:iCs/>
        </w:rPr>
        <w:t xml:space="preserve">only</w:t>
      </w:r>
      <w:r>
        <w:t xml:space="preserve"> </w:t>
      </w:r>
      <w:r>
        <w:t xml:space="preserve">populations at or</w:t>
      </w:r>
      <w:r>
        <w:t xml:space="preserve"> </w:t>
      </w:r>
      <w:r>
        <w:t xml:space="preserve">above replacement, a point the full panel makes precise. Nine countries</w:t>
      </w:r>
      <w:r>
        <w:t xml:space="preserve"> </w:t>
      </w:r>
      <w:r>
        <w:t xml:space="preserve">have any cohort born in 1970 or later that crossed 2.05 (</w:t>
      </w:r>
      <w:hyperlink w:anchor="tbl-lastcohort">
        <w:r>
          <w:rPr>
            <w:rStyle w:val="Hyperlink"/>
          </w:rPr>
          <w:t xml:space="preserve">Table 2</w:t>
        </w:r>
      </w:hyperlink>
      <w:r>
        <w:t xml:space="preserve">);</w:t>
      </w:r>
      <w:r>
        <w:t xml:space="preserve"> </w:t>
      </w:r>
      <w:r>
        <w:t xml:space="preserve">what made Norway and the United States the named exceptions was that,</w:t>
      </w:r>
      <w:r>
        <w:t xml:space="preserve"> </w:t>
      </w:r>
      <w:r>
        <w:t xml:space="preserve">among the notably rich populations of the panel, they were the two whose</w:t>
      </w:r>
      <w:r>
        <w:t xml:space="preserve"> </w:t>
      </w:r>
      <w:r>
        <w:t xml:space="preserve">cohort fertility had</w:t>
      </w:r>
      <w:r>
        <w:t xml:space="preserve"> </w:t>
      </w:r>
      <w:r>
        <w:rPr>
          <w:i/>
          <w:iCs/>
        </w:rPr>
        <w:t xml:space="preserve">recovered</w:t>
      </w:r>
      <w:r>
        <w:t xml:space="preserve"> </w:t>
      </w:r>
      <w:r>
        <w:t xml:space="preserve">to replacement after earlier decline. It</w:t>
      </w:r>
      <w:r>
        <w:t xml:space="preserve"> </w:t>
      </w:r>
      <w:r>
        <w:t xml:space="preserve">is that recovery, specifically, that the new data shows ending. (The full</w:t>
      </w:r>
      <w:r>
        <w:t xml:space="preserve"> </w:t>
      </w:r>
      <w:r>
        <w:t xml:space="preserve">45-country panels are in Supplement S1; South Korea, newly covered here</w:t>
      </w:r>
      <w:r>
        <w:t xml:space="preserve"> </w:t>
      </w:r>
      <w:r>
        <w:t xml:space="preserve">from 1960, last saw a cohort reach replacement with those born in 1958,</w:t>
      </w:r>
      <w:r>
        <w:t xml:space="preserve"> </w:t>
      </w:r>
      <w:r>
        <w:t xml:space="preserve">and its 2024 period TFR was 0.75</w:t>
      </w:r>
      <w:r>
        <w:t xml:space="preserve"> </w:t>
      </w:r>
      <w:r>
        <w:t xml:space="preserve">(Yoo and Sobotka 2018)</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tbl-lastcohort"/>
          <w:p>
            <w:pPr>
              <w:jc w:val="center"/>
            </w:pPr>
            <w:pPr>
              <w:jc w:val="left"/>
              <w:spacing w:before="200"/>
              <w:pStyle w:val="ImageCaption"/>
            </w:pPr>
            <w:r>
              <w:t xml:space="preserve">Table 2: The nine countries with any cohort born in 1970 or later reaching CPCFR = 2.05, most recent first. Full table: Supplement S4.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Last cohort crossing 2.05</w:t>
                  </w:r>
                </w:p>
              </w:tc>
              <w:tc>
                <w:tcPr/>
                <w:p>
                  <w:pPr>
                    <w:pStyle w:val="Compact"/>
                    <w:jc w:val="right"/>
                    <w:jc w:val="center"/>
                  </w:pPr>
                  <w:r>
                    <w:t xml:space="preserve">Age at crossing</w:t>
                  </w:r>
                </w:p>
              </w:tc>
            </w:tr>
            <w:tr>
              <w:tc>
                <w:tcPr/>
                <w:p>
                  <w:pPr>
                    <w:pStyle w:val="Compact"/>
                    <w:jc w:val="left"/>
                    <w:jc w:val="center"/>
                  </w:pPr>
                  <w:r>
                    <w:t xml:space="preserve">United States</w:t>
                  </w:r>
                </w:p>
              </w:tc>
              <w:tc>
                <w:tcPr/>
                <w:p>
                  <w:pPr>
                    <w:pStyle w:val="Compact"/>
                    <w:jc w:val="right"/>
                    <w:jc w:val="center"/>
                  </w:pPr>
                  <w:r>
                    <w:t xml:space="preserve">1984</w:t>
                  </w:r>
                </w:p>
              </w:tc>
              <w:tc>
                <w:tcPr/>
                <w:p>
                  <w:pPr>
                    <w:pStyle w:val="Compact"/>
                    <w:jc w:val="right"/>
                    <w:jc w:val="center"/>
                  </w:pPr>
                  <w:r>
                    <w:t xml:space="preserve">40</w:t>
                  </w:r>
                </w:p>
              </w:tc>
            </w:tr>
            <w:tr>
              <w:tc>
                <w:tcPr/>
                <w:p>
                  <w:pPr>
                    <w:pStyle w:val="Compact"/>
                    <w:jc w:val="left"/>
                    <w:jc w:val="center"/>
                  </w:pPr>
                  <w:r>
                    <w:t xml:space="preserve">Iceland</w:t>
                  </w:r>
                </w:p>
              </w:tc>
              <w:tc>
                <w:tcPr/>
                <w:p>
                  <w:pPr>
                    <w:pStyle w:val="Compact"/>
                    <w:jc w:val="right"/>
                    <w:jc w:val="center"/>
                  </w:pPr>
                  <w:r>
                    <w:t xml:space="preserve">1983</w:t>
                  </w:r>
                </w:p>
              </w:tc>
              <w:tc>
                <w:tcPr/>
                <w:p>
                  <w:pPr>
                    <w:pStyle w:val="Compact"/>
                    <w:jc w:val="right"/>
                    <w:jc w:val="center"/>
                  </w:pPr>
                  <w:r>
                    <w:t xml:space="preserve">40</w:t>
                  </w:r>
                </w:p>
              </w:tc>
            </w:tr>
            <w:tr>
              <w:tc>
                <w:tcPr/>
                <w:p>
                  <w:pPr>
                    <w:pStyle w:val="Compact"/>
                    <w:jc w:val="left"/>
                    <w:jc w:val="center"/>
                  </w:pPr>
                  <w:r>
                    <w:t xml:space="preserve">UK, Northern Ireland</w:t>
                  </w:r>
                </w:p>
              </w:tc>
              <w:tc>
                <w:tcPr/>
                <w:p>
                  <w:pPr>
                    <w:pStyle w:val="Compact"/>
                    <w:jc w:val="right"/>
                    <w:jc w:val="center"/>
                  </w:pPr>
                  <w:r>
                    <w:t xml:space="preserve">1981</w:t>
                  </w:r>
                </w:p>
              </w:tc>
              <w:tc>
                <w:tcPr/>
                <w:p>
                  <w:pPr>
                    <w:pStyle w:val="Compact"/>
                    <w:jc w:val="right"/>
                    <w:jc w:val="center"/>
                  </w:pPr>
                  <w:r>
                    <w:t xml:space="preserve">42</w:t>
                  </w:r>
                </w:p>
              </w:tc>
            </w:tr>
            <w:tr>
              <w:tc>
                <w:tcPr/>
                <w:p>
                  <w:pPr>
                    <w:pStyle w:val="Compact"/>
                    <w:jc w:val="left"/>
                    <w:jc w:val="center"/>
                  </w:pPr>
                  <w:r>
                    <w:t xml:space="preserve">France</w:t>
                  </w:r>
                </w:p>
              </w:tc>
              <w:tc>
                <w:tcPr/>
                <w:p>
                  <w:pPr>
                    <w:pStyle w:val="Compact"/>
                    <w:jc w:val="right"/>
                    <w:jc w:val="center"/>
                  </w:pPr>
                  <w:r>
                    <w:t xml:space="preserve">1980</w:t>
                  </w:r>
                </w:p>
              </w:tc>
              <w:tc>
                <w:tcPr/>
                <w:p>
                  <w:pPr>
                    <w:pStyle w:val="Compact"/>
                    <w:jc w:val="right"/>
                    <w:jc w:val="center"/>
                  </w:pPr>
                  <w:r>
                    <w:t xml:space="preserve">43</w:t>
                  </w:r>
                </w:p>
              </w:tc>
            </w:tr>
            <w:tr>
              <w:tc>
                <w:tcPr/>
                <w:p>
                  <w:pPr>
                    <w:pStyle w:val="Compact"/>
                    <w:jc w:val="left"/>
                    <w:jc w:val="center"/>
                  </w:pPr>
                  <w:r>
                    <w:t xml:space="preserve">New Zealand</w:t>
                  </w:r>
                </w:p>
              </w:tc>
              <w:tc>
                <w:tcPr/>
                <w:p>
                  <w:pPr>
                    <w:pStyle w:val="Compact"/>
                    <w:jc w:val="right"/>
                    <w:jc w:val="center"/>
                  </w:pPr>
                  <w:r>
                    <w:t xml:space="preserve">1980</w:t>
                  </w:r>
                </w:p>
              </w:tc>
              <w:tc>
                <w:tcPr/>
                <w:p>
                  <w:pPr>
                    <w:pStyle w:val="Compact"/>
                    <w:jc w:val="right"/>
                    <w:jc w:val="center"/>
                  </w:pPr>
                  <w:r>
                    <w:t xml:space="preserve">42</w:t>
                  </w:r>
                </w:p>
              </w:tc>
            </w:tr>
            <w:tr>
              <w:tc>
                <w:tcPr/>
                <w:p>
                  <w:pPr>
                    <w:pStyle w:val="Compact"/>
                    <w:jc w:val="left"/>
                    <w:jc w:val="center"/>
                  </w:pPr>
                  <w:r>
                    <w:t xml:space="preserve">Ireland</w:t>
                  </w:r>
                </w:p>
              </w:tc>
              <w:tc>
                <w:tcPr/>
                <w:p>
                  <w:pPr>
                    <w:pStyle w:val="Compact"/>
                    <w:jc w:val="right"/>
                    <w:jc w:val="center"/>
                  </w:pPr>
                  <w:r>
                    <w:t xml:space="preserve">1975</w:t>
                  </w:r>
                </w:p>
              </w:tc>
              <w:tc>
                <w:tcPr/>
                <w:p>
                  <w:pPr>
                    <w:pStyle w:val="Compact"/>
                    <w:jc w:val="right"/>
                    <w:jc w:val="center"/>
                  </w:pPr>
                  <w:r>
                    <w:t xml:space="preserve">44</w:t>
                  </w:r>
                </w:p>
              </w:tc>
            </w:tr>
            <w:tr>
              <w:tc>
                <w:tcPr/>
                <w:p>
                  <w:pPr>
                    <w:pStyle w:val="Compact"/>
                    <w:jc w:val="left"/>
                    <w:jc w:val="center"/>
                  </w:pPr>
                  <w:r>
                    <w:t xml:space="preserve">Macedonia</w:t>
                  </w:r>
                </w:p>
              </w:tc>
              <w:tc>
                <w:tcPr/>
                <w:p>
                  <w:pPr>
                    <w:pStyle w:val="Compact"/>
                    <w:jc w:val="right"/>
                    <w:jc w:val="center"/>
                  </w:pPr>
                  <w:r>
                    <w:t xml:space="preserve">1974</w:t>
                  </w:r>
                </w:p>
              </w:tc>
              <w:tc>
                <w:tcPr/>
                <w:p>
                  <w:pPr>
                    <w:pStyle w:val="Compact"/>
                    <w:jc w:val="right"/>
                    <w:jc w:val="center"/>
                  </w:pPr>
                  <w:r>
                    <w:t xml:space="preserve">42</w:t>
                  </w:r>
                </w:p>
              </w:tc>
            </w:tr>
            <w:tr>
              <w:tc>
                <w:tcPr/>
                <w:p>
                  <w:pPr>
                    <w:pStyle w:val="Compact"/>
                    <w:jc w:val="left"/>
                    <w:jc w:val="center"/>
                  </w:pPr>
                  <w:r>
                    <w:t xml:space="preserve">Albania</w:t>
                  </w:r>
                </w:p>
              </w:tc>
              <w:tc>
                <w:tcPr/>
                <w:p>
                  <w:pPr>
                    <w:pStyle w:val="Compact"/>
                    <w:jc w:val="right"/>
                    <w:jc w:val="center"/>
                  </w:pPr>
                  <w:r>
                    <w:t xml:space="preserve">1973</w:t>
                  </w:r>
                </w:p>
              </w:tc>
              <w:tc>
                <w:tcPr/>
                <w:p>
                  <w:pPr>
                    <w:pStyle w:val="Compact"/>
                    <w:jc w:val="right"/>
                    <w:jc w:val="center"/>
                  </w:pPr>
                  <w:r>
                    <w:t xml:space="preserve">34</w:t>
                  </w:r>
                </w:p>
              </w:tc>
            </w:tr>
            <w:tr>
              <w:tc>
                <w:tcPr/>
                <w:p>
                  <w:pPr>
                    <w:pStyle w:val="Compact"/>
                    <w:jc w:val="left"/>
                    <w:jc w:val="center"/>
                  </w:pPr>
                  <w:r>
                    <w:t xml:space="preserve">Norway</w:t>
                  </w:r>
                </w:p>
              </w:tc>
              <w:tc>
                <w:tcPr/>
                <w:p>
                  <w:pPr>
                    <w:pStyle w:val="Compact"/>
                    <w:jc w:val="right"/>
                    <w:jc w:val="center"/>
                  </w:pPr>
                  <w:r>
                    <w:t xml:space="preserve">1971</w:t>
                  </w:r>
                </w:p>
              </w:tc>
              <w:tc>
                <w:tcPr/>
                <w:p>
                  <w:pPr>
                    <w:pStyle w:val="Compact"/>
                    <w:jc w:val="right"/>
                    <w:jc w:val="center"/>
                  </w:pPr>
                  <w:r>
                    <w:t xml:space="preserve">43</w:t>
                  </w:r>
                </w:p>
              </w:tc>
            </w:tr>
          </w:tbl>
          <w:bookmarkEnd w:id="31"/>
          <w:p/>
        </w:tc>
      </w:tr>
    </w:tbl>
    <w:bookmarkEnd w:id="32"/>
    <w:bookmarkStart w:id="33" w:name="what-the-check-establishes"/>
    <w:p>
      <w:pPr>
        <w:pStyle w:val="Heading2"/>
      </w:pPr>
      <w:r>
        <w:t xml:space="preserve">What the check establishes</w:t>
      </w:r>
    </w:p>
    <w:p>
      <w:pPr>
        <w:pStyle w:val="FirstParagraph"/>
      </w:pPr>
      <w:r>
        <w:t xml:space="preserve">The check answers Section 2.2’s suspicion in both directions at once. Both</w:t>
      </w:r>
      <w:r>
        <w:t xml:space="preserve"> </w:t>
      </w:r>
      <w:r>
        <w:t xml:space="preserve">forecasts resolved in the predicted direction:</w:t>
      </w:r>
      <w:r>
        <w:t xml:space="preserve"> </w:t>
      </w:r>
      <w:r>
        <w:t xml:space="preserve">“reading off graphs”</w:t>
      </w:r>
      <w:r>
        <w:t xml:space="preserve"> </w:t>
      </w:r>
      <w:r>
        <w:t xml:space="preserve">- more</w:t>
      </w:r>
      <w:r>
        <w:t xml:space="preserve"> </w:t>
      </w:r>
      <w:r>
        <w:t xml:space="preserve">precisely, extrapolating visible structure in a surface whose geometry the</w:t>
      </w:r>
      <w:r>
        <w:t xml:space="preserve"> </w:t>
      </w:r>
      <w:r>
        <w:t xml:space="preserve">reader has learned - generated legitimate medium-term expectations about a</w:t>
      </w:r>
      <w:r>
        <w:t xml:space="preserve"> </w:t>
      </w:r>
      <w:r>
        <w:t xml:space="preserve">consequential demographic quantity, stated in print five years ahead. Yet</w:t>
      </w:r>
      <w:r>
        <w:t xml:space="preserve"> </w:t>
      </w:r>
      <w:r>
        <w:t xml:space="preserve">both forecasts erred the same way, understating severity, and a shared</w:t>
      </w:r>
      <w:r>
        <w:t xml:space="preserve"> </w:t>
      </w:r>
      <w:r>
        <w:t xml:space="preserve">failure mode suggests a shared missing term. The last column of</w:t>
      </w:r>
      <w:r>
        <w:t xml:space="preserve"> </w:t>
      </w:r>
      <w:hyperlink w:anchor="tbl-lastcohort">
        <w:r>
          <w:rPr>
            <w:rStyle w:val="Hyperlink"/>
          </w:rPr>
          <w:t xml:space="preserve">Table 2</w:t>
        </w:r>
      </w:hyperlink>
      <w:r>
        <w:t xml:space="preserve"> </w:t>
      </w:r>
      <w:r>
        <w:t xml:space="preserve">names it: with one exception (Albania, whose crossing at</w:t>
      </w:r>
      <w:r>
        <w:t xml:space="preserve"> </w:t>
      </w:r>
      <w:r>
        <w:t xml:space="preserve">34 belongs to an earlier fertility regime), every terminal crossing since</w:t>
      </w:r>
      <w:r>
        <w:t xml:space="preserve"> </w:t>
      </w:r>
      <w:r>
        <w:t xml:space="preserve">1970 occurred at ages 40-44. The final departures from replacement did not</w:t>
      </w:r>
      <w:r>
        <w:t xml:space="preserve"> </w:t>
      </w:r>
      <w:r>
        <w:t xml:space="preserve">end at random ages; they ended pressed against a common boundary that</w:t>
      </w:r>
      <w:r>
        <w:t xml:space="preserve"> </w:t>
      </w:r>
      <w:r>
        <w:t xml:space="preserve">visual extrapolation had treated as open space - annotated on the 2020</w:t>
      </w:r>
      <w:r>
        <w:t xml:space="preserve"> </w:t>
      </w:r>
      <w:r>
        <w:t xml:space="preserve">figure as</w:t>
      </w:r>
      <w:r>
        <w:t xml:space="preserve"> </w:t>
      </w:r>
      <w:r>
        <w:t xml:space="preserve">“replacement age 43,”</w:t>
      </w:r>
      <w:r>
        <w:t xml:space="preserve"> </w:t>
      </w:r>
      <w:r>
        <w:t xml:space="preserve">but never theorized. Naming and measuring</w:t>
      </w:r>
      <w:r>
        <w:t xml:space="preserve"> </w:t>
      </w:r>
      <w:r>
        <w:t xml:space="preserve">that boundary is the business of the rest of the paper.</w:t>
      </w:r>
    </w:p>
    <w:bookmarkEnd w:id="33"/>
    <w:bookmarkEnd w:id="34"/>
    <w:bookmarkStart w:id="35" w:name="Xb53f28d69dd7b40b6b77e5d71bb282feced0ac6"/>
    <w:p>
      <w:pPr>
        <w:pStyle w:val="Heading1"/>
      </w:pPr>
      <w:r>
        <w:t xml:space="preserve">Beyond the total: what the debate needs from age structure</w:t>
      </w:r>
    </w:p>
    <w:p>
      <w:pPr>
        <w:pStyle w:val="FirstParagraph"/>
      </w:pPr>
      <w:r>
        <w:t xml:space="preserve">The renewed attention to fertility decline runs mostly on period TFRs, and</w:t>
      </w:r>
      <w:r>
        <w:t xml:space="preserve"> </w:t>
      </w:r>
      <w:r>
        <w:t xml:space="preserve">the limitation is structural: the TFR is a one-number summary that</w:t>
      </w:r>
      <w:r>
        <w:t xml:space="preserve"> </w:t>
      </w:r>
      <w:r>
        <w:t xml:space="preserve">collapses precisely the information on which candidate explanations</w:t>
      </w:r>
      <w:r>
        <w:t xml:space="preserve"> </w:t>
      </w:r>
      <w:r>
        <w:t xml:space="preserve">differ -</w:t>
      </w:r>
      <w:r>
        <w:t xml:space="preserve"> </w:t>
      </w:r>
      <w:r>
        <w:rPr>
          <w:i/>
          <w:iCs/>
        </w:rPr>
        <w:t xml:space="preserve">which ages</w:t>
      </w:r>
      <w:r>
        <w:t xml:space="preserve"> </w:t>
      </w:r>
      <w:r>
        <w:t xml:space="preserve">lost fertility,</w:t>
      </w:r>
      <w:r>
        <w:t xml:space="preserve"> </w:t>
      </w:r>
      <w:r>
        <w:rPr>
          <w:i/>
          <w:iCs/>
        </w:rPr>
        <w:t xml:space="preserve">which cohorts</w:t>
      </w:r>
      <w:r>
        <w:t xml:space="preserve"> </w:t>
      </w:r>
      <w:r>
        <w:t xml:space="preserve">carry the loss,</w:t>
      </w:r>
      <w:r>
        <w:t xml:space="preserve"> </w:t>
      </w:r>
      <w:r>
        <w:t xml:space="preserve">whether milestones are delayed or abandoned, and whether change arrived</w:t>
      </w:r>
      <w:r>
        <w:t xml:space="preserve"> </w:t>
      </w:r>
      <w:r>
        <w:t xml:space="preserve">everywhere at once or diffused</w:t>
      </w:r>
      <w:r>
        <w:t xml:space="preserve"> </w:t>
      </w:r>
      <w:r>
        <w:t xml:space="preserve">(Ritchie 2026; Burn-Murdoch 2026)</w:t>
      </w:r>
      <w:r>
        <w:t xml:space="preserve">. The smartphone thesis, its economic-precarity</w:t>
      </w:r>
      <w:r>
        <w:t xml:space="preserve"> </w:t>
      </w:r>
      <w:r>
        <w:t xml:space="preserve">competitor, and the older diffusion tradition in demography</w:t>
      </w:r>
      <w:r>
        <w:t xml:space="preserve"> </w:t>
      </w:r>
      <w:r>
        <w:t xml:space="preserve">(Billari et al. 2019; Sobotka et al. 2011; Kearney et al. 2022; Bongaarts and Watkins 1996; Casterline 2001)</w:t>
      </w:r>
      <w:r>
        <w:t xml:space="preserve"> </w:t>
      </w:r>
      <w:r>
        <w:t xml:space="preserve">make different predictions about fertility’s age</w:t>
      </w:r>
      <w:r>
        <w:t xml:space="preserve"> </w:t>
      </w:r>
      <w:r>
        <w:t xml:space="preserve">structure, not about its total; adjudicating them from TFR series alone is</w:t>
      </w:r>
      <w:r>
        <w:t xml:space="preserve"> </w:t>
      </w:r>
      <w:r>
        <w:t xml:space="preserve">not possible even in principle. This paper does not adjudicate the debate.</w:t>
      </w:r>
      <w:r>
        <w:t xml:space="preserve"> </w:t>
      </w:r>
      <w:r>
        <w:t xml:space="preserve">Its contribution to it is resolution: the TFR convergence documented in</w:t>
      </w:r>
      <w:r>
        <w:t xml:space="preserve"> </w:t>
      </w:r>
      <w:r>
        <w:t xml:space="preserve">level terms elsewhere</w:t>
      </w:r>
      <w:r>
        <w:t xml:space="preserve"> </w:t>
      </w:r>
      <w:r>
        <w:t xml:space="preserve">(Ritchie 2026; Wilson 2001; Dorius 2008)</w:t>
      </w:r>
      <w:r>
        <w:t xml:space="preserve"> </w:t>
      </w:r>
      <w:r>
        <w:t xml:space="preserve">has an age-structure counterpart that the surfaces make visible, and that</w:t>
      </w:r>
      <w:r>
        <w:t xml:space="preserve"> </w:t>
      </w:r>
      <w:r>
        <w:t xml:space="preserve">the two quantities defined in Section 3.2 reduce to a single chart. (The</w:t>
      </w:r>
      <w:r>
        <w:t xml:space="preserve"> </w:t>
      </w:r>
      <w:r>
        <w:t xml:space="preserve">disciplined route from these descriptive patterns to formal tests of the</w:t>
      </w:r>
      <w:r>
        <w:t xml:space="preserve"> </w:t>
      </w:r>
      <w:r>
        <w:t xml:space="preserve">acceleration’s cause - including why several candidate explanations</w:t>
      </w:r>
      <w:r>
        <w:t xml:space="preserve"> </w:t>
      </w:r>
      <w:r>
        <w:rPr>
          <w:i/>
          <w:iCs/>
        </w:rPr>
        <w:t xml:space="preserve">mimic</w:t>
      </w:r>
      <w:r>
        <w:t xml:space="preserve"> </w:t>
      </w:r>
      <w:r>
        <w:t xml:space="preserve">one another on a surface - is set out in Supplement S5 and frozen</w:t>
      </w:r>
      <w:r>
        <w:t xml:space="preserve"> </w:t>
      </w:r>
      <w:r>
        <w:t xml:space="preserve">in a preregistered protocol, registered before its outcome data were</w:t>
      </w:r>
      <w:r>
        <w:t xml:space="preserve"> </w:t>
      </w:r>
      <w:r>
        <w:t xml:space="preserve">downloaded; see Discussion.)</w:t>
      </w:r>
    </w:p>
    <w:bookmarkEnd w:id="35"/>
    <w:bookmarkStart w:id="46" w:name="the-shortening-runway"/>
    <w:p>
      <w:pPr>
        <w:pStyle w:val="Heading1"/>
      </w:pPr>
      <w:r>
        <w:t xml:space="preserve">The shortening runway</w:t>
      </w:r>
    </w:p>
    <w:bookmarkStart w:id="40" w:name="Xc94a991a053dbca9061d3ddc9a9060b922e1b36"/>
    <w:p>
      <w:pPr>
        <w:pStyle w:val="Heading2"/>
      </w:pPr>
      <w:r>
        <w:t xml:space="preserve">The age of no return is behavioural, and nearly fixed</w:t>
      </w:r>
    </w:p>
    <w:p>
      <w:pPr>
        <w:pStyle w:val="FirstParagraph"/>
      </w:pPr>
      <w:r>
        <w:t xml:space="preserve">Panel-wide, the pooled decade medians of the ANR run: 45 (1950s), 44</w:t>
      </w:r>
      <w:r>
        <w:t xml:space="preserve"> </w:t>
      </w:r>
      <w:r>
        <w:t xml:space="preserve">(1960s), 42 (1970s), 41 (1980s and 1990s), 42 (2000s), 42 (2010s), 43</w:t>
      </w:r>
      <w:r>
        <w:t xml:space="preserve"> </w:t>
      </w:r>
      <w:r>
        <w:t xml:space="preserve">(2020s); per-country trajectories are in Supplement S4. Three features</w:t>
      </w:r>
      <w:r>
        <w:t xml:space="preserve"> </w:t>
      </w:r>
      <w:r>
        <w:t xml:space="preserve">matter. First, the nineteenth-century populations of the panel show ANRs</w:t>
      </w:r>
      <w:r>
        <w:t xml:space="preserve"> </w:t>
      </w:r>
      <w:r>
        <w:t xml:space="preserve">of 47-48: childbearing at those ages was an ordinary part of high-parity</w:t>
      </w:r>
      <w:r>
        <w:t xml:space="preserve"> </w:t>
      </w:r>
      <w:r>
        <w:t xml:space="preserve">regimes, so the modern ANR is not biology. Second, the descent to 41 by</w:t>
      </w:r>
      <w:r>
        <w:t xml:space="preserve"> </w:t>
      </w:r>
      <w:r>
        <w:t xml:space="preserve">the 1980s tracks the spread of parity control: stopping behaviour</w:t>
      </w:r>
      <w:r>
        <w:t xml:space="preserve"> </w:t>
      </w:r>
      <w:r>
        <w:t xml:space="preserve">truncated high-parity childbearing from the top down. Third, the recovery</w:t>
      </w:r>
      <w:r>
        <w:t xml:space="preserve"> </w:t>
      </w:r>
      <w:r>
        <w:t xml:space="preserve">since the 1990s trough has been slow and remarkably uniform - roughly one</w:t>
      </w:r>
      <w:r>
        <w:t xml:space="preserve"> </w:t>
      </w:r>
      <w:r>
        <w:t xml:space="preserve">year of age per fifteen calendar years - despite three decades of assisted</w:t>
      </w:r>
      <w:r>
        <w:t xml:space="preserve"> </w:t>
      </w:r>
      <w:r>
        <w:t xml:space="preserve">reproduction, postponement, and policy variation. The ANR behaves like a</w:t>
      </w:r>
      <w:r>
        <w:t xml:space="preserve"> </w:t>
      </w:r>
      <w:r>
        <w:t xml:space="preserve">structural feature of modern fertility regimes, not a margin under active</w:t>
      </w:r>
      <w:r>
        <w:t xml:space="preserve"> </w:t>
      </w:r>
      <w:r>
        <w:t xml:space="preserve">renegotiation.</w:t>
      </w:r>
    </w:p>
    <w:p>
      <w:pPr>
        <w:pStyle w:val="BodyText"/>
      </w:pPr>
      <w:r>
        <w:t xml:space="preserve">Why does it stay low? Stopping behaviour is the canonical mechanism, but</w:t>
      </w:r>
      <w:r>
        <w:t xml:space="preserve"> </w:t>
      </w:r>
      <w:r>
        <w:t xml:space="preserve">it plausibly interacts with an intergenerational channel: as first births</w:t>
      </w:r>
      <w:r>
        <w:t xml:space="preserve"> </w:t>
      </w:r>
      <w:r>
        <w:t xml:space="preserve">moved later and maternal employment rose against scarce formal childcare,</w:t>
      </w:r>
      <w:r>
        <w:t xml:space="preserve"> </w:t>
      </w:r>
      <w:r>
        <w:t xml:space="preserve">women in their forties increasingly occupy the years the old ceiling once</w:t>
      </w:r>
      <w:r>
        <w:t xml:space="preserve"> </w:t>
      </w:r>
      <w:r>
        <w:t xml:space="preserve">covered as</w:t>
      </w:r>
      <w:r>
        <w:t xml:space="preserve"> </w:t>
      </w:r>
      <w:r>
        <w:rPr>
          <w:i/>
          <w:iCs/>
        </w:rPr>
        <w:t xml:space="preserve">grandmothers</w:t>
      </w:r>
      <w:r>
        <w:t xml:space="preserve"> </w:t>
      </w:r>
      <w:r>
        <w:t xml:space="preserve">- the late reproductive years reallocated to the</w:t>
      </w:r>
      <w:r>
        <w:t xml:space="preserve"> </w:t>
      </w:r>
      <w:r>
        <w:t xml:space="preserve">care of daughters’ children rather than to continued childbearing. This</w:t>
      </w:r>
      <w:r>
        <w:t xml:space="preserve"> </w:t>
      </w:r>
      <w:r>
        <w:t xml:space="preserve">reading is consistent with the life-history literature on the</w:t>
      </w:r>
      <w:r>
        <w:t xml:space="preserve"> </w:t>
      </w:r>
      <w:r>
        <w:t xml:space="preserve">distinctively long human post-reproductive helping span</w:t>
      </w:r>
      <w:r>
        <w:t xml:space="preserve"> </w:t>
      </w:r>
      <w:r>
        <w:t xml:space="preserve">(Hawkes et al. 1998)</w:t>
      </w:r>
      <w:r>
        <w:t xml:space="preserve"> </w:t>
      </w:r>
      <w:r>
        <w:t xml:space="preserve">and</w:t>
      </w:r>
      <w:r>
        <w:t xml:space="preserve"> </w:t>
      </w:r>
      <w:r>
        <w:t xml:space="preserve">with evidence that available grandparental childcare raises daughters’</w:t>
      </w:r>
      <w:r>
        <w:t xml:space="preserve"> </w:t>
      </w:r>
      <w:r>
        <w:t xml:space="preserve">fertility</w:t>
      </w:r>
      <w:r>
        <w:t xml:space="preserve"> </w:t>
      </w:r>
      <w:r>
        <w:t xml:space="preserve">(Aassve et al. 2012; Tanskanen and Rotkirch 2014)</w:t>
      </w:r>
      <w:r>
        <w:t xml:space="preserve">; it</w:t>
      </w:r>
      <w:r>
        <w:t xml:space="preserve"> </w:t>
      </w:r>
      <w:r>
        <w:t xml:space="preserve">carries a testable signature - ANR recovery should be slowest where</w:t>
      </w:r>
      <w:r>
        <w:t xml:space="preserve"> </w:t>
      </w:r>
      <w:r>
        <w:t xml:space="preserve">grandparental childcare substitutes most for formal provision - which we</w:t>
      </w:r>
      <w:r>
        <w:t xml:space="preserve"> </w:t>
      </w:r>
      <w:r>
        <w:t xml:space="preserve">flag for the parity-specific extension noted in the Discussion.</w:t>
      </w:r>
    </w:p>
    <w:p>
      <w:pPr>
        <w:pStyle w:val="BodyText"/>
      </w:pPr>
      <w:r>
        <w:t xml:space="preserve">The ANR is also visible directly on the surface, and overlaying it</w:t>
      </w:r>
      <w:r>
        <w:t xml:space="preserve"> </w:t>
      </w:r>
      <w:r>
        <w:t xml:space="preserve">separates two ways a replacement contour can end (</w:t>
      </w:r>
      <w:hyperlink w:anchor="fig-norwall">
        <w:r>
          <w:rPr>
            <w:rStyle w:val="Hyperlink"/>
          </w:rPr>
          <w:t xml:space="preserve">Figure 3</w:t>
        </w:r>
      </w:hyperlink>
      <w:r>
        <w:t xml:space="preserve">): climbing</w:t>
      </w:r>
      <w:r>
        <w:t xml:space="preserve"> </w:t>
      </w:r>
      <w:r>
        <w:t xml:space="preserve">into the boundary and terminating there (</w:t>
      </w:r>
      <w:r>
        <w:rPr>
          <w:i/>
          <w:iCs/>
        </w:rPr>
        <w:t xml:space="preserve">wall-terminated</w:t>
      </w:r>
      <w:r>
        <w:t xml:space="preserve">) versus being</w:t>
      </w:r>
      <w:r>
        <w:t xml:space="preserve"> </w:t>
      </w:r>
      <w:r>
        <w:t xml:space="preserve">cut by the right edge of the data (</w:t>
      </w:r>
      <w:r>
        <w:rPr>
          <w:i/>
          <w:iCs/>
        </w:rPr>
        <w:t xml:space="preserve">censored</w:t>
      </w:r>
      <w:r>
        <w:t xml:space="preserve">). Norway’s two contour</w:t>
      </w:r>
      <w:r>
        <w:t xml:space="preserve"> </w:t>
      </w:r>
      <w:r>
        <w:t xml:space="preserve">escapes are both wall-terminations - the 2020 forecast’s error is visible</w:t>
      </w:r>
      <w:r>
        <w:t xml:space="preserve"> </w:t>
      </w:r>
      <w:r>
        <w:t xml:space="preserve">as the gap between the open space it assumed and the boundary that was</w:t>
      </w:r>
      <w:r>
        <w:t xml:space="preserve"> </w:t>
      </w:r>
      <w:r>
        <w:t xml:space="preserve">there. The United States’ contour, by contrast, is censored: still three</w:t>
      </w:r>
      <w:r>
        <w:t xml:space="preserve"> </w:t>
      </w:r>
      <w:r>
        <w:t xml:space="preserve">years’ age from the boundary and closing, verdict open (Supplement S2</w:t>
      </w:r>
      <w:r>
        <w:t xml:space="preserve"> </w:t>
      </w:r>
      <w:r>
        <w:t xml:space="preserve">shows the US and South Korean panels). Because this overlay adds a fifth</w:t>
      </w:r>
      <w:r>
        <w:t xml:space="preserve"> </w:t>
      </w:r>
      <w:r>
        <w:t xml:space="preserve">encoding to an already dense composite, we confine it to featured panels</w:t>
      </w:r>
      <w:r>
        <w:t xml:space="preserve"> </w:t>
      </w:r>
      <w:r>
        <w:t xml:space="preserve">and use the standard four-encoding form everywhere else.</w:t>
      </w:r>
    </w:p>
    <w:tbl>
      <w:tblPr>
        <w:tblStyle w:val="Table"/>
        <w:tblW w:type="pct" w:w="5000"/>
        <w:tblLayout w:type="fixed"/>
        <w:tblLook w:firstRow="0" w:lastRow="0" w:firstColumn="0" w:lastColumn="0" w:noHBand="0" w:noVBand="0" w:val="0000"/>
      </w:tblPr>
      <w:tblGrid>
        <w:gridCol w:w="7920"/>
      </w:tblGrid>
      <w:tr>
        <w:tc>
          <w:tcPr/>
          <w:bookmarkStart w:id="39" w:name="fig-norwall"/>
          <w:p>
            <w:pPr>
              <w:pStyle w:val="Compact"/>
              <w:jc w:val="center"/>
            </w:pPr>
            <w:r>
              <w:drawing>
                <wp:inline>
                  <wp:extent cx="5334000" cy="4667602"/>
                  <wp:effectExtent b="0" l="0" r="0" t="0"/>
                  <wp:docPr descr="" title="" id="37" name="Picture"/>
                  <a:graphic>
                    <a:graphicData uri="http://schemas.openxmlformats.org/drawingml/2006/picture">
                      <pic:pic>
                        <pic:nvPicPr>
                          <pic:cNvPr descr="figures/featured_wall_nor.png" id="38" name="Picture"/>
                          <pic:cNvPicPr>
                            <a:picLocks noChangeArrowheads="1" noChangeAspect="1"/>
                          </pic:cNvPicPr>
                        </pic:nvPicPr>
                        <pic:blipFill>
                          <a:blip r:embed="rId36"/>
                          <a:stretch>
                            <a:fillRect/>
                          </a:stretch>
                        </pic:blipFill>
                        <pic:spPr bwMode="auto">
                          <a:xfrm>
                            <a:off x="0" y="0"/>
                            <a:ext cx="5334000" cy="4667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Norway: composite surface with the age of no return overdrawn (dotted). Both vertical escapes of the replacement contour terminate at the ANR - wall-terminated, not censored. Featured panels for the United States (censored: verdict open) and South Korea are in Supplement S2.</w:t>
            </w:r>
          </w:p>
          <w:bookmarkEnd w:id="39"/>
        </w:tc>
      </w:tr>
    </w:tbl>
    <w:bookmarkEnd w:id="40"/>
    <w:bookmarkStart w:id="45" w:name="the-squeeze-aapf-against-anr"/>
    <w:p>
      <w:pPr>
        <w:pStyle w:val="Heading2"/>
      </w:pPr>
      <w:r>
        <w:t xml:space="preserve">The squeeze: AAPF against ANR</w:t>
      </w:r>
    </w:p>
    <w:p>
      <w:pPr>
        <w:pStyle w:val="FirstParagraph"/>
      </w:pPr>
      <w:hyperlink w:anchor="fig-squeeze">
        <w:r>
          <w:rPr>
            <w:rStyle w:val="Hyperlink"/>
          </w:rPr>
          <w:t xml:space="preserve">Figure 4</w:t>
        </w:r>
      </w:hyperlink>
      <w:r>
        <w:t xml:space="preserve"> </w:t>
      </w:r>
      <w:r>
        <w:t xml:space="preserve">places the two defined quantities on one chart. The AAPF age</w:t>
      </w:r>
      <w:r>
        <w:t xml:space="preserve"> </w:t>
      </w:r>
      <w:r>
        <w:t xml:space="preserve">- where the terrain of</w:t>
      </w:r>
      <w:r>
        <w:t xml:space="preserve"> </w:t>
      </w:r>
      <w:hyperlink w:anchor="fig-terrain">
        <w:r>
          <w:rPr>
            <w:rStyle w:val="Hyperlink"/>
          </w:rPr>
          <w:t xml:space="preserve">Figure 1</w:t>
        </w:r>
      </w:hyperlink>
      <w:r>
        <w:t xml:space="preserve"> </w:t>
      </w:r>
      <w:r>
        <w:t xml:space="preserve">crests - stood at a pooled median of</w:t>
      </w:r>
      <w:r>
        <w:t xml:space="preserve"> </w:t>
      </w:r>
      <w:r>
        <w:t xml:space="preserve">24 from the 1950s through the 1970s, then rose steadily: 25 (1980s), 27</w:t>
      </w:r>
      <w:r>
        <w:t xml:space="preserve"> </w:t>
      </w:r>
      <w:r>
        <w:t xml:space="preserve">(1990s), 29 (2000s), 30 (2010s), 31 (2020s). Its level nearly halved over</w:t>
      </w:r>
      <w:r>
        <w:t xml:space="preserve"> </w:t>
      </w:r>
      <w:r>
        <w:t xml:space="preserve">the same span, the median rate at the peak falling from 0.19 (1960s) to</w:t>
      </w:r>
      <w:r>
        <w:t xml:space="preserve"> </w:t>
      </w:r>
      <w:r>
        <w:t xml:space="preserve">0.11 (2020s). The ANR, meanwhile, descended from 45 to its 1980s-90s floor</w:t>
      </w:r>
      <w:r>
        <w:t xml:space="preserve"> </w:t>
      </w:r>
      <w:r>
        <w:t xml:space="preserve">of 41 and has recovered only to 43. The usable runway - the distance</w:t>
      </w:r>
      <w:r>
        <w:t xml:space="preserve"> </w:t>
      </w:r>
      <w:r>
        <w:t xml:space="preserve">between where childbearing is concentrated and where it effectively ends -</w:t>
      </w:r>
      <w:r>
        <w:t xml:space="preserve"> </w:t>
      </w:r>
      <w:r>
        <w:t xml:space="preserve">has narrowed from about twenty years to twelve, a forty percent</w:t>
      </w:r>
      <w:r>
        <w:t xml:space="preserve"> </w:t>
      </w:r>
      <w:r>
        <w:t xml:space="preserve">contraction, closed mostly from below.</w:t>
      </w:r>
    </w:p>
    <w:tbl>
      <w:tblPr>
        <w:tblStyle w:val="Table"/>
        <w:tblW w:type="pct" w:w="5000"/>
        <w:tblLayout w:type="fixed"/>
        <w:tblLook w:firstRow="0" w:lastRow="0" w:firstColumn="0" w:lastColumn="0" w:noHBand="0" w:noVBand="0" w:val="0000"/>
      </w:tblPr>
      <w:tblGrid>
        <w:gridCol w:w="7920"/>
      </w:tblGrid>
      <w:tr>
        <w:tc>
          <w:tcPr/>
          <w:bookmarkStart w:id="44" w:name="fig-squeeze"/>
          <w:p>
            <w:pPr>
              <w:pStyle w:val="Compact"/>
              <w:jc w:val="center"/>
            </w:pPr>
            <w:r>
              <w:drawing>
                <wp:inline>
                  <wp:extent cx="5334000" cy="3732896"/>
                  <wp:effectExtent b="0" l="0" r="0" t="0"/>
                  <wp:docPr descr="" title="" id="42" name="Picture"/>
                  <a:graphic>
                    <a:graphicData uri="http://schemas.openxmlformats.org/drawingml/2006/picture">
                      <pic:pic>
                        <pic:nvPicPr>
                          <pic:cNvPr descr="figures/squeeze_pooled.png" id="43" name="Picture"/>
                          <pic:cNvPicPr>
                            <a:picLocks noChangeArrowheads="1" noChangeAspect="1"/>
                          </pic:cNvPicPr>
                        </pic:nvPicPr>
                        <pic:blipFill>
                          <a:blip r:embed="rId41"/>
                          <a:stretch>
                            <a:fillRect/>
                          </a:stretch>
                        </pic:blipFill>
                        <pic:spPr bwMode="auto">
                          <a:xfrm>
                            <a:off x="0" y="0"/>
                            <a:ext cx="5334000" cy="373289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squeeze, 1950-2025: cross-country medians of the AAPF age (points, shaded by the rate at the peak) and the ANR (line), with interquartile ribbons. The vertical arrows mark the usable runway. Per-country trajectories: Supplement S3.</w:t>
            </w:r>
          </w:p>
          <w:bookmarkEnd w:id="44"/>
        </w:tc>
      </w:tr>
    </w:tbl>
    <w:p>
      <w:pPr>
        <w:pStyle w:val="BodyText"/>
      </w:pPr>
      <w:r>
        <w:t xml:space="preserve">The runway metaphor states what the chart shows. For a cohort to reach</w:t>
      </w:r>
      <w:r>
        <w:t xml:space="preserve"> </w:t>
      </w:r>
      <w:r>
        <w:t xml:space="preserve">replacement it must accumulate 2.05 births before its fertility</w:t>
      </w:r>
      <w:r>
        <w:t xml:space="preserve"> </w:t>
      </w:r>
      <w:r>
        <w:t xml:space="preserve">effectively ends: it must reach take-off before the runway does. Three</w:t>
      </w:r>
      <w:r>
        <w:t xml:space="preserve"> </w:t>
      </w:r>
      <w:r>
        <w:t xml:space="preserve">things have changed at once. Maximum speed now comes later - the AAPF age</w:t>
      </w:r>
      <w:r>
        <w:t xml:space="preserve"> </w:t>
      </w:r>
      <w:r>
        <w:t xml:space="preserve">up seven years. Maximum speed is lower - the rate at the peak nearly</w:t>
      </w:r>
      <w:r>
        <w:t xml:space="preserve"> </w:t>
      </w:r>
      <w:r>
        <w:t xml:space="preserve">halved, so the fastest part of the journey accumulates less. And the</w:t>
      </w:r>
      <w:r>
        <w:t xml:space="preserve"> </w:t>
      </w:r>
      <w:r>
        <w:t xml:space="preserve">runway ends sooner than in the high-parity past - the ANR down two to</w:t>
      </w:r>
      <w:r>
        <w:t xml:space="preserve"> </w:t>
      </w:r>
      <w:r>
        <w:t xml:space="preserve">four years from mid-century, its recovery lagging far behind the six-year</w:t>
      </w:r>
      <w:r>
        <w:t xml:space="preserve"> </w:t>
      </w:r>
      <w:r>
        <w:t xml:space="preserve">rise in starting ages</w:t>
      </w:r>
      <w:r>
        <w:t xml:space="preserve"> </w:t>
      </w:r>
      <w:r>
        <w:t xml:space="preserve">(Sobotka 2017; Beaujouan 2020)</w:t>
      </w:r>
      <w:r>
        <w:t xml:space="preserve">. The arithmetic</w:t>
      </w:r>
      <w:r>
        <w:t xml:space="preserve"> </w:t>
      </w:r>
      <w:r>
        <w:t xml:space="preserve">behind the metaphor is unforgiving: cumulative fertility above age 40 has</w:t>
      </w:r>
      <w:r>
        <w:t xml:space="preserve"> </w:t>
      </w:r>
      <w:r>
        <w:t xml:space="preserve">not exceeded 0.12 children in any post-war decade median (0.065 in the</w:t>
      </w:r>
      <w:r>
        <w:t xml:space="preserve"> </w:t>
      </w:r>
      <w:r>
        <w:t xml:space="preserve">2020s - about 3 percent of a replacement target), so late childbearing</w:t>
      </w:r>
      <w:r>
        <w:t xml:space="preserve"> </w:t>
      </w:r>
      <w:r>
        <w:t xml:space="preserve">can finish journeys that are nearly complete</w:t>
      </w:r>
      <w:r>
        <w:t xml:space="preserve"> </w:t>
      </w:r>
      <w:r>
        <w:t xml:space="preserve">(Beaujouan 2020)</w:t>
      </w:r>
      <w:r>
        <w:t xml:space="preserve">, but cannot</w:t>
      </w:r>
      <w:r>
        <w:t xml:space="preserve"> </w:t>
      </w:r>
      <w:r>
        <w:t xml:space="preserve">substitute for the runway the schedule no longer uses. For a cohort</w:t>
      </w:r>
      <w:r>
        <w:t xml:space="preserve"> </w:t>
      </w:r>
      <w:r>
        <w:t xml:space="preserve">starting childbearing at today’s median ages, replacement remains</w:t>
      </w:r>
      <w:r>
        <w:t xml:space="preserve"> </w:t>
      </w:r>
      <w:r>
        <w:t xml:space="preserve">arithmetically reachable only within a window of roughly thirteen years -</w:t>
      </w:r>
      <w:r>
        <w:t xml:space="preserve"> </w:t>
      </w:r>
      <w:r>
        <w:t xml:space="preserve">approximately ages 30 to 43 - and each terminal crossing in</w:t>
      </w:r>
      <w:r>
        <w:t xml:space="preserve"> </w:t>
      </w:r>
      <w:hyperlink w:anchor="tbl-lastcohort">
        <w:r>
          <w:rPr>
            <w:rStyle w:val="Hyperlink"/>
          </w:rPr>
          <w:t xml:space="preserve">Table 2</w:t>
        </w:r>
      </w:hyperlink>
      <w:r>
        <w:t xml:space="preserve"> </w:t>
      </w:r>
      <w:r>
        <w:t xml:space="preserve">occurred pressed against that window’s end.</w:t>
      </w:r>
    </w:p>
    <w:p>
      <w:pPr>
        <w:pStyle w:val="BodyText"/>
      </w:pPr>
      <w:r>
        <w:t xml:space="preserve">This, we suggest, is the resolution the TFR debate lacks. Convergence in</w:t>
      </w:r>
      <w:r>
        <w:t xml:space="preserve"> </w:t>
      </w:r>
      <w:r>
        <w:t xml:space="preserve">the total says nothing about the route; on the evidence of</w:t>
      </w:r>
      <w:r>
        <w:t xml:space="preserve"> </w:t>
      </w:r>
      <w:hyperlink w:anchor="fig-squeeze">
        <w:r>
          <w:rPr>
            <w:rStyle w:val="Hyperlink"/>
          </w:rPr>
          <w:t xml:space="preserve">Figure 4</w:t>
        </w:r>
      </w:hyperlink>
      <w:r>
        <w:t xml:space="preserve"> </w:t>
      </w:r>
      <w:r>
        <w:t xml:space="preserve">and its per-country panels (Supplement S3) the route is common. Country</w:t>
      </w:r>
      <w:r>
        <w:t xml:space="preserve"> </w:t>
      </w:r>
      <w:r>
        <w:t xml:space="preserve">after country - from South Korea’s mid-century ANR near 48 to the</w:t>
      </w:r>
      <w:r>
        <w:t xml:space="preserve"> </w:t>
      </w:r>
      <w:r>
        <w:t xml:space="preserve">near-universal early peaks of south-eastern Europe - arrives at the same</w:t>
      </w:r>
      <w:r>
        <w:t xml:space="preserve"> </w:t>
      </w:r>
      <w:r>
        <w:t xml:space="preserve">configuration: a later, lower, narrower schedule pressed against a</w:t>
      </w:r>
      <w:r>
        <w:t xml:space="preserve"> </w:t>
      </w:r>
      <w:r>
        <w:t xml:space="preserve">low-forties boundary. The TFR convergence documented by</w:t>
      </w:r>
      <w:r>
        <w:t xml:space="preserve"> </w:t>
      </w:r>
      <w:r>
        <w:t xml:space="preserve">Ritchie (2026)</w:t>
      </w:r>
      <w:r>
        <w:t xml:space="preserve"> </w:t>
      </w:r>
      <w:r>
        <w:t xml:space="preserve">is the one-dimensional shadow of fertility</w:t>
      </w:r>
      <w:r>
        <w:t xml:space="preserve"> </w:t>
      </w:r>
      <w:r>
        <w:t xml:space="preserve">schedules converging on the same squeezed shape. Two caveats attach: the</w:t>
      </w:r>
      <w:r>
        <w:t xml:space="preserve"> </w:t>
      </w:r>
      <w:r>
        <w:t xml:space="preserve">modal age is read conservatively (ties to the youngest age, so plateau</w:t>
      </w:r>
      <w:r>
        <w:t xml:space="preserve"> </w:t>
      </w:r>
      <w:r>
        <w:t xml:space="preserve">schedules register early peaks - Supplement S8), and single-year modal</w:t>
      </w:r>
      <w:r>
        <w:t xml:space="preserve"> </w:t>
      </w:r>
      <w:r>
        <w:t xml:space="preserve">ages are noisy in small populations, which is why per-country panels</w:t>
      </w:r>
      <w:r>
        <w:t xml:space="preserve"> </w:t>
      </w:r>
      <w:r>
        <w:t xml:space="preserve">remain the primary output.</w:t>
      </w:r>
    </w:p>
    <w:bookmarkEnd w:id="45"/>
    <w:bookmarkEnd w:id="46"/>
    <w:bookmarkStart w:id="52" w:name="discussion"/>
    <w:p>
      <w:pPr>
        <w:pStyle w:val="Heading1"/>
      </w:pPr>
      <w:r>
        <w:t xml:space="preserve">Discussion</w:t>
      </w:r>
    </w:p>
    <w:bookmarkStart w:id="47" w:name="X11711047deb1d43f5bfa19d793e022a01c4cb7e"/>
    <w:p>
      <w:pPr>
        <w:pStyle w:val="Heading2"/>
      </w:pPr>
      <w:r>
        <w:t xml:space="preserve">Stylized facts any explanation must match</w:t>
      </w:r>
    </w:p>
    <w:p>
      <w:pPr>
        <w:pStyle w:val="FirstParagraph"/>
      </w:pPr>
      <w:r>
        <w:t xml:space="preserve">The runway framing contributes discipline, not adjudication, to the</w:t>
      </w:r>
      <w:r>
        <w:t xml:space="preserve"> </w:t>
      </w:r>
      <w:r>
        <w:t xml:space="preserve">acceleration debate. Any candidate explanation - economic precarity,</w:t>
      </w:r>
      <w:r>
        <w:t xml:space="preserve"> </w:t>
      </w:r>
      <w:r>
        <w:t xml:space="preserve">housing, partnering, smartphone-era social change - must match the same</w:t>
      </w:r>
      <w:r>
        <w:t xml:space="preserve"> </w:t>
      </w:r>
      <w:r>
        <w:t xml:space="preserve">fingerprint: which ages lost fertility, which cohorts carry the loss,</w:t>
      </w:r>
      <w:r>
        <w:t xml:space="preserve"> </w:t>
      </w:r>
      <w:r>
        <w:t xml:space="preserve">whether milestones are delayed (tempo) or abandoned (quantum), why</w:t>
      </w:r>
      <w:r>
        <w:t xml:space="preserve"> </w:t>
      </w:r>
      <w:r>
        <w:t xml:space="preserve">near-identical exposures produce heterogeneous national responses</w:t>
      </w:r>
      <w:r>
        <w:t xml:space="preserve"> </w:t>
      </w:r>
      <w:r>
        <w:t xml:space="preserve">(Comolli et al. 2021; Hellstrand et al. 2020)</w:t>
      </w:r>
      <w:r>
        <w:t xml:space="preserve"> </w:t>
      </w:r>
      <w:r>
        <w:t xml:space="preserve">- and, the constraints this paper adds,</w:t>
      </w:r>
      <w:r>
        <w:t xml:space="preserve"> </w:t>
      </w:r>
      <w:r>
        <w:t xml:space="preserve">why the final departures from replacement occurred pressed against a</w:t>
      </w:r>
      <w:r>
        <w:t xml:space="preserve"> </w:t>
      </w:r>
      <w:r>
        <w:t xml:space="preserve">nearly fixed ANR in the low forties, and why fertility schedules</w:t>
      </w:r>
      <w:r>
        <w:t xml:space="preserve"> </w:t>
      </w:r>
      <w:r>
        <w:t xml:space="preserve">everywhere are converging on the same later, lower, narrower shape even as</w:t>
      </w:r>
      <w:r>
        <w:t xml:space="preserve"> </w:t>
      </w:r>
      <w:r>
        <w:t xml:space="preserve">totals converge downward. The near-fixity of the ANR also converts</w:t>
      </w:r>
      <w:r>
        <w:t xml:space="preserve"> </w:t>
      </w:r>
      <w:r>
        <w:t xml:space="preserve">postponement arithmetic into quantum consequences under unchanged</w:t>
      </w:r>
      <w:r>
        <w:t xml:space="preserve"> </w:t>
      </w:r>
      <w:r>
        <w:t xml:space="preserve">intentions: trajectories that start six years later run into a boundary</w:t>
      </w:r>
      <w:r>
        <w:t xml:space="preserve"> </w:t>
      </w:r>
      <w:r>
        <w:t xml:space="preserve">that has moved two.</w:t>
      </w:r>
    </w:p>
    <w:bookmarkEnd w:id="47"/>
    <w:bookmarkStart w:id="49" w:name="from-reading-surfaces-to-testing-causes"/>
    <w:p>
      <w:pPr>
        <w:pStyle w:val="Heading2"/>
      </w:pPr>
      <w:r>
        <w:t xml:space="preserve">From reading surfaces to testing causes</w:t>
      </w:r>
    </w:p>
    <w:p>
      <w:pPr>
        <w:pStyle w:val="FirstParagraph"/>
      </w:pPr>
      <w:r>
        <w:t xml:space="preserve">The 2020 forecasts were acts of</w:t>
      </w:r>
      <w:r>
        <w:t xml:space="preserve"> </w:t>
      </w:r>
      <w:r>
        <w:rPr>
          <w:i/>
          <w:iCs/>
        </w:rPr>
        <w:t xml:space="preserve">informal model building</w:t>
      </w:r>
      <w:r>
        <w:t xml:space="preserve">: falsifiable</w:t>
      </w:r>
      <w:r>
        <w:t xml:space="preserve"> </w:t>
      </w:r>
      <w:r>
        <w:t xml:space="preserve">expectations formed by reading a surface’s geometry, using visible</w:t>
      </w:r>
      <w:r>
        <w:t xml:space="preserve"> </w:t>
      </w:r>
      <w:r>
        <w:t xml:space="preserve">structure as the model. Their resolution - right in direction, optimistic</w:t>
      </w:r>
      <w:r>
        <w:t xml:space="preserve"> </w:t>
      </w:r>
      <w:r>
        <w:t xml:space="preserve">in magnitude, with the miss traceable to an unmeasured boundary - is the</w:t>
      </w:r>
      <w:r>
        <w:t xml:space="preserve"> </w:t>
      </w:r>
      <w:r>
        <w:t xml:space="preserve">ordinary dialectic of modelling carried out in the visual register: a</w:t>
      </w:r>
      <w:r>
        <w:t xml:space="preserve"> </w:t>
      </w:r>
      <w:r>
        <w:t xml:space="preserve">model fails in a patterned way, the pattern names the missing structure,</w:t>
      </w:r>
      <w:r>
        <w:t xml:space="preserve"> </w:t>
      </w:r>
      <w:r>
        <w:t xml:space="preserve">the structure enters the next model. This paper adds the missing structure</w:t>
      </w:r>
      <w:r>
        <w:t xml:space="preserve"> </w:t>
      </w:r>
      <w:r>
        <w:t xml:space="preserve">descriptively (the ANR); the causal questions the acceleration debate</w:t>
      </w:r>
      <w:r>
        <w:t xml:space="preserve"> </w:t>
      </w:r>
      <w:r>
        <w:t xml:space="preserve">asks require the formal step. That step exists and is deliberately</w:t>
      </w:r>
      <w:r>
        <w:t xml:space="preserve"> </w:t>
      </w:r>
      <w:r>
        <w:t xml:space="preserve">separated from this paper: a preregistered universality test on a global</w:t>
      </w:r>
      <w:r>
        <w:t xml:space="preserve"> </w:t>
      </w:r>
      <w:r>
        <w:t xml:space="preserve">panel (UN World Population Prospects 2024, escaping the rich-country</w:t>
      </w:r>
      <w:r>
        <w:t xml:space="preserve"> </w:t>
      </w:r>
      <w:r>
        <w:t xml:space="preserve">selection of the HFD/HFC), with break-date estimation, an age-gradient</w:t>
      </w:r>
      <w:r>
        <w:t xml:space="preserve"> </w:t>
      </w:r>
      <w:r>
        <w:t xml:space="preserve">classification of onset, and guards against the tempo and mean-reversion</w:t>
      </w:r>
      <w:r>
        <w:t xml:space="preserve"> </w:t>
      </w:r>
      <w:r>
        <w:t xml:space="preserve">artifacts that defeat purely visual reading. The protocol was frozen and</w:t>
      </w:r>
      <w:r>
        <w:t xml:space="preserve"> </w:t>
      </w:r>
      <w:r>
        <w:t xml:space="preserve">registered publicly (OSF registration</w:t>
      </w:r>
      <w:r>
        <w:t xml:space="preserve"> </w:t>
      </w:r>
      <w:hyperlink r:id="rId48">
        <w:r>
          <w:rPr>
            <w:rStyle w:val="Hyperlink"/>
          </w:rPr>
          <w:t xml:space="preserve">osf.io/j3tbq</w:t>
        </w:r>
      </w:hyperlink>
      <w:r>
        <w:t xml:space="preserve">,</w:t>
      </w:r>
      <w:r>
        <w:t xml:space="preserve"> </w:t>
      </w:r>
      <w:r>
        <w:t xml:space="preserve">12 July 2026)</w:t>
      </w:r>
      <w:r>
        <w:t xml:space="preserve"> </w:t>
      </w:r>
      <w:r>
        <w:rPr>
          <w:i/>
          <w:iCs/>
        </w:rPr>
        <w:t xml:space="preserve">before</w:t>
      </w:r>
      <w:r>
        <w:t xml:space="preserve"> </w:t>
      </w:r>
      <w:r>
        <w:t xml:space="preserve">its outcome data were downloaded; this paper runs</w:t>
      </w:r>
      <w:r>
        <w:t xml:space="preserve"> </w:t>
      </w:r>
      <w:r>
        <w:t xml:space="preserve">none of its estimators. The candidate surface geometries it discriminates -</w:t>
      </w:r>
      <w:r>
        <w:t xml:space="preserve"> </w:t>
      </w:r>
      <w:r>
        <w:t xml:space="preserve">period-shock, young-first diffusion, cohort-carried change - and the</w:t>
      </w:r>
      <w:r>
        <w:t xml:space="preserve"> </w:t>
      </w:r>
      <w:r>
        <w:t xml:space="preserve">mimicry problems that motivate its design are set out in Supplement S5.</w:t>
      </w:r>
      <w:r>
        <w:t xml:space="preserve"> </w:t>
      </w:r>
      <w:r>
        <w:t xml:space="preserve">Surfaces to see with; models to decide with.</w:t>
      </w:r>
    </w:p>
    <w:p>
      <w:pPr>
        <w:pStyle w:val="BodyText"/>
      </w:pPr>
      <w:r>
        <w:t xml:space="preserve">A related reader’s question - how forecasts could resolve cleanly across</w:t>
      </w:r>
      <w:r>
        <w:t xml:space="preserve"> </w:t>
      </w:r>
      <w:r>
        <w:t xml:space="preserve">years that included a pandemic - has a visible answer: COVID-19 arrived on</w:t>
      </w:r>
      <w:r>
        <w:t xml:space="preserve"> </w:t>
      </w:r>
      <w:r>
        <w:t xml:space="preserve">these surfaces as texture, not trend. Dips in 2020-21 births and partial</w:t>
      </w:r>
      <w:r>
        <w:t xml:space="preserve"> </w:t>
      </w:r>
      <w:r>
        <w:t xml:space="preserve">rebounds sit superimposed on an acceleration already a decade old, and the</w:t>
      </w:r>
      <w:r>
        <w:t xml:space="preserve"> </w:t>
      </w:r>
      <w:r>
        <w:t xml:space="preserve">runway quantities of Section 6 move smoothly through the pandemic years</w:t>
      </w:r>
      <w:r>
        <w:t xml:space="preserve"> </w:t>
      </w:r>
      <w:r>
        <w:t xml:space="preserve">(Supplement S6). Whether the pandemic nonetheless left persistent marks is</w:t>
      </w:r>
      <w:r>
        <w:t xml:space="preserve"> </w:t>
      </w:r>
      <w:r>
        <w:t xml:space="preserve">a question for the preregistered protocol, which excludes 2020-24 from its</w:t>
      </w:r>
      <w:r>
        <w:t xml:space="preserve"> </w:t>
      </w:r>
      <w:r>
        <w:t xml:space="preserve">estimation windows; we follow the same discipline here.</w:t>
      </w:r>
    </w:p>
    <w:bookmarkEnd w:id="49"/>
    <w:bookmarkStart w:id="50" w:name="limitations"/>
    <w:p>
      <w:pPr>
        <w:pStyle w:val="Heading2"/>
      </w:pPr>
      <w:r>
        <w:t xml:space="preserve">Limitations</w:t>
      </w:r>
    </w:p>
    <w:p>
      <w:pPr>
        <w:pStyle w:val="FirstParagraph"/>
      </w:pPr>
      <w:r>
        <w:t xml:space="preserve">Assisted reproduction is shifting the ANR slowly and unevenly, and a</w:t>
      </w:r>
      <w:r>
        <w:t xml:space="preserve"> </w:t>
      </w:r>
      <w:r>
        <w:t xml:space="preserve">technology-driven acceleration of that shift would loosen the runway</w:t>
      </w:r>
      <w:r>
        <w:t xml:space="preserve"> </w:t>
      </w:r>
      <w:r>
        <w:t xml:space="preserve">arithmetic prospectively. ANR estimates at fixed thresholds are sensitive</w:t>
      </w:r>
      <w:r>
        <w:t xml:space="preserve"> </w:t>
      </w:r>
      <w:r>
        <w:t xml:space="preserve">to small-population noise (hence per-country trajectories as primary</w:t>
      </w:r>
      <w:r>
        <w:t xml:space="preserve"> </w:t>
      </w:r>
      <w:r>
        <w:t xml:space="preserve">output and the 1/1000 sensitivity threshold). CPCFRs built from Lexis</w:t>
      </w:r>
      <w:r>
        <w:t xml:space="preserve"> </w:t>
      </w:r>
      <w:r>
        <w:t xml:space="preserve">squares are pseudo-cohort quantities, not true cohort rates</w:t>
      </w:r>
      <w:r>
        <w:t xml:space="preserve"> </w:t>
      </w:r>
      <w:r>
        <w:t xml:space="preserve">(Pattaro et al. 2020)</w:t>
      </w:r>
      <w:r>
        <w:t xml:space="preserve">.</w:t>
      </w:r>
      <w:r>
        <w:t xml:space="preserve"> </w:t>
      </w:r>
      <w:r>
        <w:t xml:space="preserve">The cohorts most relevant to the acceleration debate remain right-censored</w:t>
      </w:r>
      <w:r>
        <w:t xml:space="preserve"> </w:t>
      </w:r>
      <w:r>
        <w:t xml:space="preserve">- the US verdict in particular is open. Single-year all-parity ASFRs</w:t>
      </w:r>
      <w:r>
        <w:t xml:space="preserve"> </w:t>
      </w:r>
      <w:r>
        <w:t xml:space="preserve">cannot separate parity-specific dynamics; the natural extension uses the</w:t>
      </w:r>
      <w:r>
        <w:t xml:space="preserve"> </w:t>
      </w:r>
      <w:r>
        <w:t xml:space="preserve">by-birth-order collections already assembled in the repository</w:t>
      </w:r>
      <w:r>
        <w:t xml:space="preserve"> </w:t>
      </w:r>
      <w:r>
        <w:t xml:space="preserve">(Zeman et al. 2018)</w:t>
      </w:r>
      <w:r>
        <w:t xml:space="preserve">,</w:t>
      </w:r>
      <w:r>
        <w:t xml:space="preserve"> </w:t>
      </w:r>
      <w:r>
        <w:t xml:space="preserve">and would also test the grandmothering signature flagged in Section 6.1.</w:t>
      </w:r>
      <w:r>
        <w:t xml:space="preserve"> </w:t>
      </w:r>
      <w:r>
        <w:t xml:space="preserve">And the panel itself is rich-country selected, which is why the</w:t>
      </w:r>
      <w:r>
        <w:t xml:space="preserve"> </w:t>
      </w:r>
      <w:r>
        <w:t xml:space="preserve">preregistered companion moves to a global panel.</w:t>
      </w:r>
    </w:p>
    <w:bookmarkEnd w:id="50"/>
    <w:bookmarkStart w:id="51" w:name="X73f23dd9bd1f7fe61bfffcfbeb8c97340c4c204"/>
    <w:p>
      <w:pPr>
        <w:pStyle w:val="Heading2"/>
      </w:pPr>
      <w:r>
        <w:t xml:space="preserve">A note on workflow: agentic updating and the staleness problem</w:t>
      </w:r>
    </w:p>
    <w:p>
      <w:pPr>
        <w:pStyle w:val="FirstParagraph"/>
      </w:pPr>
      <w:r>
        <w:t xml:space="preserve">Descriptive papers built on living databases decay. The sources revise</w:t>
      </w:r>
      <w:r>
        <w:t xml:space="preserve"> </w:t>
      </w:r>
      <w:r>
        <w:t xml:space="preserve">their histories, extend their coverage, and accumulate exactly the years</w:t>
      </w:r>
      <w:r>
        <w:t xml:space="preserve"> </w:t>
      </w:r>
      <w:r>
        <w:t xml:space="preserve">that would test a published reading - and the papers, being</w:t>
      </w:r>
      <w:r>
        <w:t xml:space="preserve"> </w:t>
      </w:r>
      <w:r>
        <w:t xml:space="preserve">labour-intensive to rebuild, are rarely rebuilt. The present update is a</w:t>
      </w:r>
      <w:r>
        <w:t xml:space="preserve"> </w:t>
      </w:r>
      <w:r>
        <w:t xml:space="preserve">documented experiment in closing that gap: the 2016 pipeline was revived,</w:t>
      </w:r>
      <w:r>
        <w:t xml:space="preserve"> </w:t>
      </w:r>
      <w:r>
        <w:t xml:space="preserve">re-validated against archived data, extended to the 2026 releases, and</w:t>
      </w:r>
      <w:r>
        <w:t xml:space="preserve"> </w:t>
      </w:r>
      <w:r>
        <w:t xml:space="preserve">carried through new analysis, manuscript drafting, and a preregistered</w:t>
      </w:r>
      <w:r>
        <w:t xml:space="preserve"> </w:t>
      </w:r>
      <w:r>
        <w:t xml:space="preserve">follow-on protocol within days of the decision to revisit the 2020 paper,</w:t>
      </w:r>
      <w:r>
        <w:t xml:space="preserve"> </w:t>
      </w:r>
      <w:r>
        <w:t xml:space="preserve">by agentic AI assistance (Claude, Anthropic) working under the author’s</w:t>
      </w:r>
      <w:r>
        <w:t xml:space="preserve"> </w:t>
      </w:r>
      <w:r>
        <w:t xml:space="preserve">direction in the project’s public repository.</w:t>
      </w:r>
    </w:p>
    <w:p>
      <w:pPr>
        <w:pStyle w:val="BodyText"/>
      </w:pPr>
      <w:r>
        <w:t xml:space="preserve">The conditions under which this worked deserve statement, because they</w:t>
      </w:r>
      <w:r>
        <w:t xml:space="preserve"> </w:t>
      </w:r>
      <w:r>
        <w:t xml:space="preserve">mark out what we regard as the safe and defensible first use of agentic AI</w:t>
      </w:r>
      <w:r>
        <w:t xml:space="preserve"> </w:t>
      </w:r>
      <w:r>
        <w:t xml:space="preserve">in research coding:</w:t>
      </w:r>
      <w:r>
        <w:t xml:space="preserve"> </w:t>
      </w:r>
      <w:r>
        <w:rPr>
          <w:i/>
          <w:iCs/>
        </w:rPr>
        <w:t xml:space="preserve">replication and update work on an already-established</w:t>
      </w:r>
      <w:r>
        <w:rPr>
          <w:i/>
          <w:iCs/>
        </w:rPr>
        <w:t xml:space="preserve"> </w:t>
      </w:r>
      <w:r>
        <w:rPr>
          <w:i/>
          <w:iCs/>
        </w:rPr>
        <w:t xml:space="preserve">codebase</w:t>
      </w:r>
      <w:r>
        <w:t xml:space="preserve">. Here the method, data lineage, and claims were fixed by a</w:t>
      </w:r>
      <w:r>
        <w:t xml:space="preserve"> </w:t>
      </w:r>
      <w:r>
        <w:t xml:space="preserve">peer-reviewed paper and a preserved pipeline; the agentic contribution was</w:t>
      </w:r>
      <w:r>
        <w:t xml:space="preserve"> </w:t>
      </w:r>
      <w:r>
        <w:t xml:space="preserve">to revive, re-validate, extend, and document - each step checkable against</w:t>
      </w:r>
      <w:r>
        <w:t xml:space="preserve"> </w:t>
      </w:r>
      <w:r>
        <w:t xml:space="preserve">an existing ground truth (a 45-country revalidation, a back-revision</w:t>
      </w:r>
      <w:r>
        <w:t xml:space="preserve"> </w:t>
      </w:r>
      <w:r>
        <w:t xml:space="preserve">audit, a France code-mapping bug caught and fixed, an ex-ante-registered</w:t>
      </w:r>
      <w:r>
        <w:t xml:space="preserve"> </w:t>
      </w:r>
      <w:r>
        <w:t xml:space="preserve">analysis plan). This is categorically different from developing a paper</w:t>
      </w:r>
      <w:r>
        <w:t xml:space="preserve"> </w:t>
      </w:r>
      <w:r>
        <w:t xml:space="preserve">from scratch with a large language model, where no such ground truth</w:t>
      </w:r>
      <w:r>
        <w:t xml:space="preserve"> </w:t>
      </w:r>
      <w:r>
        <w:t xml:space="preserve">exists and the risk that neither the method nor the claims are understood</w:t>
      </w:r>
      <w:r>
        <w:t xml:space="preserve"> </w:t>
      </w:r>
      <w:r>
        <w:t xml:space="preserve">or verified by anyone is correspondingly higher. The epistemic safeguards</w:t>
      </w:r>
      <w:r>
        <w:t xml:space="preserve"> </w:t>
      </w:r>
      <w:r>
        <w:t xml:space="preserve">here are public and inspectable rather than testimonial: a decision log</w:t>
      </w:r>
      <w:r>
        <w:t xml:space="preserve"> </w:t>
      </w:r>
      <w:r>
        <w:t xml:space="preserve">fixing analytic choices before they ran, a feedback register recording</w:t>
      </w:r>
      <w:r>
        <w:t xml:space="preserve"> </w:t>
      </w:r>
      <w:r>
        <w:t xml:space="preserve">reviewer comments and their disposition, versioned manuscripts, an archive</w:t>
      </w:r>
      <w:r>
        <w:t xml:space="preserve"> </w:t>
      </w:r>
      <w:r>
        <w:t xml:space="preserve">tag freezing the pre-update state, and a preregistration for the</w:t>
      </w:r>
      <w:r>
        <w:t xml:space="preserve"> </w:t>
      </w:r>
      <w:r>
        <w:t xml:space="preserve">confirmatory step. We record this not as a disclosure liability but as a</w:t>
      </w:r>
      <w:r>
        <w:t xml:space="preserve"> </w:t>
      </w:r>
      <w:r>
        <w:t xml:space="preserve">finding about method: periodic, audited, AI-assisted rebuilds are a</w:t>
      </w:r>
      <w:r>
        <w:t xml:space="preserve"> </w:t>
      </w:r>
      <w:r>
        <w:t xml:space="preserve">practical answer to staleness in descriptive demography, and the update</w:t>
      </w:r>
      <w:r>
        <w:t xml:space="preserve"> </w:t>
      </w:r>
      <w:r>
        <w:t xml:space="preserve">cadence of a paper can become a property of its repository rather than of</w:t>
      </w:r>
      <w:r>
        <w:t xml:space="preserve"> </w:t>
      </w:r>
      <w:r>
        <w:t xml:space="preserve">its authors’ spare time.</w:t>
      </w:r>
    </w:p>
    <w:bookmarkEnd w:id="51"/>
    <w:bookmarkEnd w:id="52"/>
    <w:bookmarkStart w:id="55" w:name="conclusions"/>
    <w:p>
      <w:pPr>
        <w:pStyle w:val="Heading1"/>
      </w:pPr>
      <w:r>
        <w:t xml:space="preserve">Conclusions</w:t>
      </w:r>
    </w:p>
    <w:p>
      <w:pPr>
        <w:pStyle w:val="FirstParagraph"/>
      </w:pPr>
      <w:r>
        <w:t xml:space="preserve">The 2020 regularity - below replacement, no return - has been strengthened</w:t>
      </w:r>
      <w:r>
        <w:t xml:space="preserve"> </w:t>
      </w:r>
      <w:r>
        <w:t xml:space="preserve">rather than weakened by a decade of data, at the cost of both its named</w:t>
      </w:r>
      <w:r>
        <w:t xml:space="preserve"> </w:t>
      </w:r>
      <w:r>
        <w:t xml:space="preserve">exceptions: Norway’s recovery is now bracketed on both sides by vertical</w:t>
      </w:r>
      <w:r>
        <w:t xml:space="preserve"> </w:t>
      </w:r>
      <w:r>
        <w:t xml:space="preserve">contour escapes, and the United States’ recovery survives through cohorts</w:t>
      </w:r>
      <w:r>
        <w:t xml:space="preserve"> </w:t>
      </w:r>
      <w:r>
        <w:t xml:space="preserve">born in the early 1980s only by pressing against the top of the</w:t>
      </w:r>
      <w:r>
        <w:t xml:space="preserve"> </w:t>
      </w:r>
      <w:r>
        <w:t xml:space="preserve">reproductive lifecourse. The forecasts the 2020 paper ventured for both</w:t>
      </w:r>
      <w:r>
        <w:t xml:space="preserve"> </w:t>
      </w:r>
      <w:r>
        <w:t xml:space="preserve">countries resolved in the predicted direction - evidence that disciplined</w:t>
      </w:r>
      <w:r>
        <w:t xml:space="preserve"> </w:t>
      </w:r>
      <w:r>
        <w:t xml:space="preserve">surface reading can support genuine medium-term expectations - and erred</w:t>
      </w:r>
      <w:r>
        <w:t xml:space="preserve"> </w:t>
      </w:r>
      <w:r>
        <w:t xml:space="preserve">identically toward optimism, because the space they extrapolated into was</w:t>
      </w:r>
      <w:r>
        <w:t xml:space="preserve"> </w:t>
      </w:r>
      <w:r>
        <w:t xml:space="preserve">not open: an age of no return, behavioural in origin and nearly fixed on</w:t>
      </w:r>
      <w:r>
        <w:t xml:space="preserve"> </w:t>
      </w:r>
      <w:r>
        <w:t xml:space="preserve">the timescale of the postponement transition, was waiting at the low</w:t>
      </w:r>
      <w:r>
        <w:t xml:space="preserve"> </w:t>
      </w:r>
      <w:r>
        <w:t xml:space="preserve">forties. Formalizing that boundary, and the ridge of peak fertility that</w:t>
      </w:r>
      <w:r>
        <w:t xml:space="preserve"> </w:t>
      </w:r>
      <w:r>
        <w:t xml:space="preserve">has been climbing toward it, reduces 175 years of surfaces to a single</w:t>
      </w:r>
      <w:r>
        <w:t xml:space="preserve"> </w:t>
      </w:r>
      <w:r>
        <w:t xml:space="preserve">statement of the present regime: maximum speed later, maximum speed lower,</w:t>
      </w:r>
      <w:r>
        <w:t xml:space="preserve"> </w:t>
      </w:r>
      <w:r>
        <w:t xml:space="preserve">runway shorter - from twenty years between peak and endpoint to twelve.</w:t>
      </w:r>
      <w:r>
        <w:t xml:space="preserve"> </w:t>
      </w:r>
      <w:r>
        <w:t xml:space="preserve">Populations are not failing to reach replacement because childbearing has</w:t>
      </w:r>
      <w:r>
        <w:t xml:space="preserve"> </w:t>
      </w:r>
      <w:r>
        <w:t xml:space="preserve">ended early; they are failing because it starts late, peaks low, and runs</w:t>
      </w:r>
      <w:r>
        <w:t xml:space="preserve"> </w:t>
      </w:r>
      <w:r>
        <w:t xml:space="preserve">out of runway. That is the age-structure fact beneath the converging</w:t>
      </w:r>
      <w:r>
        <w:t xml:space="preserve"> </w:t>
      </w:r>
      <w:r>
        <w:t xml:space="preserve">totals now drawing renewed attention, and any explanation of the decline’s</w:t>
      </w:r>
      <w:r>
        <w:t xml:space="preserve"> </w:t>
      </w:r>
      <w:r>
        <w:t xml:space="preserve">acceleration will have to reproduce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Reproducibility and contributions.</w:t>
            </w:r>
            <w:r>
              <w:t xml:space="preserve"> </w:t>
            </w:r>
            <w:r>
              <w:t xml:space="preserve">Code, combined data, validation</w:t>
            </w:r>
            <w:r>
              <w:t xml:space="preserve"> </w:t>
            </w:r>
            <w:r>
              <w:t xml:space="preserve">reports, figure pipelines, the feedback register, and this manuscript’s</w:t>
            </w:r>
            <w:r>
              <w:t xml:space="preserve"> </w:t>
            </w:r>
            <w:r>
              <w:t xml:space="preserve">source are public at</w:t>
            </w:r>
            <w:r>
              <w:t xml:space="preserve"> </w:t>
            </w:r>
            <w:hyperlink r:id="rId13">
              <w:r>
                <w:rPr>
                  <w:rStyle w:val="Hyperlink"/>
                </w:rPr>
                <w:t xml:space="preserve">https://github.com/JonMinton/comparative_fertility</w:t>
              </w:r>
            </w:hyperlink>
            <w:r>
              <w:t xml:space="preserve">; the state of the</w:t>
            </w:r>
            <w:r>
              <w:t xml:space="preserve"> </w:t>
            </w:r>
            <w:r>
              <w:t xml:space="preserve">repository behind the published 2020 figures is preserved at tag</w:t>
            </w:r>
            <w:r>
              <w:t xml:space="preserve"> </w:t>
            </w:r>
            <w:r>
              <w:rPr>
                <w:rStyle w:val="VerbatimChar"/>
              </w:rPr>
              <w:t xml:space="preserve">demres-2020</w:t>
            </w:r>
            <w:r>
              <w:t xml:space="preserve">, and a further archive tag will freeze the repository state</w:t>
            </w:r>
            <w:r>
              <w:t xml:space="preserve"> </w:t>
            </w:r>
            <w:r>
              <w:t xml:space="preserve">at submission. The preregistered companion protocol is at</w:t>
            </w:r>
            <w:r>
              <w:t xml:space="preserve"> </w:t>
            </w:r>
            <w:hyperlink r:id="rId48">
              <w:r>
                <w:rPr>
                  <w:rStyle w:val="Hyperlink"/>
                </w:rPr>
                <w:t xml:space="preserve">https://osf.io/j3tbq</w:t>
              </w:r>
            </w:hyperlink>
            <w:r>
              <w:t xml:space="preserve">. The accompanying supplement (S1-S8) is generated</w:t>
            </w:r>
            <w:r>
              <w:t xml:space="preserve"> </w:t>
            </w:r>
            <w:r>
              <w:t xml:space="preserve">from the same repository. Analytical pipeline and drafting were assisted</w:t>
            </w:r>
            <w:r>
              <w:t xml:space="preserve"> </w:t>
            </w:r>
            <w:r>
              <w:t xml:space="preserve">by Claude (Anthropic) under the author’s direction; all analyses are</w:t>
            </w:r>
            <w:r>
              <w:t xml:space="preserve"> </w:t>
            </w:r>
            <w:r>
              <w:t xml:space="preserve">re-runnable end-to-end and all numbers in this draft are machine-generated</w:t>
            </w:r>
            <w:r>
              <w:t xml:space="preserve"> </w:t>
            </w:r>
            <w:r>
              <w:t xml:space="preserve">from the pipeline. The author thanks Serena Pattaro and Laura</w:t>
            </w:r>
            <w:r>
              <w:t xml:space="preserve"> </w:t>
            </w:r>
            <w:r>
              <w:t xml:space="preserve">Vanderbloemen, co-authors of the 2020 paper, for the original work this</w:t>
            </w:r>
            <w:r>
              <w:t xml:space="preserve"> </w:t>
            </w:r>
            <w:r>
              <w:t xml:space="preserve">paper updates and for review comments on the working papers and the merged</w:t>
            </w:r>
            <w:r>
              <w:t xml:space="preserve"> </w:t>
            </w:r>
            <w:r>
              <w:t xml:space="preserve">draft; the grandparental-care mechanism discussed in Section 6.1 was</w:t>
            </w:r>
            <w:r>
              <w:t xml:space="preserve"> </w:t>
            </w:r>
            <w:r>
              <w:t xml:space="preserve">suggested by Laura Vanderbloemen in review.</w:t>
            </w:r>
            <w:r>
              <w:t xml:space="preserve"> </w:t>
            </w:r>
          </w:p>
          <w:p/>
        </w:tc>
      </w:tr>
    </w:tbl>
    <w:bookmarkEnd w:id="55"/>
    <w:bookmarkStart w:id="105" w:name="references"/>
    <w:p>
      <w:pPr>
        <w:pStyle w:val="Heading1"/>
      </w:pPr>
      <w:r>
        <w:t xml:space="preserve">References</w:t>
      </w:r>
    </w:p>
    <w:bookmarkStart w:id="104" w:name="refs"/>
    <w:bookmarkStart w:id="57" w:name="ref-aassve2012grandparenting"/>
    <w:p>
      <w:pPr>
        <w:pStyle w:val="Bibliography"/>
      </w:pPr>
      <w:r>
        <w:t xml:space="preserve">Aassve, Arnstein, Elena Meroni, and Chiara Pronzato. 2012.</w:t>
      </w:r>
      <w:r>
        <w:t xml:space="preserve"> </w:t>
      </w:r>
      <w:r>
        <w:t xml:space="preserve">“Grandparenting and Childbearing in the Extended Family.”</w:t>
      </w:r>
      <w:r>
        <w:t xml:space="preserve"> </w:t>
      </w:r>
      <w:r>
        <w:rPr>
          <w:i/>
          <w:iCs/>
        </w:rPr>
        <w:t xml:space="preserve">European Journal of Population</w:t>
      </w:r>
      <w:r>
        <w:t xml:space="preserve"> </w:t>
      </w:r>
      <w:r>
        <w:t xml:space="preserve">28 (4): 499–518.</w:t>
      </w:r>
      <w:r>
        <w:t xml:space="preserve"> </w:t>
      </w:r>
      <w:hyperlink r:id="rId56">
        <w:r>
          <w:rPr>
            <w:rStyle w:val="Hyperlink"/>
          </w:rPr>
          <w:t xml:space="preserve">https://doi.org/10.1007/s10680-012-9273-2</w:t>
        </w:r>
      </w:hyperlink>
      <w:r>
        <w:t xml:space="preserve">.</w:t>
      </w:r>
    </w:p>
    <w:bookmarkEnd w:id="57"/>
    <w:bookmarkStart w:id="59" w:name="ref-beaujouan2020"/>
    <w:p>
      <w:pPr>
        <w:pStyle w:val="Bibliography"/>
      </w:pPr>
      <w:r>
        <w:t xml:space="preserve">Beaujouan, Éva. 2020.</w:t>
      </w:r>
      <w:r>
        <w:t xml:space="preserve"> </w:t>
      </w:r>
      <w:r>
        <w:t xml:space="preserve">“Latest-Late Fertility? Decline and Resurgence of Late Parenthood Across the Low-Fertility Countries.”</w:t>
      </w:r>
      <w:r>
        <w:t xml:space="preserve"> </w:t>
      </w:r>
      <w:r>
        <w:rPr>
          <w:i/>
          <w:iCs/>
        </w:rPr>
        <w:t xml:space="preserve">Population and Development Review</w:t>
      </w:r>
      <w:r>
        <w:t xml:space="preserve"> </w:t>
      </w:r>
      <w:r>
        <w:t xml:space="preserve">46 (2): 219–47.</w:t>
      </w:r>
      <w:r>
        <w:t xml:space="preserve"> </w:t>
      </w:r>
      <w:hyperlink r:id="rId58">
        <w:r>
          <w:rPr>
            <w:rStyle w:val="Hyperlink"/>
          </w:rPr>
          <w:t xml:space="preserve">https://doi.org/10.1111/padr.12334</w:t>
        </w:r>
      </w:hyperlink>
      <w:r>
        <w:t xml:space="preserve">.</w:t>
      </w:r>
    </w:p>
    <w:bookmarkEnd w:id="59"/>
    <w:bookmarkStart w:id="61" w:name="ref-billari2019broadband"/>
    <w:p>
      <w:pPr>
        <w:pStyle w:val="Bibliography"/>
      </w:pPr>
      <w:r>
        <w:t xml:space="preserve">Billari, Francesco C., Osea Giuntella, and Luca Stella. 2019.</w:t>
      </w:r>
      <w:r>
        <w:t xml:space="preserve"> </w:t>
      </w:r>
      <w:r>
        <w:t xml:space="preserve">“Does Broadband Internet Affect Fertility?”</w:t>
      </w:r>
      <w:r>
        <w:t xml:space="preserve"> </w:t>
      </w:r>
      <w:r>
        <w:rPr>
          <w:i/>
          <w:iCs/>
        </w:rPr>
        <w:t xml:space="preserve">Population Studies</w:t>
      </w:r>
      <w:r>
        <w:t xml:space="preserve"> </w:t>
      </w:r>
      <w:r>
        <w:t xml:space="preserve">73 (3): 297–316.</w:t>
      </w:r>
      <w:r>
        <w:t xml:space="preserve"> </w:t>
      </w:r>
      <w:hyperlink r:id="rId60">
        <w:r>
          <w:rPr>
            <w:rStyle w:val="Hyperlink"/>
          </w:rPr>
          <w:t xml:space="preserve">https://doi.org/10.1080/00324728.2019.1584327</w:t>
        </w:r>
      </w:hyperlink>
      <w:r>
        <w:t xml:space="preserve">.</w:t>
      </w:r>
    </w:p>
    <w:bookmarkEnd w:id="61"/>
    <w:bookmarkStart w:id="63" w:name="ref-bongaartswatkins1996"/>
    <w:p>
      <w:pPr>
        <w:pStyle w:val="Bibliography"/>
      </w:pPr>
      <w:r>
        <w:t xml:space="preserve">Bongaarts, John, and Susan Cotts Watkins. 1996.</w:t>
      </w:r>
      <w:r>
        <w:t xml:space="preserve"> </w:t>
      </w:r>
      <w:r>
        <w:t xml:space="preserve">“Social Interactions and Contemporary Fertility Transitions.”</w:t>
      </w:r>
      <w:r>
        <w:t xml:space="preserve"> </w:t>
      </w:r>
      <w:r>
        <w:rPr>
          <w:i/>
          <w:iCs/>
        </w:rPr>
        <w:t xml:space="preserve">Population and Development Review</w:t>
      </w:r>
      <w:r>
        <w:t xml:space="preserve"> </w:t>
      </w:r>
      <w:r>
        <w:t xml:space="preserve">22 (4): 639–82.</w:t>
      </w:r>
      <w:r>
        <w:t xml:space="preserve"> </w:t>
      </w:r>
      <w:hyperlink r:id="rId62">
        <w:r>
          <w:rPr>
            <w:rStyle w:val="Hyperlink"/>
          </w:rPr>
          <w:t xml:space="preserve">https://doi.org/10.2307/2137804</w:t>
        </w:r>
      </w:hyperlink>
      <w:r>
        <w:t xml:space="preserve">.</w:t>
      </w:r>
    </w:p>
    <w:bookmarkEnd w:id="63"/>
    <w:bookmarkStart w:id="65" w:name="ref-burkimsher2017"/>
    <w:p>
      <w:pPr>
        <w:pStyle w:val="Bibliography"/>
      </w:pPr>
      <w:r>
        <w:t xml:space="preserve">Burkimsher, Marion. 2017.</w:t>
      </w:r>
      <w:r>
        <w:t xml:space="preserve"> </w:t>
      </w:r>
      <w:r>
        <w:t xml:space="preserve">“Evolution of the Shape of the Fertility Curve: Why Might Some Countries Develop a Bimodal Curve?”</w:t>
      </w:r>
      <w:r>
        <w:t xml:space="preserve"> </w:t>
      </w:r>
      <w:r>
        <w:rPr>
          <w:i/>
          <w:iCs/>
        </w:rPr>
        <w:t xml:space="preserve">Demographic Research</w:t>
      </w:r>
      <w:r>
        <w:t xml:space="preserve"> </w:t>
      </w:r>
      <w:r>
        <w:t xml:space="preserve">37 (11): 295–324.</w:t>
      </w:r>
      <w:r>
        <w:t xml:space="preserve"> </w:t>
      </w:r>
      <w:hyperlink r:id="rId64">
        <w:r>
          <w:rPr>
            <w:rStyle w:val="Hyperlink"/>
          </w:rPr>
          <w:t xml:space="preserve">https://doi.org/10.4054/DemRes.2017.37.11</w:t>
        </w:r>
      </w:hyperlink>
      <w:r>
        <w:t xml:space="preserve">.</w:t>
      </w:r>
    </w:p>
    <w:bookmarkEnd w:id="65"/>
    <w:bookmarkStart w:id="67" w:name="ref-burnmurdoch2026phones"/>
    <w:p>
      <w:pPr>
        <w:pStyle w:val="Bibliography"/>
      </w:pPr>
      <w:r>
        <w:t xml:space="preserve">Burn-Murdoch, John. 2026.</w:t>
      </w:r>
      <w:r>
        <w:t xml:space="preserve"> </w:t>
      </w:r>
      <w:r>
        <w:rPr>
          <w:i/>
          <w:iCs/>
        </w:rPr>
        <w:t xml:space="preserve">[Smartphones, Social Media and the Global Decline in Birth Rates]</w:t>
      </w:r>
      <w:r>
        <w:t xml:space="preserve">. Financial Times, data column (mid-May 2026).</w:t>
      </w:r>
      <w:r>
        <w:t xml:space="preserve"> </w:t>
      </w:r>
      <w:hyperlink r:id="rId66">
        <w:r>
          <w:rPr>
            <w:rStyle w:val="Hyperlink"/>
          </w:rPr>
          <w:t xml:space="preserve">https://www.ft.com/content/fba35eca-df3a-4ad6-b42d-eb08eb7c9ad3</w:t>
        </w:r>
      </w:hyperlink>
      <w:r>
        <w:t xml:space="preserve">.</w:t>
      </w:r>
    </w:p>
    <w:bookmarkEnd w:id="67"/>
    <w:bookmarkStart w:id="69" w:name="ref-casterline2001"/>
    <w:p>
      <w:pPr>
        <w:pStyle w:val="Bibliography"/>
      </w:pPr>
      <w:r>
        <w:t xml:space="preserve">Casterline, John B., ed. 2001.</w:t>
      </w:r>
      <w:r>
        <w:t xml:space="preserve"> </w:t>
      </w:r>
      <w:r>
        <w:rPr>
          <w:i/>
          <w:iCs/>
        </w:rPr>
        <w:t xml:space="preserve">Diffusion Processes and Fertility Transition: Selected Perspectives</w:t>
      </w:r>
      <w:r>
        <w:t xml:space="preserve">. National Academy Press.</w:t>
      </w:r>
      <w:r>
        <w:t xml:space="preserve"> </w:t>
      </w:r>
      <w:hyperlink r:id="rId68">
        <w:r>
          <w:rPr>
            <w:rStyle w:val="Hyperlink"/>
          </w:rPr>
          <w:t xml:space="preserve">https://doi.org/10.17226/10228</w:t>
        </w:r>
      </w:hyperlink>
      <w:r>
        <w:t xml:space="preserve">.</w:t>
      </w:r>
    </w:p>
    <w:bookmarkEnd w:id="69"/>
    <w:bookmarkStart w:id="71" w:name="ref-comolli2021"/>
    <w:p>
      <w:pPr>
        <w:pStyle w:val="Bibliography"/>
      </w:pPr>
      <w:r>
        <w:t xml:space="preserve">Comolli, Chiara L., Gerda Neyer, Gunnar Andersson, et al. 2021.</w:t>
      </w:r>
      <w:r>
        <w:t xml:space="preserve"> </w:t>
      </w:r>
      <w:r>
        <w:t xml:space="preserve">“Beyond the Economic Gaze: Childbearing During and After Recessions in the</w:t>
      </w:r>
      <w:r>
        <w:t xml:space="preserve"> </w:t>
      </w:r>
      <w:r>
        <w:t xml:space="preserve">Nordic</w:t>
      </w:r>
      <w:r>
        <w:t xml:space="preserve"> </w:t>
      </w:r>
      <w:r>
        <w:t xml:space="preserve">Countries.”</w:t>
      </w:r>
      <w:r>
        <w:t xml:space="preserve"> </w:t>
      </w:r>
      <w:r>
        <w:rPr>
          <w:i/>
          <w:iCs/>
        </w:rPr>
        <w:t xml:space="preserve">European Journal of Population</w:t>
      </w:r>
      <w:r>
        <w:t xml:space="preserve"> </w:t>
      </w:r>
      <w:r>
        <w:t xml:space="preserve">37: 473–520.</w:t>
      </w:r>
      <w:r>
        <w:t xml:space="preserve"> </w:t>
      </w:r>
      <w:hyperlink r:id="rId70">
        <w:r>
          <w:rPr>
            <w:rStyle w:val="Hyperlink"/>
          </w:rPr>
          <w:t xml:space="preserve">https://doi.org/10.1007/s10680-020-09570-0</w:t>
        </w:r>
      </w:hyperlink>
      <w:r>
        <w:t xml:space="preserve">.</w:t>
      </w:r>
    </w:p>
    <w:bookmarkEnd w:id="71"/>
    <w:bookmarkStart w:id="73" w:name="ref-dorius2008"/>
    <w:p>
      <w:pPr>
        <w:pStyle w:val="Bibliography"/>
      </w:pPr>
      <w:r>
        <w:t xml:space="preserve">Dorius, Shawn F. 2008.</w:t>
      </w:r>
      <w:r>
        <w:t xml:space="preserve"> </w:t>
      </w:r>
      <w:r>
        <w:t xml:space="preserve">“Global Demographic Convergence?</w:t>
      </w:r>
      <w:r>
        <w:t xml:space="preserve"> </w:t>
      </w:r>
      <w:r>
        <w:t xml:space="preserve">A</w:t>
      </w:r>
      <w:r>
        <w:t xml:space="preserve"> </w:t>
      </w:r>
      <w:r>
        <w:t xml:space="preserve">Reconsideration of Changing Intercountry Inequality in Fertility.”</w:t>
      </w:r>
      <w:r>
        <w:t xml:space="preserve"> </w:t>
      </w:r>
      <w:r>
        <w:rPr>
          <w:i/>
          <w:iCs/>
        </w:rPr>
        <w:t xml:space="preserve">Population and Development Review</w:t>
      </w:r>
      <w:r>
        <w:t xml:space="preserve"> </w:t>
      </w:r>
      <w:r>
        <w:t xml:space="preserve">34 (3): 519–37.</w:t>
      </w:r>
      <w:r>
        <w:t xml:space="preserve"> </w:t>
      </w:r>
      <w:hyperlink r:id="rId72">
        <w:r>
          <w:rPr>
            <w:rStyle w:val="Hyperlink"/>
          </w:rPr>
          <w:t xml:space="preserve">https://doi.org/10.1111/j.1728-4457.2008.00235.x</w:t>
        </w:r>
      </w:hyperlink>
      <w:r>
        <w:t xml:space="preserve">.</w:t>
      </w:r>
    </w:p>
    <w:bookmarkEnd w:id="73"/>
    <w:bookmarkStart w:id="74" w:name="ref-garnier2018"/>
    <w:p>
      <w:pPr>
        <w:pStyle w:val="Bibliography"/>
      </w:pPr>
      <w:r>
        <w:t xml:space="preserve">Garnier, Simon. 2018.</w:t>
      </w:r>
      <w:r>
        <w:t xml:space="preserve"> </w:t>
      </w:r>
      <w:r>
        <w:rPr>
          <w:i/>
          <w:iCs/>
        </w:rPr>
        <w:t xml:space="preserve">Viridis: Default Color Maps from</w:t>
      </w:r>
      <w:r>
        <w:rPr>
          <w:i/>
          <w:iCs/>
        </w:rPr>
        <w:t xml:space="preserve"> </w:t>
      </w:r>
      <w:r>
        <w:rPr>
          <w:i/>
          <w:iCs/>
        </w:rPr>
        <w:t xml:space="preserve">“Matplotlib”</w:t>
      </w:r>
      <w:r>
        <w:t xml:space="preserve">.</w:t>
      </w:r>
    </w:p>
    <w:bookmarkEnd w:id="74"/>
    <w:bookmarkStart w:id="76" w:name="ref-hawkes1998"/>
    <w:p>
      <w:pPr>
        <w:pStyle w:val="Bibliography"/>
      </w:pPr>
      <w:r>
        <w:t xml:space="preserve">Hawkes, Kristen, James F. O’Connell, Nicholas G. Blurton Jones, Helen Alvarez, and Eric L. Charnov. 1998.</w:t>
      </w:r>
      <w:r>
        <w:t xml:space="preserve"> </w:t>
      </w:r>
      <w:r>
        <w:t xml:space="preserve">“Grandmothering, Menopause, and the Evolution of Human Life Histories.”</w:t>
      </w:r>
      <w:r>
        <w:t xml:space="preserve"> </w:t>
      </w:r>
      <w:r>
        <w:rPr>
          <w:i/>
          <w:iCs/>
        </w:rPr>
        <w:t xml:space="preserve">Proceedings of the National Academy of Sciences</w:t>
      </w:r>
      <w:r>
        <w:t xml:space="preserve"> </w:t>
      </w:r>
      <w:r>
        <w:t xml:space="preserve">95 (3): 1336–39.</w:t>
      </w:r>
      <w:r>
        <w:t xml:space="preserve"> </w:t>
      </w:r>
      <w:hyperlink r:id="rId75">
        <w:r>
          <w:rPr>
            <w:rStyle w:val="Hyperlink"/>
          </w:rPr>
          <w:t xml:space="preserve">https://doi.org/10.1073/pnas.95.3.1336</w:t>
        </w:r>
      </w:hyperlink>
      <w:r>
        <w:t xml:space="preserve">.</w:t>
      </w:r>
    </w:p>
    <w:bookmarkEnd w:id="76"/>
    <w:bookmarkStart w:id="78" w:name="ref-hellstrand2020"/>
    <w:p>
      <w:pPr>
        <w:pStyle w:val="Bibliography"/>
      </w:pPr>
      <w:r>
        <w:t xml:space="preserve">Hellstrand, Julia, Jessica Nisén, and Mikko Myrskylä. 2020.</w:t>
      </w:r>
      <w:r>
        <w:t xml:space="preserve"> </w:t>
      </w:r>
      <w:r>
        <w:t xml:space="preserve">“All-Time Low Period Fertility in</w:t>
      </w:r>
      <w:r>
        <w:t xml:space="preserve"> </w:t>
      </w:r>
      <w:r>
        <w:t xml:space="preserve">Finland</w:t>
      </w:r>
      <w:r>
        <w:t xml:space="preserve">: Demographic Drivers, Tempo Effects, and Cohort Implications.”</w:t>
      </w:r>
      <w:r>
        <w:t xml:space="preserve"> </w:t>
      </w:r>
      <w:r>
        <w:rPr>
          <w:i/>
          <w:iCs/>
        </w:rPr>
        <w:t xml:space="preserve">Population Studies</w:t>
      </w:r>
      <w:r>
        <w:t xml:space="preserve"> </w:t>
      </w:r>
      <w:r>
        <w:t xml:space="preserve">74 (3): 315–29.</w:t>
      </w:r>
      <w:r>
        <w:t xml:space="preserve"> </w:t>
      </w:r>
      <w:hyperlink r:id="rId77">
        <w:r>
          <w:rPr>
            <w:rStyle w:val="Hyperlink"/>
          </w:rPr>
          <w:t xml:space="preserve">https://doi.org/10.1080/00324728.2020.1750677</w:t>
        </w:r>
      </w:hyperlink>
      <w:r>
        <w:t xml:space="preserve">.</w:t>
      </w:r>
    </w:p>
    <w:bookmarkEnd w:id="78"/>
    <w:bookmarkStart w:id="79" w:name="ref-hudson2026teen"/>
    <w:p>
      <w:pPr>
        <w:pStyle w:val="Bibliography"/>
      </w:pPr>
      <w:r>
        <w:t xml:space="preserve">Hudson, Nathan, and Hernan J. Moscoso Boedo. 2026.</w:t>
      </w:r>
      <w:r>
        <w:t xml:space="preserve"> </w:t>
      </w:r>
      <w:r>
        <w:t xml:space="preserve">“The Collapse of Teen Fertility in the Digital Era.”</w:t>
      </w:r>
      <w:r>
        <w:t xml:space="preserve"> </w:t>
      </w:r>
      <w:r>
        <w:t xml:space="preserve">Unpublished manuscript.</w:t>
      </w:r>
    </w:p>
    <w:bookmarkEnd w:id="79"/>
    <w:bookmarkStart w:id="81" w:name="ref-kearney2022"/>
    <w:p>
      <w:pPr>
        <w:pStyle w:val="Bibliography"/>
      </w:pPr>
      <w:r>
        <w:t xml:space="preserve">Kearney, Melissa S., Phillip B. Levine, and Luke Pardue. 2022.</w:t>
      </w:r>
      <w:r>
        <w:t xml:space="preserve"> </w:t>
      </w:r>
      <w:r>
        <w:t xml:space="preserve">“The Puzzle of Falling US Birth Rates Since the</w:t>
      </w:r>
      <w:r>
        <w:t xml:space="preserve"> </w:t>
      </w:r>
      <w:r>
        <w:t xml:space="preserve">Great Recession</w:t>
      </w:r>
      <w:r>
        <w:t xml:space="preserve">.”</w:t>
      </w:r>
      <w:r>
        <w:t xml:space="preserve"> </w:t>
      </w:r>
      <w:r>
        <w:rPr>
          <w:i/>
          <w:iCs/>
        </w:rPr>
        <w:t xml:space="preserve">Journal of Economic Perspectives</w:t>
      </w:r>
      <w:r>
        <w:t xml:space="preserve"> </w:t>
      </w:r>
      <w:r>
        <w:t xml:space="preserve">36 (1): 151–76.</w:t>
      </w:r>
      <w:r>
        <w:t xml:space="preserve"> </w:t>
      </w:r>
      <w:hyperlink r:id="rId80">
        <w:r>
          <w:rPr>
            <w:rStyle w:val="Hyperlink"/>
          </w:rPr>
          <w:t xml:space="preserve">https://doi.org/10.1257/jep.36.1.151</w:t>
        </w:r>
      </w:hyperlink>
      <w:r>
        <w:t xml:space="preserve">.</w:t>
      </w:r>
    </w:p>
    <w:bookmarkEnd w:id="81"/>
    <w:bookmarkStart w:id="82" w:name="ref-kravdal2016"/>
    <w:p>
      <w:pPr>
        <w:pStyle w:val="Bibliography"/>
      </w:pPr>
      <w:r>
        <w:t xml:space="preserve">Kravdal, Øystein. 2016.</w:t>
      </w:r>
      <w:r>
        <w:t xml:space="preserve"> </w:t>
      </w:r>
      <w:r>
        <w:t xml:space="preserve">“Not so Low Fertility in</w:t>
      </w:r>
      <w:r>
        <w:t xml:space="preserve"> </w:t>
      </w:r>
      <w:r>
        <w:t xml:space="preserve">Norway</w:t>
      </w:r>
      <w:r>
        <w:t xml:space="preserve">—a Result of Affluence, Liberal Values, Gender-Equality Ideals, and the Welfare State.”</w:t>
      </w:r>
      <w:r>
        <w:t xml:space="preserve"> </w:t>
      </w:r>
      <w:r>
        <w:t xml:space="preserve">In</w:t>
      </w:r>
      <w:r>
        <w:t xml:space="preserve"> </w:t>
      </w:r>
      <w:r>
        <w:rPr>
          <w:i/>
          <w:iCs/>
        </w:rPr>
        <w:t xml:space="preserve">Low Fertility, Institutions, and Their Policies</w:t>
      </w:r>
      <w:r>
        <w:t xml:space="preserve">, edited by Ronald R. Rindfuss and Minja Kim Choe. Springer.</w:t>
      </w:r>
    </w:p>
    <w:bookmarkEnd w:id="82"/>
    <w:bookmarkStart w:id="84" w:name="ref-hfc2026"/>
    <w:p>
      <w:pPr>
        <w:pStyle w:val="Bibliography"/>
      </w:pPr>
      <w:r>
        <w:t xml:space="preserve">Max Planck Institute for Demographic Research (Germany) and Vienna Institute of Demography (Austria). 2026a.</w:t>
      </w:r>
      <w:r>
        <w:t xml:space="preserve"> </w:t>
      </w:r>
      <w:r>
        <w:rPr>
          <w:i/>
          <w:iCs/>
        </w:rPr>
        <w:t xml:space="preserve">The</w:t>
      </w:r>
      <w:r>
        <w:rPr>
          <w:i/>
          <w:iCs/>
        </w:rPr>
        <w:t xml:space="preserve"> </w:t>
      </w:r>
      <w:r>
        <w:rPr>
          <w:i/>
          <w:iCs/>
        </w:rPr>
        <w:t xml:space="preserve">Human Fertility Collection</w:t>
      </w:r>
      <w:r>
        <w:t xml:space="preserve">.</w:t>
      </w:r>
      <w:r>
        <w:t xml:space="preserve"> </w:t>
      </w:r>
      <w:hyperlink r:id="rId83">
        <w:r>
          <w:rPr>
            <w:rStyle w:val="Hyperlink"/>
          </w:rPr>
          <w:t xml:space="preserve">https://www.fertilitydata.org</w:t>
        </w:r>
      </w:hyperlink>
      <w:r>
        <w:t xml:space="preserve">.</w:t>
      </w:r>
    </w:p>
    <w:bookmarkEnd w:id="84"/>
    <w:bookmarkStart w:id="86" w:name="ref-hfd2026"/>
    <w:p>
      <w:pPr>
        <w:pStyle w:val="Bibliography"/>
      </w:pPr>
      <w:r>
        <w:t xml:space="preserve">Max Planck Institute for Demographic Research (Germany) and Vienna Institute of Demography (Austria). 2026b.</w:t>
      </w:r>
      <w:r>
        <w:t xml:space="preserve"> </w:t>
      </w:r>
      <w:r>
        <w:rPr>
          <w:i/>
          <w:iCs/>
        </w:rPr>
        <w:t xml:space="preserve">The</w:t>
      </w:r>
      <w:r>
        <w:rPr>
          <w:i/>
          <w:iCs/>
        </w:rPr>
        <w:t xml:space="preserve"> </w:t>
      </w:r>
      <w:r>
        <w:rPr>
          <w:i/>
          <w:iCs/>
        </w:rPr>
        <w:t xml:space="preserve">Human Fertility Database</w:t>
      </w:r>
      <w:r>
        <w:t xml:space="preserve">.</w:t>
      </w:r>
      <w:r>
        <w:t xml:space="preserve"> </w:t>
      </w:r>
      <w:hyperlink r:id="rId85">
        <w:r>
          <w:rPr>
            <w:rStyle w:val="Hyperlink"/>
          </w:rPr>
          <w:t xml:space="preserve">https://www.humanfertility.org</w:t>
        </w:r>
      </w:hyperlink>
      <w:r>
        <w:t xml:space="preserve">.</w:t>
      </w:r>
    </w:p>
    <w:bookmarkEnd w:id="86"/>
    <w:bookmarkStart w:id="87" w:name="ref-moscoso2026wide"/>
    <w:p>
      <w:pPr>
        <w:pStyle w:val="Bibliography"/>
      </w:pPr>
      <w:r>
        <w:t xml:space="preserve">Moscoso Boedo, Hernan J., and Nathan Hudson. 2026.</w:t>
      </w:r>
      <w:r>
        <w:t xml:space="preserve"> </w:t>
      </w:r>
      <w:r>
        <w:t xml:space="preserve">“Wide and Shallow: Digital Technology and the Post-2007 Fertility Decline.”</w:t>
      </w:r>
      <w:r>
        <w:t xml:space="preserve"> </w:t>
      </w:r>
      <w:r>
        <w:t xml:space="preserve">Unpublished manuscript.</w:t>
      </w:r>
    </w:p>
    <w:bookmarkEnd w:id="87"/>
    <w:bookmarkStart w:id="88" w:name="ref-myers2026iphone"/>
    <w:p>
      <w:pPr>
        <w:pStyle w:val="Bibliography"/>
      </w:pPr>
      <w:r>
        <w:t xml:space="preserve">Myers, Caitlin Knowles, and Ezekiel Hooper. 2026.</w:t>
      </w:r>
      <w:r>
        <w:t xml:space="preserve"> </w:t>
      </w:r>
      <w:r>
        <w:t xml:space="preserve">“Is the</w:t>
      </w:r>
      <w:r>
        <w:t xml:space="preserve"> </w:t>
      </w:r>
      <w:r>
        <w:t xml:space="preserve">iPhone</w:t>
      </w:r>
      <w:r>
        <w:t xml:space="preserve"> </w:t>
      </w:r>
      <w:r>
        <w:t xml:space="preserve">Birth Control?</w:t>
      </w:r>
      <w:r>
        <w:t xml:space="preserve"> </w:t>
      </w:r>
      <w:r>
        <w:t xml:space="preserve">Causal</w:t>
      </w:r>
      <w:r>
        <w:t xml:space="preserve"> </w:t>
      </w:r>
      <w:r>
        <w:t xml:space="preserve">Evidence from</w:t>
      </w:r>
      <w:r>
        <w:t xml:space="preserve"> </w:t>
      </w:r>
      <w:r>
        <w:t xml:space="preserve">AT&amp;T</w:t>
      </w:r>
      <w:r>
        <w:t xml:space="preserve">’s 2007–2011 Carrier Monopoly.”</w:t>
      </w:r>
      <w:r>
        <w:t xml:space="preserve"> </w:t>
      </w:r>
      <w:r>
        <w:t xml:space="preserve">Unpublished manuscript.</w:t>
      </w:r>
    </w:p>
    <w:bookmarkEnd w:id="88"/>
    <w:bookmarkStart w:id="90" w:name="ref-pattaro2020"/>
    <w:p>
      <w:pPr>
        <w:pStyle w:val="Bibliography"/>
      </w:pPr>
      <w:r>
        <w:t xml:space="preserve">Pattaro, Serena, Laura Vanderbloemen, and Jon Minton. 2020.</w:t>
      </w:r>
      <w:r>
        <w:t xml:space="preserve"> </w:t>
      </w:r>
      <w:r>
        <w:t xml:space="preserve">“Visualizing Fertility Trends for 45 Countries Using Composite Lattice Plots.”</w:t>
      </w:r>
      <w:r>
        <w:t xml:space="preserve"> </w:t>
      </w:r>
      <w:r>
        <w:rPr>
          <w:i/>
          <w:iCs/>
        </w:rPr>
        <w:t xml:space="preserve">Demographic Research</w:t>
      </w:r>
      <w:r>
        <w:t xml:space="preserve"> </w:t>
      </w:r>
      <w:r>
        <w:t xml:space="preserve">42 (23): 689–712.</w:t>
      </w:r>
      <w:r>
        <w:t xml:space="preserve"> </w:t>
      </w:r>
      <w:hyperlink r:id="rId89">
        <w:r>
          <w:rPr>
            <w:rStyle w:val="Hyperlink"/>
          </w:rPr>
          <w:t xml:space="preserve">https://doi.org/10.4054/DemRes.2020.42.23</w:t>
        </w:r>
      </w:hyperlink>
      <w:r>
        <w:t xml:space="preserve">.</w:t>
      </w:r>
    </w:p>
    <w:bookmarkEnd w:id="90"/>
    <w:bookmarkStart w:id="92" w:name="ref-ritchie2026convergence"/>
    <w:p>
      <w:pPr>
        <w:pStyle w:val="Bibliography"/>
      </w:pPr>
      <w:r>
        <w:t xml:space="preserve">Ritchie, Hannah. 2026.</w:t>
      </w:r>
      <w:r>
        <w:t xml:space="preserve"> </w:t>
      </w:r>
      <w:r>
        <w:rPr>
          <w:i/>
          <w:iCs/>
        </w:rPr>
        <w:t xml:space="preserve">Fertility Rates Across Many Countries Have Converged, Despite Starting from Very Different Levels</w:t>
      </w:r>
      <w:r>
        <w:t xml:space="preserve">. Our World in Data, Data Insights (16 July 2026).</w:t>
      </w:r>
      <w:r>
        <w:t xml:space="preserve"> </w:t>
      </w:r>
      <w:hyperlink r:id="rId91">
        <w:r>
          <w:rPr>
            <w:rStyle w:val="Hyperlink"/>
          </w:rPr>
          <w:t xml:space="preserve">https://ourworldindata.org/data-insights/fertility-rates-across-many-countries-have-converged-despite-starting-from-very-different-levels</w:t>
        </w:r>
      </w:hyperlink>
      <w:r>
        <w:t xml:space="preserve">.</w:t>
      </w:r>
    </w:p>
    <w:bookmarkEnd w:id="92"/>
    <w:bookmarkStart w:id="93" w:name="ref-sarkar2008"/>
    <w:p>
      <w:pPr>
        <w:pStyle w:val="Bibliography"/>
      </w:pPr>
      <w:r>
        <w:t xml:space="preserve">Sarkar, Deepayan. 2008.</w:t>
      </w:r>
      <w:r>
        <w:t xml:space="preserve"> </w:t>
      </w:r>
      <w:r>
        <w:rPr>
          <w:i/>
          <w:iCs/>
        </w:rPr>
        <w:t xml:space="preserve">Lattice: Multivariate Data Visualization with r</w:t>
      </w:r>
      <w:r>
        <w:t xml:space="preserve">. Use r! Springer.</w:t>
      </w:r>
    </w:p>
    <w:bookmarkEnd w:id="93"/>
    <w:bookmarkStart w:id="94" w:name="ref-sobotka2017"/>
    <w:p>
      <w:pPr>
        <w:pStyle w:val="Bibliography"/>
      </w:pPr>
      <w:r>
        <w:t xml:space="preserve">Sobotka, Tomáš. 2017.</w:t>
      </w:r>
      <w:r>
        <w:t xml:space="preserve"> </w:t>
      </w:r>
      <w:r>
        <w:t xml:space="preserve">“Post-Transitional Fertility: The Role of Childbearing Postponement in Fuelling the Shift to Low and Unstable Fertility Levels.”</w:t>
      </w:r>
      <w:r>
        <w:t xml:space="preserve"> </w:t>
      </w:r>
      <w:r>
        <w:rPr>
          <w:i/>
          <w:iCs/>
        </w:rPr>
        <w:t xml:space="preserve">Journal of Biosocial Science</w:t>
      </w:r>
      <w:r>
        <w:t xml:space="preserve"> </w:t>
      </w:r>
      <w:r>
        <w:t xml:space="preserve">49 (S1): S20–45.</w:t>
      </w:r>
    </w:p>
    <w:bookmarkEnd w:id="94"/>
    <w:bookmarkStart w:id="95" w:name="ref-sobotka2011"/>
    <w:p>
      <w:pPr>
        <w:pStyle w:val="Bibliography"/>
      </w:pPr>
      <w:r>
        <w:t xml:space="preserve">Sobotka, Tomáš, Vegard Skirbekk, and Dimiter Philipov. 2011.</w:t>
      </w:r>
      <w:r>
        <w:t xml:space="preserve"> </w:t>
      </w:r>
      <w:r>
        <w:t xml:space="preserve">“Economic Recession and Fertility in the Developed World.”</w:t>
      </w:r>
      <w:r>
        <w:t xml:space="preserve"> </w:t>
      </w:r>
      <w:r>
        <w:rPr>
          <w:i/>
          <w:iCs/>
        </w:rPr>
        <w:t xml:space="preserve">Population and Development Review</w:t>
      </w:r>
      <w:r>
        <w:t xml:space="preserve"> </w:t>
      </w:r>
      <w:r>
        <w:t xml:space="preserve">37 (2): 267–306.</w:t>
      </w:r>
    </w:p>
    <w:bookmarkEnd w:id="95"/>
    <w:bookmarkStart w:id="97" w:name="ref-tanskanen2014grandparental"/>
    <w:p>
      <w:pPr>
        <w:pStyle w:val="Bibliography"/>
      </w:pPr>
      <w:r>
        <w:t xml:space="preserve">Tanskanen, Antti O., and Anna Rotkirch. 2014.</w:t>
      </w:r>
      <w:r>
        <w:t xml:space="preserve"> </w:t>
      </w:r>
      <w:r>
        <w:t xml:space="preserve">“The Impact of Grandparental Investment on Mothers’ Fertility Intentions in Four</w:t>
      </w:r>
      <w:r>
        <w:t xml:space="preserve"> </w:t>
      </w:r>
      <w:r>
        <w:t xml:space="preserve">European</w:t>
      </w:r>
      <w:r>
        <w:t xml:space="preserve"> </w:t>
      </w:r>
      <w:r>
        <w:t xml:space="preserve">Countries.”</w:t>
      </w:r>
      <w:r>
        <w:t xml:space="preserve"> </w:t>
      </w:r>
      <w:r>
        <w:rPr>
          <w:i/>
          <w:iCs/>
        </w:rPr>
        <w:t xml:space="preserve">Demographic Research</w:t>
      </w:r>
      <w:r>
        <w:t xml:space="preserve"> </w:t>
      </w:r>
      <w:r>
        <w:t xml:space="preserve">31 (1): 1–26.</w:t>
      </w:r>
      <w:r>
        <w:t xml:space="preserve"> </w:t>
      </w:r>
      <w:hyperlink r:id="rId96">
        <w:r>
          <w:rPr>
            <w:rStyle w:val="Hyperlink"/>
          </w:rPr>
          <w:t xml:space="preserve">https://doi.org/10.4054/DemRes.2014.31.1</w:t>
        </w:r>
      </w:hyperlink>
      <w:r>
        <w:t xml:space="preserve">.</w:t>
      </w:r>
    </w:p>
    <w:bookmarkEnd w:id="97"/>
    <w:bookmarkStart w:id="99" w:name="ref-wilson2001"/>
    <w:p>
      <w:pPr>
        <w:pStyle w:val="Bibliography"/>
      </w:pPr>
      <w:r>
        <w:t xml:space="preserve">Wilson, Chris. 2001.</w:t>
      </w:r>
      <w:r>
        <w:t xml:space="preserve"> </w:t>
      </w:r>
      <w:r>
        <w:t xml:space="preserve">“On the Scale of Global Demographic Convergence 1950–2000.”</w:t>
      </w:r>
      <w:r>
        <w:t xml:space="preserve"> </w:t>
      </w:r>
      <w:r>
        <w:rPr>
          <w:i/>
          <w:iCs/>
        </w:rPr>
        <w:t xml:space="preserve">Population and Development Review</w:t>
      </w:r>
      <w:r>
        <w:t xml:space="preserve"> </w:t>
      </w:r>
      <w:r>
        <w:t xml:space="preserve">27 (1): 155–71.</w:t>
      </w:r>
      <w:r>
        <w:t xml:space="preserve"> </w:t>
      </w:r>
      <w:hyperlink r:id="rId98">
        <w:r>
          <w:rPr>
            <w:rStyle w:val="Hyperlink"/>
          </w:rPr>
          <w:t xml:space="preserve">https://doi.org/10.1111/j.1728-4457.2001.00155.x</w:t>
        </w:r>
      </w:hyperlink>
      <w:r>
        <w:t xml:space="preserve">.</w:t>
      </w:r>
    </w:p>
    <w:bookmarkEnd w:id="99"/>
    <w:bookmarkStart w:id="101" w:name="ref-yoo2018"/>
    <w:p>
      <w:pPr>
        <w:pStyle w:val="Bibliography"/>
      </w:pPr>
      <w:r>
        <w:t xml:space="preserve">Yoo, Sam Hyun, and Tomáš Sobotka. 2018.</w:t>
      </w:r>
      <w:r>
        <w:t xml:space="preserve"> </w:t>
      </w:r>
      <w:r>
        <w:t xml:space="preserve">“Ultra-Low Fertility in</w:t>
      </w:r>
      <w:r>
        <w:t xml:space="preserve"> </w:t>
      </w:r>
      <w:r>
        <w:t xml:space="preserve">South Korea</w:t>
      </w:r>
      <w:r>
        <w:t xml:space="preserve">: The Role of the Tempo Effect.”</w:t>
      </w:r>
      <w:r>
        <w:t xml:space="preserve"> </w:t>
      </w:r>
      <w:r>
        <w:rPr>
          <w:i/>
          <w:iCs/>
        </w:rPr>
        <w:t xml:space="preserve">Demographic Research</w:t>
      </w:r>
      <w:r>
        <w:t xml:space="preserve"> </w:t>
      </w:r>
      <w:r>
        <w:t xml:space="preserve">38 (22): 549–76.</w:t>
      </w:r>
      <w:r>
        <w:t xml:space="preserve"> </w:t>
      </w:r>
      <w:hyperlink r:id="rId100">
        <w:r>
          <w:rPr>
            <w:rStyle w:val="Hyperlink"/>
          </w:rPr>
          <w:t xml:space="preserve">https://doi.org/10.4054/DemRes.2018.38.22</w:t>
        </w:r>
      </w:hyperlink>
      <w:r>
        <w:t xml:space="preserve">.</w:t>
      </w:r>
    </w:p>
    <w:bookmarkEnd w:id="101"/>
    <w:bookmarkStart w:id="103" w:name="ref-zeman2018"/>
    <w:p>
      <w:pPr>
        <w:pStyle w:val="Bibliography"/>
      </w:pPr>
      <w:r>
        <w:t xml:space="preserve">Zeman, Krystof, Éva Beaujouan, Zuzanna Brzozowska, and Tomáš Sobotka. 2018.</w:t>
      </w:r>
      <w:r>
        <w:t xml:space="preserve"> </w:t>
      </w:r>
      <w:r>
        <w:t xml:space="preserve">“Cohort Fertility Decline in Low Fertility Countries: Decomposition Using Parity Progression Ratios.”</w:t>
      </w:r>
      <w:r>
        <w:t xml:space="preserve"> </w:t>
      </w:r>
      <w:r>
        <w:rPr>
          <w:i/>
          <w:iCs/>
        </w:rPr>
        <w:t xml:space="preserve">Demographic Research</w:t>
      </w:r>
      <w:r>
        <w:t xml:space="preserve"> </w:t>
      </w:r>
      <w:r>
        <w:t xml:space="preserve">38 (25): 651–90.</w:t>
      </w:r>
      <w:r>
        <w:t xml:space="preserve"> </w:t>
      </w:r>
      <w:hyperlink r:id="rId102">
        <w:r>
          <w:rPr>
            <w:rStyle w:val="Hyperlink"/>
          </w:rPr>
          <w:t xml:space="preserve">https://doi.org/10.4054/DemRes.2018.38.25</w:t>
        </w:r>
      </w:hyperlink>
      <w:r>
        <w:t xml:space="preserve">.</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666666" w:space="0" w:sz="4" w:val="single"/>
        <w:bottom w:color="666666" w:space="0" w:sz="4" w:val="single"/>
        <w:insideH w:color="666666"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hyperlink" Id="rId56" Target="https://doi.org/10.1007/s10680-012-9273-2" TargetMode="External" /><Relationship Type="http://schemas.openxmlformats.org/officeDocument/2006/relationships/hyperlink" Id="rId70" Target="https://doi.org/10.1007/s10680-020-09570-0" TargetMode="External" /><Relationship Type="http://schemas.openxmlformats.org/officeDocument/2006/relationships/hyperlink" Id="rId75" Target="https://doi.org/10.1073/pnas.95.3.1336" TargetMode="External" /><Relationship Type="http://schemas.openxmlformats.org/officeDocument/2006/relationships/hyperlink" Id="rId60" Target="https://doi.org/10.1080/00324728.2019.1584327" TargetMode="External" /><Relationship Type="http://schemas.openxmlformats.org/officeDocument/2006/relationships/hyperlink" Id="rId77" Target="https://doi.org/10.1080/00324728.2020.1750677" TargetMode="External" /><Relationship Type="http://schemas.openxmlformats.org/officeDocument/2006/relationships/hyperlink" Id="rId98" Target="https://doi.org/10.1111/j.1728-4457.2001.00155.x" TargetMode="External" /><Relationship Type="http://schemas.openxmlformats.org/officeDocument/2006/relationships/hyperlink" Id="rId72" Target="https://doi.org/10.1111/j.1728-4457.2008.00235.x" TargetMode="External" /><Relationship Type="http://schemas.openxmlformats.org/officeDocument/2006/relationships/hyperlink" Id="rId58" Target="https://doi.org/10.1111/padr.12334" TargetMode="External" /><Relationship Type="http://schemas.openxmlformats.org/officeDocument/2006/relationships/hyperlink" Id="rId80" Target="https://doi.org/10.1257/jep.36.1.151" TargetMode="External" /><Relationship Type="http://schemas.openxmlformats.org/officeDocument/2006/relationships/hyperlink" Id="rId68" Target="https://doi.org/10.17226/10228" TargetMode="External" /><Relationship Type="http://schemas.openxmlformats.org/officeDocument/2006/relationships/hyperlink" Id="rId62" Target="https://doi.org/10.2307/2137804" TargetMode="External" /><Relationship Type="http://schemas.openxmlformats.org/officeDocument/2006/relationships/hyperlink" Id="rId96" Target="https://doi.org/10.4054/DemRes.2014.31.1" TargetMode="External" /><Relationship Type="http://schemas.openxmlformats.org/officeDocument/2006/relationships/hyperlink" Id="rId64" Target="https://doi.org/10.4054/DemRes.2017.37.11" TargetMode="External" /><Relationship Type="http://schemas.openxmlformats.org/officeDocument/2006/relationships/hyperlink" Id="rId100" Target="https://doi.org/10.4054/DemRes.2018.38.22" TargetMode="External" /><Relationship Type="http://schemas.openxmlformats.org/officeDocument/2006/relationships/hyperlink" Id="rId102" Target="https://doi.org/10.4054/DemRes.2018.38.25" TargetMode="External" /><Relationship Type="http://schemas.openxmlformats.org/officeDocument/2006/relationships/hyperlink" Id="rId89" Target="https://doi.org/10.4054/DemRes.2020.42.23" TargetMode="External" /><Relationship Type="http://schemas.openxmlformats.org/officeDocument/2006/relationships/hyperlink" Id="rId13" Target="https://github.com/JonMinton/comparative_fertility" TargetMode="External" /><Relationship Type="http://schemas.openxmlformats.org/officeDocument/2006/relationships/hyperlink" Id="rId48" Target="https://osf.io/j3tbq" TargetMode="External" /><Relationship Type="http://schemas.openxmlformats.org/officeDocument/2006/relationships/hyperlink" Id="rId91" Target="https://ourworldindata.org/data-insights/fertility-rates-across-many-countries-have-converged-despite-starting-from-very-different-levels" TargetMode="External" /><Relationship Type="http://schemas.openxmlformats.org/officeDocument/2006/relationships/hyperlink" Id="rId83" Target="https://www.fertilitydata.org" TargetMode="External" /><Relationship Type="http://schemas.openxmlformats.org/officeDocument/2006/relationships/hyperlink" Id="rId66" Target="https://www.ft.com/content/fba35eca-df3a-4ad6-b42d-eb08eb7c9ad3" TargetMode="External" /><Relationship Type="http://schemas.openxmlformats.org/officeDocument/2006/relationships/hyperlink" Id="rId85" Target="https://www.humanfertility.org" TargetMode="External" /><Relationship Type="http://schemas.openxmlformats.org/officeDocument/2006/relationships/hyperlink" Id="rId9" Target="mailto:jon.will.minton@gmail.com"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07/s10680-012-9273-2" TargetMode="External" /><Relationship Type="http://schemas.openxmlformats.org/officeDocument/2006/relationships/hyperlink" Id="rId70" Target="https://doi.org/10.1007/s10680-020-09570-0" TargetMode="External" /><Relationship Type="http://schemas.openxmlformats.org/officeDocument/2006/relationships/hyperlink" Id="rId75" Target="https://doi.org/10.1073/pnas.95.3.1336" TargetMode="External" /><Relationship Type="http://schemas.openxmlformats.org/officeDocument/2006/relationships/hyperlink" Id="rId60" Target="https://doi.org/10.1080/00324728.2019.1584327" TargetMode="External" /><Relationship Type="http://schemas.openxmlformats.org/officeDocument/2006/relationships/hyperlink" Id="rId77" Target="https://doi.org/10.1080/00324728.2020.1750677" TargetMode="External" /><Relationship Type="http://schemas.openxmlformats.org/officeDocument/2006/relationships/hyperlink" Id="rId98" Target="https://doi.org/10.1111/j.1728-4457.2001.00155.x" TargetMode="External" /><Relationship Type="http://schemas.openxmlformats.org/officeDocument/2006/relationships/hyperlink" Id="rId72" Target="https://doi.org/10.1111/j.1728-4457.2008.00235.x" TargetMode="External" /><Relationship Type="http://schemas.openxmlformats.org/officeDocument/2006/relationships/hyperlink" Id="rId58" Target="https://doi.org/10.1111/padr.12334" TargetMode="External" /><Relationship Type="http://schemas.openxmlformats.org/officeDocument/2006/relationships/hyperlink" Id="rId80" Target="https://doi.org/10.1257/jep.36.1.151" TargetMode="External" /><Relationship Type="http://schemas.openxmlformats.org/officeDocument/2006/relationships/hyperlink" Id="rId68" Target="https://doi.org/10.17226/10228" TargetMode="External" /><Relationship Type="http://schemas.openxmlformats.org/officeDocument/2006/relationships/hyperlink" Id="rId62" Target="https://doi.org/10.2307/2137804" TargetMode="External" /><Relationship Type="http://schemas.openxmlformats.org/officeDocument/2006/relationships/hyperlink" Id="rId96" Target="https://doi.org/10.4054/DemRes.2014.31.1" TargetMode="External" /><Relationship Type="http://schemas.openxmlformats.org/officeDocument/2006/relationships/hyperlink" Id="rId64" Target="https://doi.org/10.4054/DemRes.2017.37.11" TargetMode="External" /><Relationship Type="http://schemas.openxmlformats.org/officeDocument/2006/relationships/hyperlink" Id="rId100" Target="https://doi.org/10.4054/DemRes.2018.38.22" TargetMode="External" /><Relationship Type="http://schemas.openxmlformats.org/officeDocument/2006/relationships/hyperlink" Id="rId102" Target="https://doi.org/10.4054/DemRes.2018.38.25" TargetMode="External" /><Relationship Type="http://schemas.openxmlformats.org/officeDocument/2006/relationships/hyperlink" Id="rId89" Target="https://doi.org/10.4054/DemRes.2020.42.23" TargetMode="External" /><Relationship Type="http://schemas.openxmlformats.org/officeDocument/2006/relationships/hyperlink" Id="rId13" Target="https://github.com/JonMinton/comparative_fertility" TargetMode="External" /><Relationship Type="http://schemas.openxmlformats.org/officeDocument/2006/relationships/hyperlink" Id="rId48" Target="https://osf.io/j3tbq" TargetMode="External" /><Relationship Type="http://schemas.openxmlformats.org/officeDocument/2006/relationships/hyperlink" Id="rId91" Target="https://ourworldindata.org/data-insights/fertility-rates-across-many-countries-have-converged-despite-starting-from-very-different-levels" TargetMode="External" /><Relationship Type="http://schemas.openxmlformats.org/officeDocument/2006/relationships/hyperlink" Id="rId83" Target="https://www.fertilitydata.org" TargetMode="External" /><Relationship Type="http://schemas.openxmlformats.org/officeDocument/2006/relationships/hyperlink" Id="rId66" Target="https://www.ft.com/content/fba35eca-df3a-4ad6-b42d-eb08eb7c9ad3" TargetMode="External" /><Relationship Type="http://schemas.openxmlformats.org/officeDocument/2006/relationships/hyperlink" Id="rId85" Target="https://www.humanfertility.org" TargetMode="External" /><Relationship Type="http://schemas.openxmlformats.org/officeDocument/2006/relationships/hyperlink" Id="rId9" Target="mailto:jon.will.mint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out of runway: fertility trends for 45 countries revisited</dc:title>
  <dc:creator>Jon Minton</dc:creator>
  <cp:keywords/>
  <dcterms:created xsi:type="dcterms:W3CDTF">2026-07-19T14:29:09Z</dcterms:created>
  <dcterms:modified xsi:type="dcterms:W3CDTF">2026-07-19T14:29:09Z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 Fertility decline in high-income countries has drawn renewed attention, with widely read accounts documenting steepening, converging declines in total fertility rates (TFRs) since the late 2000s. TFRs, however, discard the age structure on which explanations of the decline differ. A 2020 paper by Pattaro, Vanderbloemen and Minton visualized that structure directly, as composite fertility lattice plots for 45 countries, and - unusually for a descriptive piece - published qualitative forecasts for its two replacement-level exceptions, Norway and the United States. OBJECTIVE - To update the 45-country panel to 2023-25; to check the 2020 forecasts against the accumulated data; and to formalize two features readable on the surfaces - the age and amount of peak fertility (AAPF) and the age of no return (ANR) - that together describe the narrowing space within which cohorts can now reach replacement. METHODS - The published combination rules and visual specification are reapplied to the 2026 HFD/HFC releases (1850-2025); the 2020-vintage data are frozen at a public repository tag for exact comparison. The AAPF is the ridge of the fertility surface (the modal age of the schedule and the rate at that age); the ANR is the highest age at which the ASFR reaches 1/200, a threshold fixed ex ante with sensitivity checks. RESULTS - Both 2020 forecasts were qualitatively correct but quantitatively optimistic. Norway lost replacement not gradually but immediately: no cohort born after 1971 reaches replacement at any observed age. The United States sustained replacement through the 1984 cohort, but at crossing ages of 39-40 rather than the extrapolated 37. Across the panel, the AAPF rose from a median age of 24 (1950s-70s) to 31 (2020s) while nearly halving in level, and the ANR fell from 45 to 41 before recovering only to 43: the usable runway between peak childbearing and its effective end has narrowed from twenty years to twelve. CONCLUSIONS - Cohorts are reaching maximum fertility speed later, at lower speed, on a shorter runway. This age-structure account explains, in higher resolution, the TFR-level convergence now attracting attention, and the successful direction of the 2020 forecasts shows that reading fertility surfaces can support legitimate medium-term expectations - while their shared optimism shows exactly where informal extrapolation needs formal help. CONTRIBUTION - An updated 45-country fertility surface panel; a resolved test of published visual extrapolations; and two simple, formally defined summaries (AAPF, ANR) that distil the surfaces into a single readable chart of the squeeze.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2026-07-19</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MERGED DRAFT v0.2 (2026-07-19) - sole-authored working paper; comments welcome</vt:lpwstr>
  </property>
  <property fmtid="{D5CDD505-2E9C-101B-9397-08002B2CF9AE}" pid="16" name="toc-title">
    <vt:lpwstr>Table of contents</vt:lpwstr>
  </property>
</Properties>
</file>