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D1150" w14:textId="77777777" w:rsidR="004578B7" w:rsidRDefault="004578B7" w:rsidP="004578B7">
      <w:pPr>
        <w:pStyle w:val="Heading1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25B6E">
        <w:rPr>
          <w:rFonts w:ascii="Times New Roman" w:hAnsi="Times New Roman" w:cs="Times New Roman"/>
          <w:b/>
          <w:sz w:val="24"/>
          <w:szCs w:val="24"/>
        </w:rPr>
        <w:t xml:space="preserve">Appendices </w:t>
      </w:r>
    </w:p>
    <w:p w14:paraId="31F3BCE3" w14:textId="6EA2140C" w:rsidR="002B771B" w:rsidRDefault="002B771B" w:rsidP="002B771B">
      <w:pPr>
        <w:jc w:val="right"/>
      </w:pPr>
      <w:r>
        <w:t>10 October 2016</w:t>
      </w:r>
    </w:p>
    <w:p w14:paraId="5AE80A6B" w14:textId="77777777" w:rsidR="002B771B" w:rsidRPr="002B771B" w:rsidRDefault="002B771B" w:rsidP="002B771B">
      <w:pPr>
        <w:jc w:val="right"/>
      </w:pPr>
    </w:p>
    <w:p w14:paraId="262A791F" w14:textId="781236B0" w:rsidR="00C859C2" w:rsidRPr="00525B6E" w:rsidRDefault="00C859C2" w:rsidP="00C859C2">
      <w:p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>This section provides a series of supplementary material for the article, “An Unprecedented Demographic Transition: Tens of Thousands of Additional Deaths among the Elderly in England and Wales, 2010-2015”. The structure of the appendix is as follows</w:t>
      </w:r>
    </w:p>
    <w:p w14:paraId="128449DC" w14:textId="530C99ED" w:rsidR="00C859C2" w:rsidRPr="00525B6E" w:rsidRDefault="00C859C2" w:rsidP="00C85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>Appendix A: Supplementary figures</w:t>
      </w:r>
    </w:p>
    <w:p w14:paraId="6DC8FFDC" w14:textId="34D26ECF" w:rsidR="00C859C2" w:rsidRPr="00525B6E" w:rsidRDefault="00C859C2" w:rsidP="00C85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>Appendix B: More detailed description of modelling approach</w:t>
      </w:r>
    </w:p>
    <w:p w14:paraId="11EFBA80" w14:textId="5F3CA3B5" w:rsidR="00C859C2" w:rsidRPr="00525B6E" w:rsidRDefault="00C859C2" w:rsidP="00C85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 xml:space="preserve">Appendix C: Alternative model specification and results </w:t>
      </w:r>
    </w:p>
    <w:p w14:paraId="07F1B86B" w14:textId="0FB48758" w:rsidR="00C859C2" w:rsidRPr="00525B6E" w:rsidRDefault="00C859C2" w:rsidP="00C85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 xml:space="preserve">Appendix D: Description and link to R code </w:t>
      </w:r>
    </w:p>
    <w:p w14:paraId="3461317E" w14:textId="77777777" w:rsidR="00C859C2" w:rsidRPr="00525B6E" w:rsidRDefault="00C859C2" w:rsidP="00C859C2">
      <w:pPr>
        <w:rPr>
          <w:rFonts w:ascii="Times New Roman" w:hAnsi="Times New Roman" w:cs="Times New Roman"/>
        </w:rPr>
      </w:pPr>
    </w:p>
    <w:p w14:paraId="0612FEB8" w14:textId="2E203F55" w:rsidR="00C859C2" w:rsidRPr="00525B6E" w:rsidRDefault="00C859C2" w:rsidP="00C859C2">
      <w:pPr>
        <w:rPr>
          <w:rFonts w:ascii="Times New Roman" w:hAnsi="Times New Roman" w:cs="Times New Roman"/>
        </w:rPr>
      </w:pPr>
    </w:p>
    <w:p w14:paraId="05FB0809" w14:textId="77777777" w:rsidR="00C859C2" w:rsidRPr="00525B6E" w:rsidRDefault="00C859C2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525B6E">
        <w:rPr>
          <w:rFonts w:ascii="Times New Roman" w:hAnsi="Times New Roman" w:cs="Times New Roman"/>
        </w:rPr>
        <w:br w:type="page"/>
      </w:r>
    </w:p>
    <w:p w14:paraId="2A4DE9C1" w14:textId="603FADCA" w:rsidR="004578B7" w:rsidRPr="00525B6E" w:rsidRDefault="004578B7" w:rsidP="004578B7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25B6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Appendix </w:t>
      </w:r>
      <w:r w:rsidRPr="00525B6E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A</w:t>
      </w:r>
      <w:r w:rsidRPr="00525B6E">
        <w:rPr>
          <w:rFonts w:ascii="Times New Roman" w:hAnsi="Times New Roman" w:cs="Times New Roman"/>
          <w:b/>
          <w:color w:val="auto"/>
          <w:sz w:val="24"/>
          <w:szCs w:val="24"/>
        </w:rPr>
        <w:t>: Supplementary figures</w:t>
      </w:r>
    </w:p>
    <w:p w14:paraId="0A0D53BB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</w:rPr>
        <w:t xml:space="preserve">The following figure shows the projected and observed mortality risk in infancy (age 0), 15, 25, 35 and 45 years. </w:t>
      </w:r>
    </w:p>
    <w:p w14:paraId="67E28961" w14:textId="77777777" w:rsidR="00525B6E" w:rsidRPr="00525B6E" w:rsidRDefault="004578B7" w:rsidP="00525B6E">
      <w:pPr>
        <w:keepNext/>
        <w:spacing w:line="480" w:lineRule="auto"/>
        <w:rPr>
          <w:rFonts w:ascii="Times New Roman" w:hAnsi="Times New Roman" w:cs="Times New Roman"/>
        </w:rPr>
      </w:pPr>
      <w:r w:rsidRPr="00525B6E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A6E7064" wp14:editId="29DA9DEC">
            <wp:extent cx="5722620" cy="5722620"/>
            <wp:effectExtent l="0" t="0" r="0" b="0"/>
            <wp:docPr id="8" name="Picture 8" descr="E:\repos\danny_elderly_mort\figures\banded_plot_you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epos\danny_elderly_mort\figures\banded_plot_young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E368" w14:textId="2578BC64" w:rsidR="004578B7" w:rsidRPr="00525B6E" w:rsidRDefault="00525B6E" w:rsidP="00525B6E">
      <w:pPr>
        <w:pStyle w:val="Caption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t xml:space="preserve">Figure </w:t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Figure \* ARABIC </w:instrText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2B771B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525B6E">
        <w:rPr>
          <w:rFonts w:ascii="Times New Roman" w:hAnsi="Times New Roman" w:cs="Times New Roman"/>
          <w:b/>
          <w:i w:val="0"/>
          <w:color w:val="auto"/>
          <w:sz w:val="20"/>
        </w:rPr>
        <w:t xml:space="preserve"> [Colour Online] Trends in age-specific mortality risks at ages 0, 15, 25, 35 and 45 years. Males and females separately. A) Log10 scale. B) Identity scale.</w:t>
      </w:r>
    </w:p>
    <w:p w14:paraId="5B22CFF1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</w:p>
    <w:p w14:paraId="61902DC3" w14:textId="77777777" w:rsidR="004578B7" w:rsidRPr="00525B6E" w:rsidRDefault="004578B7" w:rsidP="004578B7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25B6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Appendix B: Modelling approach</w:t>
      </w:r>
    </w:p>
    <w:p w14:paraId="73386A2D" w14:textId="77777777" w:rsidR="004578B7" w:rsidRPr="00525B6E" w:rsidRDefault="004578B7" w:rsidP="004578B7">
      <w:pPr>
        <w:pStyle w:val="Heading3"/>
        <w:spacing w:line="48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525B6E">
        <w:rPr>
          <w:rFonts w:ascii="Times New Roman" w:hAnsi="Times New Roman" w:cs="Times New Roman"/>
          <w:b/>
          <w:color w:val="auto"/>
          <w:sz w:val="20"/>
          <w:szCs w:val="20"/>
        </w:rPr>
        <w:t>Model</w:t>
      </w:r>
    </w:p>
    <w:p w14:paraId="564E4678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>For each sex, and for each age in single years, a, from birth to 95 years old, a separate linear regression model was fit with the following specification: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4578B7" w:rsidRPr="00525B6E" w14:paraId="59733A27" w14:textId="77777777" w:rsidTr="00C859C2">
        <w:tc>
          <w:tcPr>
            <w:tcW w:w="8505" w:type="dxa"/>
          </w:tcPr>
          <w:p w14:paraId="13F248D5" w14:textId="77777777" w:rsidR="004578B7" w:rsidRPr="00525B6E" w:rsidRDefault="00E12095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t, a, s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L+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Lt+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4,a,s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R+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5,a,s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Rt+ ϵ</m:t>
                </m:r>
              </m:oMath>
            </m:oMathPara>
          </w:p>
        </w:tc>
        <w:tc>
          <w:tcPr>
            <w:tcW w:w="511" w:type="dxa"/>
          </w:tcPr>
          <w:p w14:paraId="50E0C1AF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25B6E">
              <w:rPr>
                <w:rFonts w:ascii="Times New Roman" w:hAnsi="Times New Roman" w:cs="Times New Roman"/>
              </w:rPr>
              <w:t>(1)</w:t>
            </w:r>
          </w:p>
        </w:tc>
      </w:tr>
    </w:tbl>
    <w:p w14:paraId="348AD35E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</w:p>
    <w:p w14:paraId="4CDB97E3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</w:rPr>
              <m:t>t, a, s</m:t>
            </m:r>
          </m:sub>
        </m:sSub>
      </m:oMath>
      <w:r w:rsidRPr="00525B6E">
        <w:rPr>
          <w:rFonts w:ascii="Times New Roman" w:eastAsiaTheme="minorEastAsia" w:hAnsi="Times New Roman" w:cs="Times New Roman"/>
          <w:sz w:val="20"/>
        </w:rPr>
        <w:t xml:space="preserve"> is the mortality rate (death count divided by population count) in year t, at age a, and for sex s; </w:t>
      </w:r>
      <w:r w:rsidRPr="00525B6E">
        <w:rPr>
          <w:rFonts w:ascii="Times New Roman" w:hAnsi="Times New Roman" w:cs="Times New Roman"/>
          <w:sz w:val="20"/>
        </w:rPr>
        <w:t xml:space="preserve">t is year; L is a dummy variable indicating the years, 1997 to 2010, in which New Labour were in government; R is a dummy variable indicating 2008 and 2009, the years in which the UK economy entered a recession as a result of the GFC, and </w:t>
      </w:r>
      <m:oMath>
        <m:r>
          <w:rPr>
            <w:rFonts w:ascii="Cambria Math" w:hAnsi="Cambria Math" w:cs="Times New Roman"/>
            <w:sz w:val="20"/>
          </w:rPr>
          <m:t>ϵ</m:t>
        </m:r>
      </m:oMath>
      <w:r w:rsidRPr="00525B6E">
        <w:rPr>
          <w:rFonts w:ascii="Times New Roman" w:hAnsi="Times New Roman" w:cs="Times New Roman"/>
          <w:sz w:val="20"/>
        </w:rPr>
        <w:t xml:space="preserve"> is an error term. The R term is included to capture any additional short-term changes in mortality rates to be captured in a separate term rather than influence </w:t>
      </w:r>
      <w:r w:rsidRPr="00525B6E">
        <w:rPr>
          <w:rFonts w:ascii="Times New Roman" w:eastAsiaTheme="minorEastAsia" w:hAnsi="Times New Roman" w:cs="Times New Roman"/>
          <w:sz w:val="20"/>
        </w:rPr>
        <w:t xml:space="preserve">the coefficients including New Labour years,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</m:oMath>
      <w:r w:rsidRPr="00525B6E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525B6E">
        <w:rPr>
          <w:rFonts w:ascii="Times New Roman" w:hAnsi="Times New Roman" w:cs="Times New Roman"/>
          <w:sz w:val="20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</w:rPr>
              <m:t>3</m:t>
            </m:r>
          </m:sub>
        </m:sSub>
      </m:oMath>
      <w:r w:rsidRPr="00525B6E">
        <w:rPr>
          <w:rFonts w:ascii="Times New Roman" w:eastAsiaTheme="minorEastAsia" w:hAnsi="Times New Roman" w:cs="Times New Roman"/>
          <w:sz w:val="20"/>
        </w:rPr>
        <w:t xml:space="preserve">. </w:t>
      </w:r>
      <w:r w:rsidRPr="00525B6E">
        <w:rPr>
          <w:rFonts w:ascii="Times New Roman" w:hAnsi="Times New Roman" w:cs="Times New Roman"/>
          <w:sz w:val="20"/>
        </w:rPr>
        <w:t xml:space="preserve">The use of interaction terms Lt and </w:t>
      </w:r>
      <w:proofErr w:type="spellStart"/>
      <w:proofErr w:type="gramStart"/>
      <w:r w:rsidRPr="00525B6E">
        <w:rPr>
          <w:rFonts w:ascii="Times New Roman" w:hAnsi="Times New Roman" w:cs="Times New Roman"/>
          <w:sz w:val="20"/>
        </w:rPr>
        <w:t>Rt</w:t>
      </w:r>
      <w:proofErr w:type="spellEnd"/>
      <w:proofErr w:type="gramEnd"/>
      <w:r w:rsidRPr="00525B6E">
        <w:rPr>
          <w:rFonts w:ascii="Times New Roman" w:hAnsi="Times New Roman" w:cs="Times New Roman"/>
          <w:sz w:val="20"/>
        </w:rPr>
        <w:t xml:space="preserve"> allowed for the gradients of change in log mortality rates over time to be different over the New Labour and GFC recession periods. </w:t>
      </w:r>
    </w:p>
    <w:p w14:paraId="1F5EB808" w14:textId="77777777" w:rsidR="004578B7" w:rsidRPr="00525B6E" w:rsidRDefault="004578B7" w:rsidP="004578B7">
      <w:pPr>
        <w:spacing w:line="480" w:lineRule="auto"/>
        <w:rPr>
          <w:rFonts w:ascii="Times New Roman" w:eastAsiaTheme="minorEastAsia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The above model specification was fit to ONS data for each year from 1990 to 2010 inclusive. </w:t>
      </w:r>
      <w:proofErr w:type="gramStart"/>
      <w:r w:rsidRPr="00525B6E">
        <w:rPr>
          <w:rFonts w:ascii="Times New Roman" w:hAnsi="Times New Roman" w:cs="Times New Roman"/>
          <w:sz w:val="20"/>
        </w:rPr>
        <w:t xml:space="preserve">Redefining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</w:rPr>
              <m:t xml:space="preserve">t,a,s 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t, a, s</m:t>
                    </m:r>
                  </m:sub>
                </m:sSub>
              </m:e>
            </m:d>
          </m:e>
        </m:func>
      </m:oMath>
      <w:r w:rsidRPr="00525B6E">
        <w:rPr>
          <w:rFonts w:ascii="Times New Roman" w:eastAsiaTheme="minorEastAsia" w:hAnsi="Times New Roman" w:cs="Times New Roman"/>
          <w:sz w:val="20"/>
        </w:rPr>
        <w:t xml:space="preserve">, projected log mortality rates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a,s, t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sub>
        </m:sSub>
      </m:oMath>
      <w:r w:rsidRPr="00525B6E">
        <w:rPr>
          <w:rFonts w:ascii="Times New Roman" w:eastAsiaTheme="minorEastAsia" w:hAnsi="Times New Roman" w:cs="Times New Roman"/>
          <w:sz w:val="20"/>
        </w:rPr>
        <w:t>were calculated for years 2011 to 2015 inclusive by setting t to these year values and L to 1, i.e.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4578B7" w:rsidRPr="00525B6E" w14:paraId="1F0476AE" w14:textId="77777777" w:rsidTr="00C859C2">
        <w:tc>
          <w:tcPr>
            <w:tcW w:w="8505" w:type="dxa"/>
          </w:tcPr>
          <w:p w14:paraId="0FC6D936" w14:textId="77777777" w:rsidR="004578B7" w:rsidRPr="00525B6E" w:rsidRDefault="00E12095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t,a, 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0, a,s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3, a,s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)t </m:t>
                </m:r>
              </m:oMath>
            </m:oMathPara>
          </w:p>
        </w:tc>
        <w:tc>
          <w:tcPr>
            <w:tcW w:w="511" w:type="dxa"/>
          </w:tcPr>
          <w:p w14:paraId="5A8798F9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25B6E">
              <w:rPr>
                <w:rFonts w:ascii="Times New Roman" w:hAnsi="Times New Roman" w:cs="Times New Roman"/>
              </w:rPr>
              <w:t>(2)</w:t>
            </w:r>
          </w:p>
        </w:tc>
      </w:tr>
    </w:tbl>
    <w:p w14:paraId="6A5C58CE" w14:textId="77777777" w:rsidR="004578B7" w:rsidRPr="00525B6E" w:rsidRDefault="004578B7" w:rsidP="004578B7">
      <w:pPr>
        <w:spacing w:line="480" w:lineRule="auto"/>
        <w:rPr>
          <w:rFonts w:ascii="Times New Roman" w:eastAsiaTheme="minorEastAsia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Predicted numbers of deaths at each age, for each sex, and in each year from 2011 to 2015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</w:rPr>
              <m:t>t,a, s</m:t>
            </m:r>
          </m:sub>
          <m:sup>
            <m:r>
              <w:rPr>
                <w:rFonts w:ascii="Cambria Math" w:hAnsi="Cambria Math" w:cs="Times New Roman"/>
                <w:sz w:val="20"/>
              </w:rPr>
              <m:t>*</m:t>
            </m:r>
          </m:sup>
        </m:sSubSup>
      </m:oMath>
      <w:r w:rsidRPr="00525B6E">
        <w:rPr>
          <w:rFonts w:ascii="Times New Roman" w:eastAsiaTheme="minorEastAsia" w:hAnsi="Times New Roman" w:cs="Times New Roman"/>
          <w:sz w:val="20"/>
        </w:rPr>
        <w:t xml:space="preserve"> </w:t>
      </w:r>
      <w:r w:rsidRPr="00525B6E">
        <w:rPr>
          <w:rFonts w:ascii="Times New Roman" w:hAnsi="Times New Roman" w:cs="Times New Roman"/>
          <w:sz w:val="20"/>
        </w:rPr>
        <w:t xml:space="preserve"> were therefore calculated by multiplying the relevant age-year-sex specific population counts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t,a,s</m:t>
            </m:r>
          </m:sub>
        </m:sSub>
      </m:oMath>
      <w:r w:rsidRPr="00525B6E">
        <w:rPr>
          <w:rFonts w:ascii="Times New Roman" w:eastAsiaTheme="minorEastAsia" w:hAnsi="Times New Roman" w:cs="Times New Roman"/>
          <w:sz w:val="20"/>
        </w:rPr>
        <w:t xml:space="preserve"> by the requisite projected mortality rates, i.e.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4578B7" w:rsidRPr="00525B6E" w14:paraId="4F9B12F0" w14:textId="77777777" w:rsidTr="00C859C2">
        <w:tc>
          <w:tcPr>
            <w:tcW w:w="8505" w:type="dxa"/>
          </w:tcPr>
          <w:p w14:paraId="73C7BE3C" w14:textId="77777777" w:rsidR="004578B7" w:rsidRPr="00525B6E" w:rsidRDefault="00E12095" w:rsidP="00C859C2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t,a, 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t,a,s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t,a, 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</m:sup>
                </m:sSup>
              </m:oMath>
            </m:oMathPara>
          </w:p>
          <w:p w14:paraId="50D9F71C" w14:textId="77777777" w:rsidR="004578B7" w:rsidRPr="00525B6E" w:rsidRDefault="004578B7" w:rsidP="00C859C2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</w:p>
          <w:p w14:paraId="54E9DBFD" w14:textId="77777777" w:rsidR="004578B7" w:rsidRPr="00525B6E" w:rsidRDefault="004578B7" w:rsidP="00C859C2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 w:rsidRPr="00525B6E">
              <w:rPr>
                <w:rFonts w:ascii="Times New Roman" w:eastAsiaTheme="minorEastAsia" w:hAnsi="Times New Roman" w:cs="Times New Roman"/>
                <w:sz w:val="20"/>
              </w:rPr>
              <w:t>or equivalently</w:t>
            </w:r>
          </w:p>
          <w:p w14:paraId="2AA96B8D" w14:textId="77777777" w:rsidR="004578B7" w:rsidRPr="00525B6E" w:rsidRDefault="004578B7" w:rsidP="00C859C2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408FD69E" w14:textId="77777777" w:rsidR="004578B7" w:rsidRPr="00525B6E" w:rsidRDefault="00E12095" w:rsidP="00C859C2">
            <w:pPr>
              <w:spacing w:line="480" w:lineRule="auto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t,a, 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t,a,s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t, a, s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11" w:type="dxa"/>
          </w:tcPr>
          <w:p w14:paraId="69292F6E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6C0D8C77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ED29495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25B6E">
              <w:rPr>
                <w:rFonts w:ascii="Times New Roman" w:hAnsi="Times New Roman" w:cs="Times New Roman"/>
              </w:rPr>
              <w:t>(3)</w:t>
            </w:r>
          </w:p>
        </w:tc>
      </w:tr>
    </w:tbl>
    <w:p w14:paraId="0B324FDE" w14:textId="77777777" w:rsidR="004578B7" w:rsidRPr="00525B6E" w:rsidRDefault="004578B7" w:rsidP="004578B7">
      <w:pPr>
        <w:spacing w:line="480" w:lineRule="auto"/>
        <w:rPr>
          <w:rFonts w:ascii="Times New Roman" w:eastAsiaTheme="minorEastAsia" w:hAnsi="Times New Roman" w:cs="Times New Roman"/>
          <w:sz w:val="20"/>
        </w:rPr>
      </w:pPr>
      <w:r w:rsidRPr="00525B6E">
        <w:rPr>
          <w:rFonts w:ascii="Times New Roman" w:eastAsiaTheme="minorEastAsia" w:hAnsi="Times New Roman" w:cs="Times New Roman"/>
          <w:sz w:val="20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</w:rPr>
              <m:t>t, a, s</m:t>
            </m:r>
          </m:sub>
          <m:sup>
            <m:r>
              <w:rPr>
                <w:rFonts w:ascii="Cambria Math" w:hAnsi="Cambria Math" w:cs="Times New Roman"/>
                <w:sz w:val="20"/>
              </w:rPr>
              <m:t>*</m:t>
            </m:r>
          </m:sup>
        </m:sSubSup>
      </m:oMath>
      <w:r w:rsidRPr="00525B6E">
        <w:rPr>
          <w:rFonts w:ascii="Times New Roman" w:eastAsiaTheme="minorEastAsia" w:hAnsi="Times New Roman" w:cs="Times New Roman"/>
          <w:sz w:val="20"/>
        </w:rPr>
        <w:t xml:space="preserve"> is the projected mortality rate rather than log rate. </w:t>
      </w:r>
    </w:p>
    <w:p w14:paraId="242EA07D" w14:textId="77777777" w:rsidR="004578B7" w:rsidRPr="00525B6E" w:rsidRDefault="004578B7" w:rsidP="004578B7">
      <w:pPr>
        <w:spacing w:line="480" w:lineRule="auto"/>
        <w:rPr>
          <w:rFonts w:ascii="Times New Roman" w:eastAsiaTheme="minorEastAsia" w:hAnsi="Times New Roman" w:cs="Times New Roman"/>
          <w:sz w:val="20"/>
        </w:rPr>
      </w:pPr>
      <w:r w:rsidRPr="00525B6E">
        <w:rPr>
          <w:rFonts w:ascii="Times New Roman" w:eastAsiaTheme="minorEastAsia" w:hAnsi="Times New Roman" w:cs="Times New Roman"/>
          <w:sz w:val="20"/>
        </w:rPr>
        <w:lastRenderedPageBreak/>
        <w:t xml:space="preserve">The age-sex specific differences in deaths are </w:t>
      </w:r>
      <w:proofErr w:type="gramStart"/>
      <w:r w:rsidRPr="00525B6E">
        <w:rPr>
          <w:rFonts w:ascii="Times New Roman" w:eastAsiaTheme="minorEastAsia" w:hAnsi="Times New Roman" w:cs="Times New Roman"/>
          <w:sz w:val="20"/>
        </w:rPr>
        <w:t xml:space="preserve">therefore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t,a,s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t,a,s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</w:rPr>
              <m:t>t,a, s</m:t>
            </m:r>
          </m:sub>
          <m:sup>
            <m:r>
              <w:rPr>
                <w:rFonts w:ascii="Cambria Math" w:hAnsi="Cambria Math" w:cs="Times New Roman"/>
                <w:sz w:val="20"/>
              </w:rPr>
              <m:t>*</m:t>
            </m:r>
          </m:sup>
        </m:sSubSup>
      </m:oMath>
      <w:r w:rsidRPr="00525B6E">
        <w:rPr>
          <w:rFonts w:ascii="Times New Roman" w:eastAsiaTheme="minorEastAsia" w:hAnsi="Times New Roman" w:cs="Times New Roman"/>
          <w:sz w:val="20"/>
        </w:rPr>
        <w:t xml:space="preserve">, and the total difference in deaths by age A, shown in figures xxx,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t,A,s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</w:rPr>
              <m:t>a=0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t,a,s</m:t>
                </m:r>
              </m:sub>
            </m:sSub>
          </m:e>
        </m:nary>
      </m:oMath>
      <w:r w:rsidRPr="00525B6E">
        <w:rPr>
          <w:rFonts w:ascii="Times New Roman" w:eastAsiaTheme="minorEastAsia" w:hAnsi="Times New Roman" w:cs="Times New Roman"/>
          <w:sz w:val="20"/>
        </w:rPr>
        <w:t>.</w:t>
      </w:r>
    </w:p>
    <w:p w14:paraId="2BCF8EAA" w14:textId="77777777" w:rsidR="004578B7" w:rsidRPr="00525B6E" w:rsidRDefault="004578B7" w:rsidP="004578B7">
      <w:pPr>
        <w:pStyle w:val="Heading3"/>
        <w:spacing w:line="48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525B6E">
        <w:rPr>
          <w:rFonts w:ascii="Times New Roman" w:hAnsi="Times New Roman" w:cs="Times New Roman"/>
          <w:b/>
          <w:color w:val="auto"/>
          <w:sz w:val="20"/>
          <w:szCs w:val="20"/>
        </w:rPr>
        <w:t>Summary of regression coefficients for different ages in standard model</w:t>
      </w:r>
    </w:p>
    <w:p w14:paraId="54A0CC86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The following figure shows the regression coefficients for each of the age-specific models produced. The bands show 1.96 standard deviations above and below the central parameter estimates indicated by the line. GFC: Global Financial Crisis; NL: New Labour. </w:t>
      </w:r>
    </w:p>
    <w:p w14:paraId="37D3166F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</w:p>
    <w:p w14:paraId="73964967" w14:textId="77777777" w:rsidR="00525B6E" w:rsidRDefault="004578B7" w:rsidP="00525B6E">
      <w:pPr>
        <w:keepNext/>
        <w:spacing w:line="480" w:lineRule="auto"/>
      </w:pPr>
      <w:r w:rsidRPr="00525B6E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42E9284C" wp14:editId="3F230426">
            <wp:extent cx="5074920" cy="7612380"/>
            <wp:effectExtent l="0" t="0" r="0" b="7620"/>
            <wp:docPr id="9" name="Picture 9" descr="E:\repos\danny_elderly_mort\figures\ons_only_coefficients_with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epos\danny_elderly_mort\figures\ons_only_coefficients_with_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2870" w14:textId="17B4689C" w:rsidR="00525B6E" w:rsidRPr="00525B6E" w:rsidRDefault="00525B6E" w:rsidP="00525B6E">
      <w:pPr>
        <w:pStyle w:val="Caption"/>
        <w:rPr>
          <w:b/>
          <w:i w:val="0"/>
          <w:color w:val="auto"/>
          <w:sz w:val="20"/>
        </w:rPr>
      </w:pPr>
      <w:r w:rsidRPr="00525B6E">
        <w:rPr>
          <w:b/>
          <w:i w:val="0"/>
          <w:color w:val="auto"/>
          <w:sz w:val="20"/>
        </w:rPr>
        <w:t xml:space="preserve">Figure </w:t>
      </w:r>
      <w:r w:rsidRPr="00525B6E">
        <w:rPr>
          <w:b/>
          <w:i w:val="0"/>
          <w:color w:val="auto"/>
          <w:sz w:val="20"/>
        </w:rPr>
        <w:fldChar w:fldCharType="begin"/>
      </w:r>
      <w:r w:rsidRPr="00525B6E">
        <w:rPr>
          <w:b/>
          <w:i w:val="0"/>
          <w:color w:val="auto"/>
          <w:sz w:val="20"/>
        </w:rPr>
        <w:instrText xml:space="preserve"> SEQ Figure \* ARABIC </w:instrText>
      </w:r>
      <w:r w:rsidRPr="00525B6E">
        <w:rPr>
          <w:b/>
          <w:i w:val="0"/>
          <w:color w:val="auto"/>
          <w:sz w:val="20"/>
        </w:rPr>
        <w:fldChar w:fldCharType="separate"/>
      </w:r>
      <w:r w:rsidR="002B771B">
        <w:rPr>
          <w:b/>
          <w:i w:val="0"/>
          <w:noProof/>
          <w:color w:val="auto"/>
          <w:sz w:val="20"/>
        </w:rPr>
        <w:t>2</w:t>
      </w:r>
      <w:r w:rsidRPr="00525B6E">
        <w:rPr>
          <w:b/>
          <w:i w:val="0"/>
          <w:color w:val="auto"/>
          <w:sz w:val="20"/>
        </w:rPr>
        <w:fldChar w:fldCharType="end"/>
      </w:r>
      <w:r w:rsidRPr="00525B6E">
        <w:rPr>
          <w:b/>
          <w:i w:val="0"/>
          <w:color w:val="auto"/>
          <w:sz w:val="20"/>
        </w:rPr>
        <w:t xml:space="preserve"> Visual summary of 180 separate age-year specific regression models. The black lines show the point estimates for each model, and the grey bands indicate the 95% confidence interval around these point estimates. (Terms: Trend: Linear trend in mortality risk over time (since 1990); NL intercept: adjustment to intercept relating to the years 1997-2010; NL trend: adjustment to trend relating to years 1997-2010; GFC Intercept: adjustment to intercept relating to years 2008-2009; GFC trend: adjustment to trend relating to years 2008-2009)</w:t>
      </w:r>
    </w:p>
    <w:p w14:paraId="3C8A66E8" w14:textId="77777777" w:rsidR="004578B7" w:rsidRPr="00525B6E" w:rsidRDefault="004578B7" w:rsidP="004578B7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</w:rPr>
      </w:pPr>
      <w:r w:rsidRPr="00525B6E">
        <w:rPr>
          <w:rFonts w:ascii="Times New Roman" w:hAnsi="Times New Roman" w:cs="Times New Roman"/>
          <w:b/>
          <w:color w:val="auto"/>
          <w:sz w:val="24"/>
        </w:rPr>
        <w:lastRenderedPageBreak/>
        <w:t>Appendix C: Alternative Model specification</w:t>
      </w:r>
    </w:p>
    <w:p w14:paraId="45E12BF3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 xml:space="preserve">The alternative model specification includes an additional nonlinear term on year since 1990, i.e.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4578B7" w:rsidRPr="00525B6E" w14:paraId="3CBB7C17" w14:textId="77777777" w:rsidTr="00C859C2">
        <w:tc>
          <w:tcPr>
            <w:tcW w:w="8505" w:type="dxa"/>
          </w:tcPr>
          <w:p w14:paraId="6A5FEC41" w14:textId="77777777" w:rsidR="004578B7" w:rsidRPr="00525B6E" w:rsidRDefault="00E12095" w:rsidP="00C859C2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t, a, s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0, 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1, 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2, 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L+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3, 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Lt+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4,a,s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R+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5,a,s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 xml:space="preserve">Rt+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6, a,s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</w:rPr>
                  <m:t>+ ϵ</m:t>
                </m:r>
              </m:oMath>
            </m:oMathPara>
          </w:p>
        </w:tc>
        <w:tc>
          <w:tcPr>
            <w:tcW w:w="511" w:type="dxa"/>
          </w:tcPr>
          <w:p w14:paraId="7CF777CA" w14:textId="77777777" w:rsidR="004578B7" w:rsidRPr="00525B6E" w:rsidRDefault="004578B7" w:rsidP="00C859C2">
            <w:pPr>
              <w:spacing w:line="480" w:lineRule="auto"/>
              <w:rPr>
                <w:rFonts w:ascii="Times New Roman" w:hAnsi="Times New Roman" w:cs="Times New Roman"/>
                <w:sz w:val="20"/>
              </w:rPr>
            </w:pPr>
            <w:r w:rsidRPr="00525B6E">
              <w:rPr>
                <w:rFonts w:ascii="Times New Roman" w:hAnsi="Times New Roman" w:cs="Times New Roman"/>
                <w:sz w:val="20"/>
              </w:rPr>
              <w:t>(1)</w:t>
            </w:r>
          </w:p>
        </w:tc>
      </w:tr>
    </w:tbl>
    <w:p w14:paraId="7F9453FF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</w:p>
    <w:p w14:paraId="78674F13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B6368F">
        <w:rPr>
          <w:rFonts w:ascii="Times New Roman" w:hAnsi="Times New Roman" w:cs="Times New Roman"/>
          <w:b/>
          <w:sz w:val="20"/>
        </w:rPr>
        <w:t>Note</w:t>
      </w:r>
      <w:r w:rsidRPr="00525B6E">
        <w:rPr>
          <w:rFonts w:ascii="Times New Roman" w:hAnsi="Times New Roman" w:cs="Times New Roman"/>
          <w:sz w:val="20"/>
        </w:rPr>
        <w:t xml:space="preserve">: There were too few observations to include interaction terms between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</m:oMath>
      <w:r w:rsidRPr="00525B6E">
        <w:rPr>
          <w:rFonts w:ascii="Times New Roman" w:hAnsi="Times New Roman" w:cs="Times New Roman"/>
          <w:sz w:val="20"/>
        </w:rPr>
        <w:t xml:space="preserve"> and New Labour or the GFC. </w:t>
      </w:r>
    </w:p>
    <w:p w14:paraId="23804798" w14:textId="0B476984" w:rsidR="00B6368F" w:rsidRPr="00B6368F" w:rsidRDefault="00B6368F" w:rsidP="00B6368F">
      <w:pPr>
        <w:keepNext/>
        <w:spacing w:line="480" w:lineRule="auto"/>
        <w:rPr>
          <w:rFonts w:ascii="Times New Roman" w:hAnsi="Times New Roman" w:cs="Times New Roman"/>
          <w:b/>
          <w:sz w:val="20"/>
        </w:rPr>
      </w:pPr>
      <w:r w:rsidRPr="00B6368F">
        <w:rPr>
          <w:rFonts w:ascii="Times New Roman" w:hAnsi="Times New Roman" w:cs="Times New Roman"/>
          <w:b/>
          <w:sz w:val="20"/>
        </w:rPr>
        <w:t>Model fit comparisons</w:t>
      </w:r>
    </w:p>
    <w:p w14:paraId="4B7D3F38" w14:textId="77777777" w:rsidR="00B6368F" w:rsidRPr="00B6368F" w:rsidRDefault="004578B7" w:rsidP="00B6368F">
      <w:pPr>
        <w:keepNext/>
        <w:spacing w:line="480" w:lineRule="auto"/>
        <w:rPr>
          <w:b/>
        </w:rPr>
      </w:pPr>
      <w:r w:rsidRPr="00525B6E">
        <w:rPr>
          <w:rFonts w:ascii="Times New Roman" w:hAnsi="Times New Roman" w:cs="Times New Roman"/>
          <w:sz w:val="20"/>
        </w:rPr>
        <w:t xml:space="preserve">The figure below shows difference in AIC between the standard linear model and the alternative nonlinear model. A nonlinear smoother is added to show this relationship with age. Overall both models have similar performance in terms of fit to the data, although there is an indication of a nonlinear trend for males in young adulthood. </w:t>
      </w:r>
      <w:r w:rsidRPr="00B6368F">
        <w:rPr>
          <w:rFonts w:ascii="Times New Roman" w:hAnsi="Times New Roman" w:cs="Times New Roman"/>
          <w:b/>
          <w:noProof/>
          <w:sz w:val="20"/>
          <w:lang w:eastAsia="en-GB"/>
        </w:rPr>
        <w:drawing>
          <wp:inline distT="0" distB="0" distL="0" distR="0" wp14:anchorId="0F33C2B8" wp14:editId="4FC1D4C6">
            <wp:extent cx="5394960" cy="3596640"/>
            <wp:effectExtent l="0" t="0" r="0" b="3810"/>
            <wp:docPr id="12" name="Picture 12" descr="E:\repos\danny_elderly_mort\figures\diff_in_a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repos\danny_elderly_mort\figures\diff_in_a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390B" w14:textId="456618F4" w:rsidR="004578B7" w:rsidRPr="00B6368F" w:rsidRDefault="00B6368F" w:rsidP="00B6368F">
      <w:pPr>
        <w:pStyle w:val="Caption"/>
        <w:rPr>
          <w:rFonts w:ascii="Times New Roman" w:hAnsi="Times New Roman" w:cs="Times New Roman"/>
          <w:b/>
          <w:i w:val="0"/>
          <w:color w:val="auto"/>
          <w:sz w:val="22"/>
        </w:rPr>
      </w:pP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t xml:space="preserve">Figure </w:t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Figure \* ARABIC </w:instrText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2B771B">
        <w:rPr>
          <w:rFonts w:ascii="Times New Roman" w:hAnsi="Times New Roman" w:cs="Times New Roman"/>
          <w:b/>
          <w:i w:val="0"/>
          <w:noProof/>
          <w:color w:val="auto"/>
          <w:sz w:val="20"/>
        </w:rPr>
        <w:t>3</w:t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t xml:space="preserve"> [Colour online] Visual comparison of AIC between standard model specifications and additional nonlinear model specification</w:t>
      </w:r>
    </w:p>
    <w:p w14:paraId="2CF2BAD5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t>The figure below shows the coefficients of each of the age-specific models using this alternative model specification. The new trend is labelled ‘Nonlinear trend’, and is statistically significant for males in young adulthood, as implied by the AIC comparison above.</w:t>
      </w:r>
    </w:p>
    <w:p w14:paraId="0CA24076" w14:textId="77777777" w:rsidR="00B6368F" w:rsidRDefault="004578B7" w:rsidP="00B6368F">
      <w:pPr>
        <w:keepNext/>
        <w:spacing w:line="480" w:lineRule="auto"/>
      </w:pPr>
      <w:r w:rsidRPr="00525B6E">
        <w:rPr>
          <w:rFonts w:ascii="Times New Roman" w:hAnsi="Times New Roman" w:cs="Times New Roman"/>
          <w:noProof/>
          <w:sz w:val="20"/>
          <w:lang w:eastAsia="en-GB"/>
        </w:rPr>
        <w:lastRenderedPageBreak/>
        <w:drawing>
          <wp:inline distT="0" distB="0" distL="0" distR="0" wp14:anchorId="5A0C9827" wp14:editId="3068969D">
            <wp:extent cx="4236720" cy="7414260"/>
            <wp:effectExtent l="0" t="0" r="0" b="0"/>
            <wp:docPr id="13" name="Picture 13" descr="E:\repos\danny_elderly_mort\figures\ons_only_coefficients_with_age_alt_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repos\danny_elderly_mort\figures\ons_only_coefficients_with_age_alt_sp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82" cy="741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3B6B" w14:textId="6E73A9D0" w:rsidR="00B6368F" w:rsidRPr="00B6368F" w:rsidRDefault="00B6368F" w:rsidP="00B6368F">
      <w:pPr>
        <w:pStyle w:val="Caption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B6368F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Pr="00B6368F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B6368F">
        <w:rPr>
          <w:rFonts w:ascii="Times New Roman" w:hAnsi="Times New Roman" w:cs="Times New Roman"/>
          <w:b/>
          <w:i w:val="0"/>
          <w:color w:val="auto"/>
        </w:rPr>
        <w:instrText xml:space="preserve"> SEQ Figure \* ARABIC </w:instrText>
      </w:r>
      <w:r w:rsidRPr="00B6368F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2B771B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Pr="00B6368F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B6368F">
        <w:rPr>
          <w:rFonts w:ascii="Times New Roman" w:hAnsi="Times New Roman" w:cs="Times New Roman"/>
          <w:b/>
          <w:i w:val="0"/>
          <w:color w:val="auto"/>
        </w:rPr>
        <w:t xml:space="preserve"> .</w:t>
      </w:r>
      <w:r w:rsidRPr="00B6368F">
        <w:rPr>
          <w:rFonts w:ascii="Times New Roman" w:hAnsi="Times New Roman" w:cs="Times New Roman"/>
          <w:b/>
          <w:i w:val="0"/>
          <w:color w:val="auto"/>
          <w:sz w:val="20"/>
        </w:rPr>
        <w:t xml:space="preserve"> Visual summary of 180 separate age-year specific regression models. The black lines show the point estimates for each model, and the grey bands indicate the 95% confidence interval around these point estimates. (Terms: Trend: Linear trend in mortality risk over time (since 1990); NL intercept: adjustment to intercept relating to the years 1997-2010; NL trend: adjustment to trend relating to years 1997-2010; GFC Intercept: adjustment to intercept relating to years 2008-2009; GFC trend: adjustment to trend relating to years 2008-2009)</w:t>
      </w:r>
    </w:p>
    <w:p w14:paraId="0BD23A23" w14:textId="77777777" w:rsidR="004578B7" w:rsidRPr="00525B6E" w:rsidRDefault="004578B7" w:rsidP="00B6368F">
      <w:pPr>
        <w:pStyle w:val="Caption"/>
        <w:rPr>
          <w:rFonts w:ascii="Times New Roman" w:hAnsi="Times New Roman" w:cs="Times New Roman"/>
          <w:sz w:val="20"/>
        </w:rPr>
      </w:pPr>
    </w:p>
    <w:p w14:paraId="5F5260FE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  <w:sz w:val="20"/>
        </w:rPr>
      </w:pPr>
      <w:r w:rsidRPr="00525B6E">
        <w:rPr>
          <w:rFonts w:ascii="Times New Roman" w:hAnsi="Times New Roman" w:cs="Times New Roman"/>
          <w:sz w:val="20"/>
        </w:rPr>
        <w:lastRenderedPageBreak/>
        <w:t>The following two figures show projected against actual mortality rates at older ages, and at younger ages. These figures suggest the non-linear model specification appears to have a slightly better fit to the data, but substantively the patterns are very similar:</w:t>
      </w:r>
    </w:p>
    <w:p w14:paraId="197601DC" w14:textId="77777777" w:rsidR="00B6368F" w:rsidRDefault="004578B7" w:rsidP="00B6368F">
      <w:pPr>
        <w:keepNext/>
        <w:spacing w:line="480" w:lineRule="auto"/>
      </w:pPr>
      <w:r w:rsidRPr="00525B6E">
        <w:rPr>
          <w:rFonts w:ascii="Times New Roman" w:hAnsi="Times New Roman" w:cs="Times New Roman"/>
          <w:noProof/>
          <w:sz w:val="20"/>
          <w:lang w:eastAsia="en-GB"/>
        </w:rPr>
        <w:drawing>
          <wp:inline distT="0" distB="0" distL="0" distR="0" wp14:anchorId="232D948F" wp14:editId="26A8FB61">
            <wp:extent cx="5722620" cy="5722620"/>
            <wp:effectExtent l="0" t="0" r="0" b="0"/>
            <wp:docPr id="15" name="Picture 15" descr="E:\repos\danny_elderly_mort\figures\banded_plot_older_ages_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repos\danny_elderly_mort\figures\banded_plot_older_ages_a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5456" w14:textId="05A369CD" w:rsidR="004578B7" w:rsidRPr="00B6368F" w:rsidRDefault="00B6368F" w:rsidP="00B6368F">
      <w:pPr>
        <w:pStyle w:val="Caption"/>
        <w:rPr>
          <w:rFonts w:ascii="Times New Roman" w:hAnsi="Times New Roman" w:cs="Times New Roman"/>
          <w:b/>
          <w:i w:val="0"/>
          <w:sz w:val="22"/>
        </w:rPr>
      </w:pPr>
      <w:r w:rsidRPr="00B6368F">
        <w:rPr>
          <w:rFonts w:ascii="Times New Roman" w:hAnsi="Times New Roman" w:cs="Times New Roman"/>
          <w:b/>
          <w:i w:val="0"/>
          <w:sz w:val="20"/>
        </w:rPr>
        <w:t xml:space="preserve">Figure </w:t>
      </w:r>
      <w:r w:rsidRPr="00B6368F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B6368F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B6368F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2B771B">
        <w:rPr>
          <w:rFonts w:ascii="Times New Roman" w:hAnsi="Times New Roman" w:cs="Times New Roman"/>
          <w:b/>
          <w:i w:val="0"/>
          <w:noProof/>
          <w:sz w:val="20"/>
        </w:rPr>
        <w:t>5</w:t>
      </w:r>
      <w:r w:rsidRPr="00B6368F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B6368F">
        <w:rPr>
          <w:rFonts w:ascii="Times New Roman" w:hAnsi="Times New Roman" w:cs="Times New Roman"/>
          <w:b/>
          <w:i w:val="0"/>
          <w:sz w:val="20"/>
        </w:rPr>
        <w:t xml:space="preserve"> [Colour online] Comparison of observed (points) and fitted (lines and grey bands) mortality rate changes at older ages</w:t>
      </w:r>
      <w:r>
        <w:rPr>
          <w:rFonts w:ascii="Times New Roman" w:hAnsi="Times New Roman" w:cs="Times New Roman"/>
          <w:b/>
          <w:i w:val="0"/>
          <w:sz w:val="20"/>
        </w:rPr>
        <w:t>, using a nonlinear model specification</w:t>
      </w:r>
      <w:r w:rsidRPr="00B6368F">
        <w:rPr>
          <w:rFonts w:ascii="Times New Roman" w:hAnsi="Times New Roman" w:cs="Times New Roman"/>
          <w:b/>
          <w:i w:val="0"/>
          <w:sz w:val="20"/>
        </w:rPr>
        <w:t>. A) Log10 scale; B) Identity scale.</w:t>
      </w:r>
    </w:p>
    <w:p w14:paraId="21764691" w14:textId="77777777" w:rsidR="002B771B" w:rsidRDefault="004578B7" w:rsidP="002B771B">
      <w:pPr>
        <w:keepNext/>
        <w:spacing w:line="480" w:lineRule="auto"/>
      </w:pPr>
      <w:r w:rsidRPr="00525B6E">
        <w:rPr>
          <w:rFonts w:ascii="Times New Roman" w:hAnsi="Times New Roman" w:cs="Times New Roman"/>
          <w:noProof/>
          <w:sz w:val="20"/>
          <w:lang w:eastAsia="en-GB"/>
        </w:rPr>
        <w:lastRenderedPageBreak/>
        <w:drawing>
          <wp:inline distT="0" distB="0" distL="0" distR="0" wp14:anchorId="3BC09261" wp14:editId="65BC5A6B">
            <wp:extent cx="5722620" cy="5722620"/>
            <wp:effectExtent l="0" t="0" r="0" b="0"/>
            <wp:docPr id="16" name="Picture 16" descr="E:\repos\danny_elderly_mort\figures\banded_plot_younger_ages_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repos\danny_elderly_mort\figures\banded_plot_younger_ages_a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578F" w14:textId="72072374" w:rsidR="004578B7" w:rsidRPr="002B771B" w:rsidRDefault="002B771B" w:rsidP="002B771B">
      <w:pPr>
        <w:pStyle w:val="Caption"/>
        <w:rPr>
          <w:rFonts w:ascii="Times New Roman" w:hAnsi="Times New Roman" w:cs="Times New Roman"/>
          <w:b/>
          <w:i w:val="0"/>
          <w:sz w:val="22"/>
        </w:rPr>
      </w:pPr>
      <w:r w:rsidRPr="002B771B">
        <w:rPr>
          <w:rFonts w:ascii="Times New Roman" w:hAnsi="Times New Roman" w:cs="Times New Roman"/>
          <w:b/>
          <w:i w:val="0"/>
          <w:sz w:val="20"/>
        </w:rPr>
        <w:t xml:space="preserve">Figure </w:t>
      </w:r>
      <w:r w:rsidRPr="002B771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2B771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2B771B">
        <w:rPr>
          <w:rFonts w:ascii="Times New Roman" w:hAnsi="Times New Roman" w:cs="Times New Roman"/>
          <w:b/>
          <w:i w:val="0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sz w:val="20"/>
        </w:rPr>
        <w:t>6</w:t>
      </w:r>
      <w:r w:rsidRPr="002B771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2B771B">
        <w:rPr>
          <w:rFonts w:ascii="Times New Roman" w:hAnsi="Times New Roman" w:cs="Times New Roman"/>
          <w:b/>
          <w:i w:val="0"/>
          <w:sz w:val="20"/>
        </w:rPr>
        <w:t xml:space="preserve"> [Colour online] Observed (points) and estimated (Lines and grey bands) mortality rates at younger ages, using nonlinear model specification</w:t>
      </w:r>
    </w:p>
    <w:p w14:paraId="365F1F4C" w14:textId="77777777" w:rsidR="002B771B" w:rsidRDefault="004578B7" w:rsidP="002B771B">
      <w:pPr>
        <w:spacing w:line="480" w:lineRule="auto"/>
        <w:rPr>
          <w:rFonts w:ascii="Times New Roman" w:hAnsi="Times New Roman" w:cs="Times New Roman"/>
          <w:sz w:val="20"/>
        </w:rPr>
        <w:sectPr w:rsidR="002B771B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25B6E">
        <w:rPr>
          <w:rFonts w:ascii="Times New Roman" w:hAnsi="Times New Roman" w:cs="Times New Roman"/>
          <w:sz w:val="20"/>
        </w:rPr>
        <w:t xml:space="preserve">The following figure shows the accumulated ‘excess’ mortality using this latter model specification. Substantively, these results are very similar to those in the main model specification, though with a smaller difference between actual and projected in 2010 and 2011, and an even faster acceleration of excess mortality in later years. </w:t>
      </w:r>
      <w:r w:rsidR="002B771B">
        <w:rPr>
          <w:rFonts w:ascii="Times New Roman" w:hAnsi="Times New Roman" w:cs="Times New Roman"/>
          <w:sz w:val="20"/>
        </w:rPr>
        <w:br w:type="page"/>
      </w:r>
    </w:p>
    <w:p w14:paraId="51BE6C69" w14:textId="4A0ED71C" w:rsidR="002B771B" w:rsidRDefault="004578B7" w:rsidP="002B771B">
      <w:pPr>
        <w:spacing w:line="480" w:lineRule="auto"/>
      </w:pPr>
      <w:r w:rsidRPr="00525B6E">
        <w:rPr>
          <w:rFonts w:ascii="Times New Roman" w:hAnsi="Times New Roman" w:cs="Times New Roman"/>
          <w:noProof/>
          <w:sz w:val="20"/>
          <w:lang w:eastAsia="en-GB"/>
        </w:rPr>
        <w:lastRenderedPageBreak/>
        <w:drawing>
          <wp:inline distT="0" distB="0" distL="0" distR="0" wp14:anchorId="05E5AA25" wp14:editId="5BB7B6FC">
            <wp:extent cx="7109460" cy="5332095"/>
            <wp:effectExtent l="0" t="0" r="0" b="1905"/>
            <wp:docPr id="14" name="Picture 14" descr="E:\repos\danny_elderly_mort\figures\excess_deaths_2010_2015_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repos\danny_elderly_mort\figures\excess_deaths_2010_2015_al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3EB6" w14:textId="77C7AFF2" w:rsidR="004578B7" w:rsidRPr="002B771B" w:rsidRDefault="002B771B" w:rsidP="002B771B">
      <w:pPr>
        <w:pStyle w:val="Caption"/>
        <w:rPr>
          <w:rFonts w:ascii="Times New Roman" w:hAnsi="Times New Roman" w:cs="Times New Roman"/>
          <w:b/>
          <w:i w:val="0"/>
          <w:color w:val="auto"/>
          <w:sz w:val="22"/>
        </w:rPr>
      </w:pP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Figure 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Figure \* ARABIC </w:instrTex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2B771B">
        <w:rPr>
          <w:rFonts w:ascii="Times New Roman" w:hAnsi="Times New Roman" w:cs="Times New Roman"/>
          <w:b/>
          <w:i w:val="0"/>
          <w:noProof/>
          <w:color w:val="auto"/>
          <w:sz w:val="20"/>
        </w:rPr>
        <w:t>7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 Accumulated 'excess' deaths for each year from 2010 to 2015, by age, using nonlinear model specification. (Male: dashed line; female: solid line)</w:t>
      </w:r>
    </w:p>
    <w:p w14:paraId="57E17262" w14:textId="77777777" w:rsidR="002B771B" w:rsidRDefault="002B771B" w:rsidP="004578B7">
      <w:pPr>
        <w:spacing w:line="480" w:lineRule="auto"/>
        <w:rPr>
          <w:rFonts w:ascii="Times New Roman" w:hAnsi="Times New Roman" w:cs="Times New Roman"/>
          <w:sz w:val="20"/>
        </w:rPr>
        <w:sectPr w:rsidR="002B771B" w:rsidSect="002B771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94BFA31" w14:textId="3B85AB53" w:rsidR="004578B7" w:rsidRPr="00525B6E" w:rsidRDefault="002B771B" w:rsidP="004578B7">
      <w:pPr>
        <w:spacing w:line="48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Table </w:t>
      </w:r>
      <w:r w:rsidR="004578B7" w:rsidRPr="00525B6E">
        <w:rPr>
          <w:rFonts w:ascii="Times New Roman" w:hAnsi="Times New Roman" w:cs="Times New Roman"/>
          <w:sz w:val="20"/>
        </w:rPr>
        <w:t xml:space="preserve">1 summarises the above figure, showing the total excess deaths in each year by ages 50, 70 and 89. Table 2 further summarises these figures, showing the total number of ‘excess’ deaths between the period 2010-2015 and 2012-2015. These suggest there were fewer ‘negative excess’ deaths by age 89 in 2010 and 2011, suggesting a better model fit over this period, and predicts a higher excess death total than the standard model, with 60,073 more deaths than projected between 2010 and 2015, and 65,043 more deaths than projected between 2012 and 2015. </w:t>
      </w:r>
    </w:p>
    <w:tbl>
      <w:tblPr>
        <w:tblW w:w="3960" w:type="dxa"/>
        <w:tblInd w:w="118" w:type="dxa"/>
        <w:tblLook w:val="04A0" w:firstRow="1" w:lastRow="0" w:firstColumn="1" w:lastColumn="0" w:noHBand="0" w:noVBand="1"/>
      </w:tblPr>
      <w:tblGrid>
        <w:gridCol w:w="1200"/>
        <w:gridCol w:w="840"/>
        <w:gridCol w:w="840"/>
        <w:gridCol w:w="1080"/>
      </w:tblGrid>
      <w:tr w:rsidR="004578B7" w:rsidRPr="00525B6E" w14:paraId="631EC4D9" w14:textId="77777777" w:rsidTr="00C859C2">
        <w:trPr>
          <w:trHeight w:val="288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A13A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Period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1A09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Males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013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Females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E903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Combined</w:t>
            </w:r>
          </w:p>
        </w:tc>
      </w:tr>
      <w:tr w:rsidR="004578B7" w:rsidRPr="00525B6E" w14:paraId="7796E469" w14:textId="77777777" w:rsidTr="00C859C2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AE3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2010-2015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729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35,032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E9B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25,041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7C39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60,073</w:t>
            </w:r>
          </w:p>
        </w:tc>
      </w:tr>
      <w:tr w:rsidR="004578B7" w:rsidRPr="00525B6E" w14:paraId="6E551CE5" w14:textId="77777777" w:rsidTr="00C859C2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5781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2012-2015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C21F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36,188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0732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28,855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D5D67" w14:textId="77777777" w:rsidR="004578B7" w:rsidRPr="00525B6E" w:rsidRDefault="004578B7" w:rsidP="002B771B">
            <w:pPr>
              <w:keepNext/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65,043</w:t>
            </w:r>
          </w:p>
        </w:tc>
      </w:tr>
    </w:tbl>
    <w:p w14:paraId="52426D49" w14:textId="1567EAA4" w:rsidR="004578B7" w:rsidRPr="002B771B" w:rsidRDefault="002B771B" w:rsidP="002B771B">
      <w:pPr>
        <w:pStyle w:val="Caption"/>
        <w:rPr>
          <w:rFonts w:ascii="Times New Roman" w:hAnsi="Times New Roman" w:cs="Times New Roman"/>
          <w:b/>
          <w:i w:val="0"/>
          <w:color w:val="auto"/>
          <w:sz w:val="20"/>
        </w:rPr>
        <w:sectPr w:rsidR="004578B7" w:rsidRPr="002B77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Table 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Table \* ARABIC </w:instrTex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 Summary of accumulated 'excess deaths' by age 89 years using nonlinear model specification, for either the period 2010-2015 or period 2012-2015</w:t>
      </w:r>
    </w:p>
    <w:p w14:paraId="5967592B" w14:textId="77777777" w:rsidR="004578B7" w:rsidRPr="00525B6E" w:rsidRDefault="004578B7" w:rsidP="004578B7">
      <w:pPr>
        <w:spacing w:line="480" w:lineRule="auto"/>
        <w:rPr>
          <w:rFonts w:ascii="Times New Roman" w:hAnsi="Times New Roman" w:cs="Times New Roman"/>
        </w:rPr>
      </w:pPr>
    </w:p>
    <w:tbl>
      <w:tblPr>
        <w:tblW w:w="9921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720"/>
        <w:gridCol w:w="270"/>
        <w:gridCol w:w="780"/>
        <w:gridCol w:w="270"/>
        <w:gridCol w:w="780"/>
        <w:gridCol w:w="270"/>
        <w:gridCol w:w="730"/>
        <w:gridCol w:w="270"/>
        <w:gridCol w:w="780"/>
        <w:gridCol w:w="270"/>
        <w:gridCol w:w="780"/>
        <w:gridCol w:w="270"/>
        <w:gridCol w:w="716"/>
        <w:gridCol w:w="270"/>
        <w:gridCol w:w="837"/>
        <w:gridCol w:w="270"/>
        <w:gridCol w:w="780"/>
        <w:gridCol w:w="270"/>
      </w:tblGrid>
      <w:tr w:rsidR="004578B7" w:rsidRPr="00525B6E" w14:paraId="5F16D6A4" w14:textId="77777777" w:rsidTr="002B771B">
        <w:trPr>
          <w:trHeight w:val="17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4A3A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Year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83AF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B70E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Males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6E67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55FC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B780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491B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7598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2320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Females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7551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960C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275F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EC6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66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01DC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Combined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4362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DAF8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3036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4578B7" w:rsidRPr="00525B6E" w14:paraId="6C3FF09B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495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65F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AD4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-347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AD9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A5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19,094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E29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1D3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19,441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96B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5B6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-112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049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043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11,786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EF3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174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11,898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DF4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3EE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-459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A9F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63F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30,880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8CF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B25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31,339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FCE0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2CB85CE6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532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1DB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B6C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87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32A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379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75,811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610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C91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75,724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9A3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A51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219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3CC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5FD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49,994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2BE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F50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49,775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A2A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5CC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306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F7C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D9E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125,805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E8C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CA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125,499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C410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2D6E0350" w14:textId="77777777" w:rsidTr="00C859C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0C0D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2D76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ED92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799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D3FE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9442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212,724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77D4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DFE1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211,925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95E0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9B3D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-600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55C3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0197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192,910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D3EB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B1E6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193,510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A83A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770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199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B229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A7C3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405,634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BBB1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475C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405,435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6739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6983A992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CD2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611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201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-703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505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3EE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18,455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F1F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C7A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19,158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0DD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C53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-290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47A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19B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11,460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A7A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209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11,750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E47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CDF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-993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73C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FE4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29,915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A0D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2B9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30,908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2B3A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76977FAE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290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7CA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283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-1,007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DBB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7F6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74,013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96E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880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75,020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A27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2C4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-102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EF8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5BD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49,391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529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C61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49,493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4CE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F26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-1,109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A4B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8D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123,404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42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2A6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124,513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2A66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4EEB411B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A3F7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2228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394E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-1,955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3045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AECA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207,606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4A09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1EBB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209,561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BC48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F907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-3,214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4FC4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EA5E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185,925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F69A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52A9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189,139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FFDE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B99D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-5,169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8FB8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58B7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393,531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4E50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3BE6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398,700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C1C0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38C2BAEF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947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0D3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213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-981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091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FC0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17,817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046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4F3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18,798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E2C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829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-481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32C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829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11,097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983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937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11,578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A82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C60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-1,462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C1C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A55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28,914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12E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3F3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30,376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F7D3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04DA0D0A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3F8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528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683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-1,470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229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338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73,161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E4E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7AA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74,631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9230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31B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204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55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DB1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49,648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2B1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CEC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49,444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919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032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-1,266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0E8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AB6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122,809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B3F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74C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124,075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CEDC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6A5FCD0B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2D8C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3213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DE31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2,706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CE3D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D485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209,909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DAD1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52F2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207,203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DE98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54A3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3,560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C2BB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502B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189,135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6D38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E4EE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185,575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5610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878C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6,266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F24D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53A2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399,044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5A3A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4B05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392,778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EA01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00EE0C2D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1E8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DA5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F9F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-304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BDA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23E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18,025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414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9A3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18,329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A83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177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-244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553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4FF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11,062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6B8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029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11,306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838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5A5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-548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5B8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322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29,087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B44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8EF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29,635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48A6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393EAB8F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D8C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967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5E0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907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A28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5A1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74,741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8CB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DFF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73,834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A80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8E2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713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639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D09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49,853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CDD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095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49,140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7D6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1C6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1,620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886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5BC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124,594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363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7E7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122,974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8CA8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09AB4F71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852D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F877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C5C8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8,714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7B79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BB776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213,466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9F0E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B88E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204,752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F446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133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6,810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BFED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CB60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189,046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10E3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BAA6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182,236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5EBE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7710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15,524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711C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1ADA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402,512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08A0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C39F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386,988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953A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63E5DB20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5BD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62D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1DB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B04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1DE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17,908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3B20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1F6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17,868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980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DD5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254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578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B8B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11,291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738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4E6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11,037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32F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19C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294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983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678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29,199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0DD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FDB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28,905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5A63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037C9D86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4A5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E52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616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1,894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B52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AC9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74,625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3BD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04F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72,731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71C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282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1,348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F5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048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49,967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B5C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EA5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48,619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A4D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217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3,242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023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4F8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124,592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D20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C33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121,350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3F3C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112B9FDC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3CAE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D27F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1F85C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9,495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1908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354B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212,499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645C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0A85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203,004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69D3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A4D1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5,666</w:t>
            </w:r>
          </w:p>
        </w:tc>
        <w:tc>
          <w:tcPr>
            <w:tcW w:w="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CBD8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FD12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185,505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7178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ECB4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179,839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E4F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2E1E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15,161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2327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6D23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398,004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CC4F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A20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382,843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DE660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3DC187CF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6A2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381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F53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-1,149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380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5F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16,288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2BC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E76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17,437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3528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181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-503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456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9365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10,279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7EE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5AE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10,782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14B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C74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-1,652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5A6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5EC4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26,567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38F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BC5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28,219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52B0E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5051684D" w14:textId="77777777" w:rsidTr="00C859C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F43B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41B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F1D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-3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395F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D10B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71,541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838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183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71,544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3C5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7938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508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2C3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0FC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48,525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F7F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D0A9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48,017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C3D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6D1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505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D35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5F9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120,066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F92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3552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119,561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350DA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4578B7" w:rsidRPr="00525B6E" w14:paraId="4414BB9E" w14:textId="77777777" w:rsidTr="00C859C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B3926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453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23BA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15,273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F5AC2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98331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215,870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AC9E9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EB0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200,597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631C7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09A40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12,819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A65DD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2963E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189,683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AA2E3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7BA8D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176,864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9621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40D7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28,092</w:t>
            </w:r>
          </w:p>
        </w:tc>
        <w:tc>
          <w:tcPr>
            <w:tcW w:w="1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C2B34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(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26573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405,553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AB47C" w14:textId="77777777" w:rsidR="004578B7" w:rsidRPr="00525B6E" w:rsidRDefault="004578B7" w:rsidP="00C859C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ACC5F" w14:textId="77777777" w:rsidR="004578B7" w:rsidRPr="00525B6E" w:rsidRDefault="004578B7" w:rsidP="00C859C2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377,461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F0B63" w14:textId="77777777" w:rsidR="004578B7" w:rsidRPr="00525B6E" w:rsidRDefault="004578B7" w:rsidP="002B771B">
            <w:pPr>
              <w:keepNext/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525B6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</w:tbl>
    <w:p w14:paraId="3F2C07CC" w14:textId="5E31E61A" w:rsidR="00C859C2" w:rsidRPr="002B771B" w:rsidRDefault="002B771B" w:rsidP="002B771B">
      <w:pPr>
        <w:pStyle w:val="Caption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Table 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Table \* ARABIC </w:instrTex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2B771B">
        <w:rPr>
          <w:rFonts w:ascii="Times New Roman" w:hAnsi="Times New Roman" w:cs="Times New Roman"/>
          <w:b/>
          <w:i w:val="0"/>
          <w:noProof/>
          <w:color w:val="auto"/>
          <w:sz w:val="20"/>
        </w:rPr>
        <w:t>2</w:t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2B771B">
        <w:rPr>
          <w:rFonts w:ascii="Times New Roman" w:hAnsi="Times New Roman" w:cs="Times New Roman"/>
          <w:b/>
          <w:i w:val="0"/>
          <w:color w:val="auto"/>
          <w:sz w:val="20"/>
        </w:rPr>
        <w:t xml:space="preserve"> 'Excess deaths' by gender, year, and specific ages using main and alternative model specifications</w:t>
      </w:r>
    </w:p>
    <w:p w14:paraId="043D71A6" w14:textId="77777777" w:rsidR="00C859C2" w:rsidRPr="00525B6E" w:rsidRDefault="00C859C2" w:rsidP="00C859C2">
      <w:pPr>
        <w:rPr>
          <w:rFonts w:ascii="Times New Roman" w:hAnsi="Times New Roman" w:cs="Times New Roman"/>
        </w:rPr>
        <w:sectPr w:rsidR="00C859C2" w:rsidRPr="00525B6E" w:rsidSect="00076DD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525B6E">
        <w:rPr>
          <w:rFonts w:ascii="Times New Roman" w:hAnsi="Times New Roman" w:cs="Times New Roman"/>
        </w:rPr>
        <w:br w:type="page"/>
      </w:r>
    </w:p>
    <w:p w14:paraId="74A66979" w14:textId="0A0BF8D1" w:rsidR="00F712B2" w:rsidRPr="00B86333" w:rsidRDefault="00C859C2" w:rsidP="00C859C2">
      <w:pPr>
        <w:rPr>
          <w:rFonts w:ascii="Times New Roman" w:hAnsi="Times New Roman" w:cs="Times New Roman"/>
          <w:b/>
          <w:sz w:val="20"/>
        </w:rPr>
      </w:pPr>
      <w:r w:rsidRPr="00B86333">
        <w:rPr>
          <w:rFonts w:ascii="Times New Roman" w:hAnsi="Times New Roman" w:cs="Times New Roman"/>
          <w:b/>
          <w:sz w:val="20"/>
        </w:rPr>
        <w:lastRenderedPageBreak/>
        <w:t xml:space="preserve">Appendix D: Links to R Code </w:t>
      </w:r>
    </w:p>
    <w:p w14:paraId="443D9863" w14:textId="27F5FBC5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  <w:r w:rsidRPr="00B86333">
        <w:rPr>
          <w:rFonts w:ascii="Times New Roman" w:hAnsi="Times New Roman" w:cs="Times New Roman"/>
          <w:sz w:val="20"/>
        </w:rPr>
        <w:t xml:space="preserve">All data analyses and formatting were conducted in the R programming environment. The online code repository </w:t>
      </w:r>
      <w:proofErr w:type="spellStart"/>
      <w:r w:rsidRPr="00B86333">
        <w:rPr>
          <w:rFonts w:ascii="Times New Roman" w:hAnsi="Times New Roman" w:cs="Times New Roman"/>
          <w:sz w:val="20"/>
        </w:rPr>
        <w:t>github</w:t>
      </w:r>
      <w:proofErr w:type="spellEnd"/>
      <w:r w:rsidRPr="00B86333">
        <w:rPr>
          <w:rFonts w:ascii="Times New Roman" w:hAnsi="Times New Roman" w:cs="Times New Roman"/>
          <w:sz w:val="20"/>
        </w:rPr>
        <w:t xml:space="preserve"> was used to store and archive all versions of the code and supplementary material, which is available from the following location: </w:t>
      </w:r>
    </w:p>
    <w:p w14:paraId="4145A5CA" w14:textId="2BF8FCFD" w:rsidR="00C859C2" w:rsidRPr="00B86333" w:rsidRDefault="00E12095" w:rsidP="00C859C2">
      <w:pPr>
        <w:rPr>
          <w:rFonts w:ascii="Times New Roman" w:hAnsi="Times New Roman" w:cs="Times New Roman"/>
          <w:sz w:val="20"/>
        </w:rPr>
      </w:pPr>
      <w:hyperlink r:id="rId17" w:history="1">
        <w:r w:rsidR="00C859C2" w:rsidRPr="00B86333">
          <w:rPr>
            <w:rStyle w:val="Hyperlink"/>
            <w:rFonts w:ascii="Times New Roman" w:hAnsi="Times New Roman" w:cs="Times New Roman"/>
            <w:sz w:val="20"/>
          </w:rPr>
          <w:t>https://github.com/JonMinton/danny_elderly_mort/</w:t>
        </w:r>
      </w:hyperlink>
      <w:r w:rsidR="00C859C2" w:rsidRPr="00B86333">
        <w:rPr>
          <w:rFonts w:ascii="Times New Roman" w:hAnsi="Times New Roman" w:cs="Times New Roman"/>
          <w:sz w:val="20"/>
        </w:rPr>
        <w:t xml:space="preserve"> </w:t>
      </w:r>
    </w:p>
    <w:p w14:paraId="0A0E3EE5" w14:textId="77777777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14:paraId="325B920F" w14:textId="7DFF28FB" w:rsidR="00323DE5" w:rsidRPr="00B86333" w:rsidRDefault="00323DE5" w:rsidP="00C859C2">
      <w:pPr>
        <w:rPr>
          <w:rFonts w:ascii="Times New Roman" w:hAnsi="Times New Roman" w:cs="Times New Roman"/>
          <w:sz w:val="20"/>
        </w:rPr>
      </w:pPr>
      <w:r w:rsidRPr="00B86333">
        <w:rPr>
          <w:rFonts w:ascii="Times New Roman" w:hAnsi="Times New Roman" w:cs="Times New Roman"/>
          <w:sz w:val="20"/>
        </w:rPr>
        <w:t>Code for combining data from multiple releases of age-specific death and population counts, from different ONS releases, is available below:</w:t>
      </w:r>
    </w:p>
    <w:p w14:paraId="5F8F8785" w14:textId="7892BC04" w:rsidR="00C859C2" w:rsidRPr="00B86333" w:rsidRDefault="00E12095" w:rsidP="00C859C2">
      <w:pPr>
        <w:rPr>
          <w:rFonts w:ascii="Times New Roman" w:hAnsi="Times New Roman" w:cs="Times New Roman"/>
          <w:sz w:val="20"/>
        </w:rPr>
      </w:pPr>
      <w:hyperlink r:id="rId18" w:history="1">
        <w:r w:rsidR="00C859C2" w:rsidRPr="00B86333">
          <w:rPr>
            <w:rStyle w:val="Hyperlink"/>
            <w:rFonts w:ascii="Times New Roman" w:hAnsi="Times New Roman" w:cs="Times New Roman"/>
            <w:sz w:val="20"/>
          </w:rPr>
          <w:t>https://github.com/JonMinton/danny_elderly_mort/blob/master/scripts/extract_combined_ons.R</w:t>
        </w:r>
      </w:hyperlink>
    </w:p>
    <w:p w14:paraId="01CBFBCF" w14:textId="77777777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</w:p>
    <w:p w14:paraId="40D415BA" w14:textId="538512EE" w:rsidR="00323DE5" w:rsidRPr="00B86333" w:rsidRDefault="00323DE5" w:rsidP="00C859C2">
      <w:pPr>
        <w:rPr>
          <w:rFonts w:ascii="Times New Roman" w:hAnsi="Times New Roman" w:cs="Times New Roman"/>
          <w:sz w:val="20"/>
        </w:rPr>
      </w:pPr>
      <w:r w:rsidRPr="00B86333">
        <w:rPr>
          <w:rFonts w:ascii="Times New Roman" w:hAnsi="Times New Roman" w:cs="Times New Roman"/>
          <w:sz w:val="20"/>
        </w:rPr>
        <w:t xml:space="preserve">A script for producing the figure showing </w:t>
      </w:r>
      <w:r w:rsidR="00525B6E" w:rsidRPr="00B86333">
        <w:rPr>
          <w:rFonts w:ascii="Times New Roman" w:hAnsi="Times New Roman" w:cs="Times New Roman"/>
          <w:sz w:val="20"/>
        </w:rPr>
        <w:t xml:space="preserve">how per capita GDP trends have changed is available here: </w:t>
      </w:r>
    </w:p>
    <w:p w14:paraId="3043EBF3" w14:textId="209C56CF" w:rsidR="00C859C2" w:rsidRPr="00B86333" w:rsidRDefault="00E12095" w:rsidP="00C859C2">
      <w:pPr>
        <w:rPr>
          <w:rFonts w:ascii="Times New Roman" w:hAnsi="Times New Roman" w:cs="Times New Roman"/>
          <w:sz w:val="20"/>
        </w:rPr>
      </w:pPr>
      <w:hyperlink r:id="rId19" w:history="1">
        <w:r w:rsidR="00C859C2" w:rsidRPr="00B86333">
          <w:rPr>
            <w:rStyle w:val="Hyperlink"/>
            <w:rFonts w:ascii="Times New Roman" w:hAnsi="Times New Roman" w:cs="Times New Roman"/>
            <w:sz w:val="20"/>
          </w:rPr>
          <w:t>https://github.com/JonMinton/danny_elderly_mort/blob/master/scripts/intro_graphs.R</w:t>
        </w:r>
      </w:hyperlink>
    </w:p>
    <w:p w14:paraId="523C600D" w14:textId="77777777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</w:p>
    <w:p w14:paraId="333423CE" w14:textId="724E6C86" w:rsidR="00525B6E" w:rsidRPr="00B86333" w:rsidRDefault="00525B6E" w:rsidP="00C859C2">
      <w:pPr>
        <w:rPr>
          <w:rFonts w:ascii="Times New Roman" w:hAnsi="Times New Roman" w:cs="Times New Roman"/>
          <w:sz w:val="20"/>
        </w:rPr>
      </w:pPr>
      <w:r w:rsidRPr="00B86333">
        <w:rPr>
          <w:rFonts w:ascii="Times New Roman" w:hAnsi="Times New Roman" w:cs="Times New Roman"/>
          <w:sz w:val="20"/>
        </w:rPr>
        <w:t>The main modelling, for both the standard and nonlinear models, is performed in the following script:</w:t>
      </w:r>
    </w:p>
    <w:p w14:paraId="28BB07D6" w14:textId="04CC3180" w:rsidR="00C859C2" w:rsidRPr="00B86333" w:rsidRDefault="00E12095" w:rsidP="00C859C2">
      <w:pPr>
        <w:rPr>
          <w:rFonts w:ascii="Times New Roman" w:hAnsi="Times New Roman" w:cs="Times New Roman"/>
          <w:sz w:val="20"/>
        </w:rPr>
      </w:pPr>
      <w:hyperlink r:id="rId20" w:history="1">
        <w:r w:rsidR="00C859C2" w:rsidRPr="00B86333">
          <w:rPr>
            <w:rStyle w:val="Hyperlink"/>
            <w:rFonts w:ascii="Times New Roman" w:hAnsi="Times New Roman" w:cs="Times New Roman"/>
            <w:sz w:val="20"/>
          </w:rPr>
          <w:t>https://github.com/JonMinton/danny_elderly_mort/blob/master/scripts/analyses_with_only_ons.R</w:t>
        </w:r>
      </w:hyperlink>
    </w:p>
    <w:p w14:paraId="6C37F46F" w14:textId="77777777" w:rsidR="00C859C2" w:rsidRPr="00B86333" w:rsidRDefault="00C859C2" w:rsidP="00C859C2">
      <w:pPr>
        <w:rPr>
          <w:rFonts w:ascii="Times New Roman" w:hAnsi="Times New Roman" w:cs="Times New Roman"/>
          <w:sz w:val="20"/>
        </w:rPr>
      </w:pPr>
    </w:p>
    <w:sectPr w:rsidR="00C859C2" w:rsidRPr="00B86333" w:rsidSect="00C8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09BE2" w14:textId="77777777" w:rsidR="00E12095" w:rsidRDefault="00E12095" w:rsidP="008F0C36">
      <w:pPr>
        <w:spacing w:after="0" w:line="240" w:lineRule="auto"/>
      </w:pPr>
      <w:r>
        <w:separator/>
      </w:r>
    </w:p>
  </w:endnote>
  <w:endnote w:type="continuationSeparator" w:id="0">
    <w:p w14:paraId="5A684498" w14:textId="77777777" w:rsidR="00E12095" w:rsidRDefault="00E12095" w:rsidP="008F0C36">
      <w:pPr>
        <w:spacing w:after="0" w:line="240" w:lineRule="auto"/>
      </w:pPr>
      <w:r>
        <w:continuationSeparator/>
      </w:r>
    </w:p>
  </w:endnote>
  <w:endnote w:type="continuationNotice" w:id="1">
    <w:p w14:paraId="739BCABF" w14:textId="77777777" w:rsidR="00E12095" w:rsidRDefault="00E120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079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833B5" w14:textId="16820887" w:rsidR="00C859C2" w:rsidRDefault="00C85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33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25FBFF0" w14:textId="77777777" w:rsidR="00C859C2" w:rsidRDefault="00C85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188F0" w14:textId="77777777" w:rsidR="00E12095" w:rsidRDefault="00E12095" w:rsidP="008F0C36">
      <w:pPr>
        <w:spacing w:after="0" w:line="240" w:lineRule="auto"/>
      </w:pPr>
      <w:r>
        <w:separator/>
      </w:r>
    </w:p>
  </w:footnote>
  <w:footnote w:type="continuationSeparator" w:id="0">
    <w:p w14:paraId="2484794C" w14:textId="77777777" w:rsidR="00E12095" w:rsidRDefault="00E12095" w:rsidP="008F0C36">
      <w:pPr>
        <w:spacing w:after="0" w:line="240" w:lineRule="auto"/>
      </w:pPr>
      <w:r>
        <w:continuationSeparator/>
      </w:r>
    </w:p>
  </w:footnote>
  <w:footnote w:type="continuationNotice" w:id="1">
    <w:p w14:paraId="46C91735" w14:textId="77777777" w:rsidR="00E12095" w:rsidRDefault="00E120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77EFE" w14:textId="77777777" w:rsidR="00C859C2" w:rsidRDefault="00C85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81EE5"/>
    <w:multiLevelType w:val="hybridMultilevel"/>
    <w:tmpl w:val="D98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4418E"/>
    <w:multiLevelType w:val="hybridMultilevel"/>
    <w:tmpl w:val="B4D03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9E"/>
    <w:rsid w:val="00014B1F"/>
    <w:rsid w:val="00014F0F"/>
    <w:rsid w:val="00016584"/>
    <w:rsid w:val="00071F07"/>
    <w:rsid w:val="00073D67"/>
    <w:rsid w:val="00075CB9"/>
    <w:rsid w:val="00076DDE"/>
    <w:rsid w:val="00085EB6"/>
    <w:rsid w:val="00091E17"/>
    <w:rsid w:val="000A579F"/>
    <w:rsid w:val="000B273E"/>
    <w:rsid w:val="000B27ED"/>
    <w:rsid w:val="000D55B1"/>
    <w:rsid w:val="001139AD"/>
    <w:rsid w:val="0011555F"/>
    <w:rsid w:val="0013694A"/>
    <w:rsid w:val="00137271"/>
    <w:rsid w:val="00146EAA"/>
    <w:rsid w:val="0018105E"/>
    <w:rsid w:val="001862B7"/>
    <w:rsid w:val="001D686D"/>
    <w:rsid w:val="001D7D9E"/>
    <w:rsid w:val="0020496D"/>
    <w:rsid w:val="002074F1"/>
    <w:rsid w:val="00223EF3"/>
    <w:rsid w:val="00230C74"/>
    <w:rsid w:val="002424F4"/>
    <w:rsid w:val="00255549"/>
    <w:rsid w:val="00265747"/>
    <w:rsid w:val="0027163A"/>
    <w:rsid w:val="0029193A"/>
    <w:rsid w:val="002B771B"/>
    <w:rsid w:val="002C4DFE"/>
    <w:rsid w:val="002E27FD"/>
    <w:rsid w:val="002E2937"/>
    <w:rsid w:val="002F1EB9"/>
    <w:rsid w:val="00305EB9"/>
    <w:rsid w:val="003126D0"/>
    <w:rsid w:val="00323DE5"/>
    <w:rsid w:val="00335AD5"/>
    <w:rsid w:val="00360F11"/>
    <w:rsid w:val="003779CB"/>
    <w:rsid w:val="003C472A"/>
    <w:rsid w:val="00420F9A"/>
    <w:rsid w:val="00424B52"/>
    <w:rsid w:val="00436D09"/>
    <w:rsid w:val="00445B0B"/>
    <w:rsid w:val="00455A1A"/>
    <w:rsid w:val="00455D91"/>
    <w:rsid w:val="004578B7"/>
    <w:rsid w:val="00466E1B"/>
    <w:rsid w:val="004722A5"/>
    <w:rsid w:val="00487107"/>
    <w:rsid w:val="004A2A80"/>
    <w:rsid w:val="004A7E39"/>
    <w:rsid w:val="004B259F"/>
    <w:rsid w:val="004C372C"/>
    <w:rsid w:val="004D5091"/>
    <w:rsid w:val="004F376E"/>
    <w:rsid w:val="004F5839"/>
    <w:rsid w:val="00504956"/>
    <w:rsid w:val="00510F95"/>
    <w:rsid w:val="00521040"/>
    <w:rsid w:val="00525B6E"/>
    <w:rsid w:val="00530909"/>
    <w:rsid w:val="00540164"/>
    <w:rsid w:val="005421AD"/>
    <w:rsid w:val="00550D00"/>
    <w:rsid w:val="0055282F"/>
    <w:rsid w:val="00560035"/>
    <w:rsid w:val="00574224"/>
    <w:rsid w:val="0057497B"/>
    <w:rsid w:val="005856B2"/>
    <w:rsid w:val="00587573"/>
    <w:rsid w:val="005B12E3"/>
    <w:rsid w:val="005D0BC1"/>
    <w:rsid w:val="0060192B"/>
    <w:rsid w:val="00602B76"/>
    <w:rsid w:val="006112F4"/>
    <w:rsid w:val="00626377"/>
    <w:rsid w:val="0063324F"/>
    <w:rsid w:val="00656B3F"/>
    <w:rsid w:val="00671E81"/>
    <w:rsid w:val="00672EC6"/>
    <w:rsid w:val="00683C38"/>
    <w:rsid w:val="00691A2E"/>
    <w:rsid w:val="006A0B15"/>
    <w:rsid w:val="006B38EC"/>
    <w:rsid w:val="006C3C37"/>
    <w:rsid w:val="006D0954"/>
    <w:rsid w:val="006E0B54"/>
    <w:rsid w:val="006E2A99"/>
    <w:rsid w:val="006E34A9"/>
    <w:rsid w:val="006F3E68"/>
    <w:rsid w:val="00735CC9"/>
    <w:rsid w:val="00736234"/>
    <w:rsid w:val="007405AE"/>
    <w:rsid w:val="00747C48"/>
    <w:rsid w:val="00776936"/>
    <w:rsid w:val="007818D4"/>
    <w:rsid w:val="007846F6"/>
    <w:rsid w:val="007870EB"/>
    <w:rsid w:val="007A2D73"/>
    <w:rsid w:val="0080204B"/>
    <w:rsid w:val="00803A7F"/>
    <w:rsid w:val="00812161"/>
    <w:rsid w:val="00815060"/>
    <w:rsid w:val="00830A6C"/>
    <w:rsid w:val="008347BD"/>
    <w:rsid w:val="00842123"/>
    <w:rsid w:val="00893259"/>
    <w:rsid w:val="008A3E12"/>
    <w:rsid w:val="008C441F"/>
    <w:rsid w:val="008D06C0"/>
    <w:rsid w:val="008D2BF0"/>
    <w:rsid w:val="008D618D"/>
    <w:rsid w:val="008E510C"/>
    <w:rsid w:val="008F0C36"/>
    <w:rsid w:val="00905B97"/>
    <w:rsid w:val="00906C3A"/>
    <w:rsid w:val="00910EF2"/>
    <w:rsid w:val="00923071"/>
    <w:rsid w:val="00924B11"/>
    <w:rsid w:val="00951C3C"/>
    <w:rsid w:val="00962428"/>
    <w:rsid w:val="009674C6"/>
    <w:rsid w:val="00981ADB"/>
    <w:rsid w:val="009866A2"/>
    <w:rsid w:val="00993C33"/>
    <w:rsid w:val="009B47F3"/>
    <w:rsid w:val="009C6742"/>
    <w:rsid w:val="009D47DA"/>
    <w:rsid w:val="00A20A14"/>
    <w:rsid w:val="00A42E90"/>
    <w:rsid w:val="00A432E5"/>
    <w:rsid w:val="00A56C32"/>
    <w:rsid w:val="00A71467"/>
    <w:rsid w:val="00A8037D"/>
    <w:rsid w:val="00AC7DA4"/>
    <w:rsid w:val="00AF3184"/>
    <w:rsid w:val="00B14C65"/>
    <w:rsid w:val="00B279B3"/>
    <w:rsid w:val="00B43A0B"/>
    <w:rsid w:val="00B51CB3"/>
    <w:rsid w:val="00B6368F"/>
    <w:rsid w:val="00B64833"/>
    <w:rsid w:val="00B801AF"/>
    <w:rsid w:val="00B86333"/>
    <w:rsid w:val="00B97354"/>
    <w:rsid w:val="00BF538E"/>
    <w:rsid w:val="00C40FC7"/>
    <w:rsid w:val="00C4295E"/>
    <w:rsid w:val="00C5674C"/>
    <w:rsid w:val="00C753FB"/>
    <w:rsid w:val="00C82AF3"/>
    <w:rsid w:val="00C859C2"/>
    <w:rsid w:val="00C93B83"/>
    <w:rsid w:val="00CB02A4"/>
    <w:rsid w:val="00CD5658"/>
    <w:rsid w:val="00CE0B2C"/>
    <w:rsid w:val="00CF3304"/>
    <w:rsid w:val="00D00C28"/>
    <w:rsid w:val="00D076AC"/>
    <w:rsid w:val="00D1519A"/>
    <w:rsid w:val="00D80E19"/>
    <w:rsid w:val="00DA26E4"/>
    <w:rsid w:val="00DA2EEA"/>
    <w:rsid w:val="00DD52D5"/>
    <w:rsid w:val="00E062EE"/>
    <w:rsid w:val="00E10AAF"/>
    <w:rsid w:val="00E12095"/>
    <w:rsid w:val="00E13702"/>
    <w:rsid w:val="00E22B24"/>
    <w:rsid w:val="00E273AE"/>
    <w:rsid w:val="00E323A4"/>
    <w:rsid w:val="00E3557A"/>
    <w:rsid w:val="00E6003F"/>
    <w:rsid w:val="00E92F54"/>
    <w:rsid w:val="00EC5EAE"/>
    <w:rsid w:val="00EE2A97"/>
    <w:rsid w:val="00EF02BD"/>
    <w:rsid w:val="00F33EBB"/>
    <w:rsid w:val="00F61151"/>
    <w:rsid w:val="00F712B2"/>
    <w:rsid w:val="00F725D4"/>
    <w:rsid w:val="00F82EEE"/>
    <w:rsid w:val="00F843BF"/>
    <w:rsid w:val="00F95600"/>
    <w:rsid w:val="00FB305E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A5FD8"/>
  <w15:docId w15:val="{F27B9C36-6A6F-43AE-A27B-7A433A4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0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0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E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E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1A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23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B11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C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C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C36"/>
    <w:rPr>
      <w:vertAlign w:val="superscript"/>
    </w:rPr>
  </w:style>
  <w:style w:type="paragraph" w:styleId="Revision">
    <w:name w:val="Revision"/>
    <w:hidden/>
    <w:uiPriority w:val="99"/>
    <w:semiHidden/>
    <w:rsid w:val="00E3557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42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DE"/>
  </w:style>
  <w:style w:type="paragraph" w:styleId="Footer">
    <w:name w:val="footer"/>
    <w:basedOn w:val="Normal"/>
    <w:link w:val="FooterChar"/>
    <w:uiPriority w:val="99"/>
    <w:unhideWhenUsed/>
    <w:rsid w:val="0007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DE"/>
  </w:style>
  <w:style w:type="character" w:styleId="LineNumber">
    <w:name w:val="line number"/>
    <w:basedOn w:val="DefaultParagraphFont"/>
    <w:uiPriority w:val="99"/>
    <w:semiHidden/>
    <w:unhideWhenUsed/>
    <w:rsid w:val="00076DDE"/>
  </w:style>
  <w:style w:type="character" w:styleId="Hyperlink">
    <w:name w:val="Hyperlink"/>
    <w:basedOn w:val="DefaultParagraphFont"/>
    <w:uiPriority w:val="99"/>
    <w:unhideWhenUsed/>
    <w:rsid w:val="00740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JonMinton/danny_elderly_mort/blob/master/scripts/extract_combined_ons.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onMinton/danny_elderly_mor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JonMinton/danny_elderly_mort/blob/master/scripts/analyses_with_only_ons.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JonMinton/danny_elderly_mort/blob/master/scripts/intro_graphs.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82C13-7AEA-4653-A1D7-6BD79579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Minton</dc:creator>
  <cp:lastModifiedBy>Jonathan Minton</cp:lastModifiedBy>
  <cp:revision>5</cp:revision>
  <dcterms:created xsi:type="dcterms:W3CDTF">2016-10-09T14:36:00Z</dcterms:created>
  <dcterms:modified xsi:type="dcterms:W3CDTF">2016-10-10T16:51:00Z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http://www.zotero.org/styles/journal-of-epidemiology-and-community-health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Name 0_1">
    <vt:lpwstr>American Psychological Association 6th edition</vt:lpwstr>
  </property>
  <property fmtid="{D5CDD505-2E9C-101B-9397-08002B2CF9AE}" pid="6" name="Mendeley Recent Style Id 1_1">
    <vt:lpwstr>http://www.zotero.org/styles/american-sociological-association</vt:lpwstr>
  </property>
  <property fmtid="{D5CDD505-2E9C-101B-9397-08002B2CF9AE}" pid="7" name="Mendeley Recent Style Name 1_1">
    <vt:lpwstr>American Sociological Association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2_1">
    <vt:lpwstr>Chicago Manual of Style 16th edition (author-date)</vt:lpwstr>
  </property>
  <property fmtid="{D5CDD505-2E9C-101B-9397-08002B2CF9AE}" pid="10" name="Mendeley Recent Style Id 3_1">
    <vt:lpwstr>http://www.zotero.org/styles/environment-and-planning-a</vt:lpwstr>
  </property>
  <property fmtid="{D5CDD505-2E9C-101B-9397-08002B2CF9AE}" pid="11" name="Mendeley Recent Style Name 3_1">
    <vt:lpwstr>Environment and Planning A</vt:lpwstr>
  </property>
  <property fmtid="{D5CDD505-2E9C-101B-9397-08002B2CF9AE}" pid="12" name="Mendeley Recent Style Id 4_1">
    <vt:lpwstr>http://www.zotero.org/styles/european-journal-of-epidemiology</vt:lpwstr>
  </property>
  <property fmtid="{D5CDD505-2E9C-101B-9397-08002B2CF9AE}" pid="13" name="Mendeley Recent Style Name 4_1">
    <vt:lpwstr>European Journal of Epidemiology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http://www.zotero.org/styles/journal-of-epidemiology-and-community-health</vt:lpwstr>
  </property>
  <property fmtid="{D5CDD505-2E9C-101B-9397-08002B2CF9AE}" pid="17" name="Mendeley Recent Style Name 6_1">
    <vt:lpwstr>Journal of Epidemiology and Community Health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http://www.zotero.org/styles/vancouver</vt:lpwstr>
  </property>
  <property fmtid="{D5CDD505-2E9C-101B-9397-08002B2CF9AE}" pid="23" name="Mendeley Recent Style Name 9_1">
    <vt:lpwstr>Vancouver</vt:lpwstr>
  </property>
  <property fmtid="{D5CDD505-2E9C-101B-9397-08002B2CF9AE}" pid="24" name="Mendeley Unique User Id_1">
    <vt:lpwstr>e8453a48-ceaf-3d0c-b380-7da2e09f5b65</vt:lpwstr>
  </property>
</Properties>
</file>