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48EAF0" w14:textId="39AC29EE" w:rsidR="00E22714" w:rsidRPr="002E3FE0" w:rsidRDefault="00E22714" w:rsidP="00E22714">
      <w:pPr>
        <w:pStyle w:val="Heading1"/>
        <w:spacing w:line="240" w:lineRule="auto"/>
        <w:rPr>
          <w:rFonts w:ascii="Times New Roman" w:hAnsi="Times New Roman" w:cs="Times New Roman"/>
          <w:b/>
          <w:color w:val="auto"/>
          <w:sz w:val="24"/>
          <w:szCs w:val="20"/>
        </w:rPr>
      </w:pPr>
      <w:r w:rsidRPr="002E3FE0">
        <w:rPr>
          <w:rFonts w:ascii="Times New Roman" w:hAnsi="Times New Roman" w:cs="Times New Roman"/>
          <w:b/>
          <w:color w:val="auto"/>
          <w:sz w:val="24"/>
          <w:szCs w:val="20"/>
        </w:rPr>
        <w:t>Title page</w:t>
      </w:r>
    </w:p>
    <w:p w14:paraId="3C7A44BF" w14:textId="77777777" w:rsidR="00E22714" w:rsidRPr="002E3FE0" w:rsidRDefault="00E22714" w:rsidP="00E22714">
      <w:pPr>
        <w:spacing w:line="240" w:lineRule="auto"/>
        <w:rPr>
          <w:sz w:val="20"/>
          <w:szCs w:val="20"/>
        </w:rPr>
      </w:pPr>
    </w:p>
    <w:p w14:paraId="276BBC64" w14:textId="161D14E0" w:rsidR="00E22714" w:rsidRPr="002E3FE0" w:rsidRDefault="00E22714" w:rsidP="00E22714">
      <w:pPr>
        <w:spacing w:line="240" w:lineRule="auto"/>
        <w:rPr>
          <w:rFonts w:ascii="Times New Roman" w:hAnsi="Times New Roman" w:cs="Times New Roman"/>
          <w:b/>
          <w:sz w:val="20"/>
          <w:szCs w:val="20"/>
        </w:rPr>
      </w:pPr>
      <w:r w:rsidRPr="002E3FE0">
        <w:rPr>
          <w:rFonts w:ascii="Times New Roman" w:hAnsi="Times New Roman" w:cs="Times New Roman"/>
          <w:b/>
          <w:sz w:val="20"/>
          <w:szCs w:val="20"/>
        </w:rPr>
        <w:t>Manuscript Title</w:t>
      </w:r>
      <w:r w:rsidR="00211ED3" w:rsidRPr="002E3FE0">
        <w:rPr>
          <w:rFonts w:ascii="Times New Roman" w:hAnsi="Times New Roman" w:cs="Times New Roman"/>
          <w:b/>
          <w:sz w:val="20"/>
          <w:szCs w:val="20"/>
        </w:rPr>
        <w:t xml:space="preserve">: </w:t>
      </w:r>
    </w:p>
    <w:p w14:paraId="74B69390" w14:textId="77777777" w:rsidR="00211ED3" w:rsidRPr="002E3FE0" w:rsidRDefault="00211ED3" w:rsidP="00211ED3">
      <w:pPr>
        <w:rPr>
          <w:rFonts w:ascii="Times New Roman" w:hAnsi="Times New Roman" w:cs="Times New Roman"/>
          <w:sz w:val="20"/>
          <w:szCs w:val="20"/>
        </w:rPr>
      </w:pPr>
      <w:r w:rsidRPr="002E3FE0">
        <w:rPr>
          <w:rFonts w:ascii="Times New Roman" w:hAnsi="Times New Roman" w:cs="Times New Roman"/>
          <w:sz w:val="20"/>
          <w:szCs w:val="20"/>
        </w:rPr>
        <w:t>An Unprecedented Demographic Transition: Tens of Thousands of Additional Deaths among the Elderly in England and Wales, 2010-2015</w:t>
      </w:r>
    </w:p>
    <w:p w14:paraId="60CF91E6" w14:textId="77777777" w:rsidR="00211ED3" w:rsidRPr="00031EB4" w:rsidRDefault="00211ED3" w:rsidP="00E22714">
      <w:pPr>
        <w:spacing w:line="240" w:lineRule="auto"/>
      </w:pPr>
    </w:p>
    <w:p w14:paraId="0E1F2E15" w14:textId="44E83B53" w:rsidR="00E22714" w:rsidRPr="002E3FE0" w:rsidRDefault="00E22714" w:rsidP="00E22714">
      <w:pPr>
        <w:spacing w:line="240" w:lineRule="auto"/>
        <w:rPr>
          <w:rFonts w:ascii="Times New Roman" w:hAnsi="Times New Roman" w:cs="Times New Roman"/>
          <w:b/>
          <w:sz w:val="20"/>
        </w:rPr>
      </w:pPr>
      <w:r w:rsidRPr="002E3FE0">
        <w:rPr>
          <w:rFonts w:ascii="Times New Roman" w:hAnsi="Times New Roman" w:cs="Times New Roman"/>
          <w:b/>
          <w:sz w:val="20"/>
        </w:rPr>
        <w:t>Authors</w:t>
      </w:r>
      <w:r w:rsidR="002E3FE0">
        <w:rPr>
          <w:rFonts w:ascii="Times New Roman" w:hAnsi="Times New Roman" w:cs="Times New Roman"/>
          <w:b/>
          <w:sz w:val="20"/>
        </w:rPr>
        <w:t>:</w:t>
      </w:r>
      <w:r w:rsidRPr="002E3FE0">
        <w:rPr>
          <w:rFonts w:ascii="Times New Roman" w:hAnsi="Times New Roman" w:cs="Times New Roman"/>
          <w:b/>
          <w:sz w:val="20"/>
        </w:rPr>
        <w:t xml:space="preserve"> </w:t>
      </w:r>
    </w:p>
    <w:p w14:paraId="678021F8" w14:textId="22A1A972" w:rsidR="00211ED3" w:rsidRPr="002E3FE0" w:rsidRDefault="00211ED3" w:rsidP="00E22714">
      <w:pPr>
        <w:spacing w:line="240" w:lineRule="auto"/>
        <w:rPr>
          <w:rFonts w:ascii="Times New Roman" w:hAnsi="Times New Roman" w:cs="Times New Roman"/>
          <w:sz w:val="20"/>
        </w:rPr>
      </w:pPr>
      <w:r w:rsidRPr="002E3FE0">
        <w:rPr>
          <w:rFonts w:ascii="Times New Roman" w:hAnsi="Times New Roman" w:cs="Times New Roman"/>
          <w:sz w:val="20"/>
        </w:rPr>
        <w:t>Minton, Jon</w:t>
      </w:r>
      <w:r w:rsidR="008074B2" w:rsidRPr="002E3FE0">
        <w:rPr>
          <w:rFonts w:ascii="Times New Roman" w:hAnsi="Times New Roman" w:cs="Times New Roman"/>
          <w:sz w:val="20"/>
        </w:rPr>
        <w:t xml:space="preserve"> PhD [1, Corresponding author]</w:t>
      </w:r>
    </w:p>
    <w:p w14:paraId="64E2744E" w14:textId="1296149E" w:rsidR="00211ED3" w:rsidRPr="002E3FE0" w:rsidRDefault="00211ED3" w:rsidP="00E22714">
      <w:pPr>
        <w:spacing w:line="240" w:lineRule="auto"/>
        <w:rPr>
          <w:rFonts w:ascii="Times New Roman" w:hAnsi="Times New Roman" w:cs="Times New Roman"/>
          <w:sz w:val="20"/>
        </w:rPr>
      </w:pPr>
      <w:r w:rsidRPr="002E3FE0">
        <w:rPr>
          <w:rFonts w:ascii="Times New Roman" w:hAnsi="Times New Roman" w:cs="Times New Roman"/>
          <w:sz w:val="20"/>
        </w:rPr>
        <w:t>Green, Mark</w:t>
      </w:r>
      <w:r w:rsidR="008074B2" w:rsidRPr="002E3FE0">
        <w:rPr>
          <w:rFonts w:ascii="Times New Roman" w:hAnsi="Times New Roman" w:cs="Times New Roman"/>
          <w:sz w:val="20"/>
        </w:rPr>
        <w:t xml:space="preserve"> PhD [2]</w:t>
      </w:r>
    </w:p>
    <w:p w14:paraId="0A1E582F" w14:textId="11F22C31" w:rsidR="00211ED3" w:rsidRPr="002E3FE0" w:rsidRDefault="00211ED3" w:rsidP="00E22714">
      <w:pPr>
        <w:spacing w:line="240" w:lineRule="auto"/>
        <w:rPr>
          <w:rFonts w:ascii="Times New Roman" w:hAnsi="Times New Roman" w:cs="Times New Roman"/>
          <w:sz w:val="20"/>
        </w:rPr>
      </w:pPr>
      <w:r w:rsidRPr="002E3FE0">
        <w:rPr>
          <w:rFonts w:ascii="Times New Roman" w:hAnsi="Times New Roman" w:cs="Times New Roman"/>
          <w:sz w:val="20"/>
        </w:rPr>
        <w:t>Pickett, Kate</w:t>
      </w:r>
      <w:r w:rsidR="008074B2" w:rsidRPr="002E3FE0">
        <w:rPr>
          <w:rFonts w:ascii="Times New Roman" w:hAnsi="Times New Roman" w:cs="Times New Roman"/>
          <w:sz w:val="20"/>
        </w:rPr>
        <w:t xml:space="preserve"> PhD [3]</w:t>
      </w:r>
    </w:p>
    <w:p w14:paraId="6324502C" w14:textId="677E144B" w:rsidR="00211ED3" w:rsidRPr="002E3FE0" w:rsidRDefault="00211ED3" w:rsidP="00E22714">
      <w:pPr>
        <w:spacing w:line="240" w:lineRule="auto"/>
        <w:rPr>
          <w:rFonts w:ascii="Times New Roman" w:hAnsi="Times New Roman" w:cs="Times New Roman"/>
          <w:sz w:val="20"/>
        </w:rPr>
      </w:pPr>
      <w:r w:rsidRPr="002E3FE0">
        <w:rPr>
          <w:rFonts w:ascii="Times New Roman" w:hAnsi="Times New Roman" w:cs="Times New Roman"/>
          <w:sz w:val="20"/>
        </w:rPr>
        <w:t>Dorling, Danny</w:t>
      </w:r>
      <w:r w:rsidR="008074B2" w:rsidRPr="002E3FE0">
        <w:rPr>
          <w:rFonts w:ascii="Times New Roman" w:hAnsi="Times New Roman" w:cs="Times New Roman"/>
          <w:sz w:val="20"/>
        </w:rPr>
        <w:t xml:space="preserve"> PhD [4]</w:t>
      </w:r>
    </w:p>
    <w:p w14:paraId="12A70D30" w14:textId="77777777" w:rsidR="008074B2" w:rsidRPr="00031EB4" w:rsidRDefault="008074B2" w:rsidP="00E22714">
      <w:pPr>
        <w:spacing w:line="240" w:lineRule="auto"/>
        <w:rPr>
          <w:rFonts w:ascii="Times New Roman" w:hAnsi="Times New Roman" w:cs="Times New Roman"/>
          <w:b/>
        </w:rPr>
      </w:pPr>
    </w:p>
    <w:p w14:paraId="2DB1AF5F" w14:textId="1C38C62E" w:rsidR="008074B2" w:rsidRPr="002E3FE0" w:rsidRDefault="008074B2" w:rsidP="00E22714">
      <w:pPr>
        <w:spacing w:line="240" w:lineRule="auto"/>
        <w:rPr>
          <w:rFonts w:ascii="Times New Roman" w:hAnsi="Times New Roman" w:cs="Times New Roman"/>
          <w:b/>
          <w:sz w:val="20"/>
        </w:rPr>
      </w:pPr>
      <w:r w:rsidRPr="002E3FE0">
        <w:rPr>
          <w:rFonts w:ascii="Times New Roman" w:hAnsi="Times New Roman" w:cs="Times New Roman"/>
          <w:b/>
          <w:sz w:val="20"/>
        </w:rPr>
        <w:t>Affiliations and Contact Details</w:t>
      </w:r>
      <w:r w:rsidR="002E3FE0">
        <w:rPr>
          <w:rFonts w:ascii="Times New Roman" w:hAnsi="Times New Roman" w:cs="Times New Roman"/>
          <w:b/>
          <w:sz w:val="20"/>
        </w:rPr>
        <w:t>:</w:t>
      </w:r>
    </w:p>
    <w:p w14:paraId="5491E22A" w14:textId="721DE514" w:rsidR="008074B2" w:rsidRPr="002E3FE0" w:rsidRDefault="008074B2" w:rsidP="00E22714">
      <w:pPr>
        <w:spacing w:line="240" w:lineRule="auto"/>
        <w:rPr>
          <w:rFonts w:ascii="Times New Roman" w:hAnsi="Times New Roman" w:cs="Times New Roman"/>
        </w:rPr>
      </w:pPr>
      <w:r w:rsidRPr="002E3FE0">
        <w:rPr>
          <w:rFonts w:ascii="Times New Roman" w:hAnsi="Times New Roman" w:cs="Times New Roman"/>
        </w:rPr>
        <w:t xml:space="preserve">[1] University of Glasgow, School of Social &amp; Political Sciences, 25 Bute Gardens, Glasgow, G12 8RS (email: </w:t>
      </w:r>
      <w:hyperlink r:id="rId8" w:history="1">
        <w:r w:rsidRPr="002E3FE0">
          <w:rPr>
            <w:rStyle w:val="Hyperlink"/>
            <w:rFonts w:ascii="Times New Roman" w:hAnsi="Times New Roman" w:cs="Times New Roman"/>
            <w:color w:val="auto"/>
          </w:rPr>
          <w:t>jonathan.minton@glasgow.ac.uk</w:t>
        </w:r>
      </w:hyperlink>
      <w:r w:rsidRPr="002E3FE0">
        <w:rPr>
          <w:rFonts w:ascii="Times New Roman" w:hAnsi="Times New Roman" w:cs="Times New Roman"/>
        </w:rPr>
        <w:t>; telephone: 0141 330 6032)</w:t>
      </w:r>
    </w:p>
    <w:p w14:paraId="774CE1E8" w14:textId="66D56ECC" w:rsidR="00E22714" w:rsidRPr="002E3FE0" w:rsidRDefault="008074B2" w:rsidP="00E22714">
      <w:pPr>
        <w:spacing w:line="240" w:lineRule="auto"/>
        <w:rPr>
          <w:rFonts w:ascii="Times New Roman" w:hAnsi="Times New Roman" w:cs="Times New Roman"/>
        </w:rPr>
      </w:pPr>
      <w:r w:rsidRPr="002E3FE0">
        <w:rPr>
          <w:rFonts w:ascii="Times New Roman" w:hAnsi="Times New Roman" w:cs="Times New Roman"/>
        </w:rPr>
        <w:t xml:space="preserve">[2] University of Liverpool, School of Environmental Sciences, Jane </w:t>
      </w:r>
      <w:proofErr w:type="spellStart"/>
      <w:r w:rsidRPr="002E3FE0">
        <w:rPr>
          <w:rFonts w:ascii="Times New Roman" w:hAnsi="Times New Roman" w:cs="Times New Roman"/>
        </w:rPr>
        <w:t>Herdman</w:t>
      </w:r>
      <w:proofErr w:type="spellEnd"/>
      <w:r w:rsidRPr="002E3FE0">
        <w:rPr>
          <w:rFonts w:ascii="Times New Roman" w:hAnsi="Times New Roman" w:cs="Times New Roman"/>
        </w:rPr>
        <w:t xml:space="preserve"> Building, Liverpool, L69 3GP</w:t>
      </w:r>
    </w:p>
    <w:p w14:paraId="0F2057D0" w14:textId="4DECF3C3" w:rsidR="008074B2" w:rsidRPr="002E3FE0" w:rsidRDefault="008074B2" w:rsidP="00E22714">
      <w:pPr>
        <w:spacing w:line="240" w:lineRule="auto"/>
        <w:rPr>
          <w:rFonts w:ascii="Times New Roman" w:hAnsi="Times New Roman" w:cs="Times New Roman"/>
        </w:rPr>
      </w:pPr>
      <w:r w:rsidRPr="002E3FE0">
        <w:rPr>
          <w:rFonts w:ascii="Times New Roman" w:hAnsi="Times New Roman" w:cs="Times New Roman"/>
        </w:rPr>
        <w:t xml:space="preserve">[3] University of York, Department of Health Sciences, </w:t>
      </w:r>
      <w:proofErr w:type="spellStart"/>
      <w:r w:rsidRPr="002E3FE0">
        <w:rPr>
          <w:rFonts w:ascii="Times New Roman" w:hAnsi="Times New Roman" w:cs="Times New Roman"/>
        </w:rPr>
        <w:t>Seebohm</w:t>
      </w:r>
      <w:proofErr w:type="spellEnd"/>
      <w:r w:rsidRPr="002E3FE0">
        <w:rPr>
          <w:rFonts w:ascii="Times New Roman" w:hAnsi="Times New Roman" w:cs="Times New Roman"/>
        </w:rPr>
        <w:t xml:space="preserve"> Rowntree Building, York, YO10 5DD</w:t>
      </w:r>
    </w:p>
    <w:p w14:paraId="6ADD7C0D" w14:textId="68CCC017" w:rsidR="008074B2" w:rsidRPr="002E3FE0" w:rsidRDefault="008074B2" w:rsidP="00E22714">
      <w:pPr>
        <w:spacing w:line="240" w:lineRule="auto"/>
        <w:rPr>
          <w:rFonts w:ascii="Times New Roman" w:hAnsi="Times New Roman" w:cs="Times New Roman"/>
        </w:rPr>
      </w:pPr>
      <w:r w:rsidRPr="002E3FE0">
        <w:rPr>
          <w:rFonts w:ascii="Times New Roman" w:hAnsi="Times New Roman" w:cs="Times New Roman"/>
        </w:rPr>
        <w:t>[4] University of Oxford, School of Geography and the Environment, South Parks Road, Oxford, OX1 3QY</w:t>
      </w:r>
    </w:p>
    <w:p w14:paraId="08ED4AE9" w14:textId="77777777" w:rsidR="00822AB3" w:rsidRPr="002E3FE0" w:rsidRDefault="00822AB3">
      <w:pPr>
        <w:rPr>
          <w:rFonts w:ascii="Times New Roman" w:eastAsiaTheme="majorEastAsia" w:hAnsi="Times New Roman" w:cs="Times New Roman"/>
          <w:b/>
          <w:sz w:val="24"/>
          <w:szCs w:val="32"/>
        </w:rPr>
      </w:pPr>
      <w:r w:rsidRPr="002E3FE0">
        <w:rPr>
          <w:rFonts w:ascii="Times New Roman" w:hAnsi="Times New Roman" w:cs="Times New Roman"/>
          <w:b/>
          <w:sz w:val="24"/>
        </w:rPr>
        <w:br w:type="page"/>
      </w:r>
    </w:p>
    <w:p w14:paraId="6B847A0D" w14:textId="3B2B5875" w:rsidR="000B27ED" w:rsidRPr="00031EB4" w:rsidRDefault="00D80E19" w:rsidP="00E22714">
      <w:pPr>
        <w:pStyle w:val="Heading1"/>
        <w:spacing w:line="240" w:lineRule="auto"/>
        <w:rPr>
          <w:rFonts w:ascii="Times New Roman" w:hAnsi="Times New Roman" w:cs="Times New Roman"/>
          <w:b/>
          <w:color w:val="auto"/>
          <w:sz w:val="24"/>
        </w:rPr>
      </w:pPr>
      <w:r w:rsidRPr="00031EB4">
        <w:rPr>
          <w:rFonts w:ascii="Times New Roman" w:hAnsi="Times New Roman" w:cs="Times New Roman"/>
          <w:b/>
          <w:color w:val="auto"/>
          <w:sz w:val="24"/>
        </w:rPr>
        <w:lastRenderedPageBreak/>
        <w:t xml:space="preserve">Abstract </w:t>
      </w:r>
    </w:p>
    <w:p w14:paraId="544B3590" w14:textId="77777777" w:rsidR="00D80E19" w:rsidRPr="00031EB4" w:rsidRDefault="00D80E19" w:rsidP="00E22714">
      <w:pPr>
        <w:spacing w:line="240" w:lineRule="auto"/>
        <w:rPr>
          <w:rFonts w:ascii="Times New Roman" w:hAnsi="Times New Roman" w:cs="Times New Roman"/>
        </w:rPr>
      </w:pPr>
    </w:p>
    <w:p w14:paraId="56DA7DB1" w14:textId="77777777" w:rsidR="00776936" w:rsidRPr="00031EB4" w:rsidRDefault="00776936" w:rsidP="00E22714">
      <w:pPr>
        <w:spacing w:line="240" w:lineRule="auto"/>
        <w:rPr>
          <w:rFonts w:ascii="Times New Roman" w:hAnsi="Times New Roman" w:cs="Times New Roman"/>
          <w:b/>
          <w:sz w:val="20"/>
        </w:rPr>
      </w:pPr>
      <w:r w:rsidRPr="00031EB4">
        <w:rPr>
          <w:rFonts w:ascii="Times New Roman" w:hAnsi="Times New Roman" w:cs="Times New Roman"/>
          <w:b/>
          <w:sz w:val="20"/>
        </w:rPr>
        <w:t>Background</w:t>
      </w:r>
    </w:p>
    <w:p w14:paraId="1714D2F5" w14:textId="52FDFD6B" w:rsidR="00776936" w:rsidRPr="00031EB4" w:rsidRDefault="00776936" w:rsidP="00E22714">
      <w:pPr>
        <w:spacing w:line="240" w:lineRule="auto"/>
        <w:rPr>
          <w:rFonts w:ascii="Times New Roman" w:hAnsi="Times New Roman" w:cs="Times New Roman"/>
          <w:sz w:val="20"/>
          <w:szCs w:val="20"/>
        </w:rPr>
      </w:pPr>
      <w:r w:rsidRPr="00031EB4">
        <w:rPr>
          <w:rFonts w:ascii="Times New Roman" w:hAnsi="Times New Roman" w:cs="Times New Roman"/>
          <w:sz w:val="20"/>
          <w:szCs w:val="20"/>
        </w:rPr>
        <w:t xml:space="preserve">All-cause age-specific mortality </w:t>
      </w:r>
      <w:r w:rsidR="00436D09" w:rsidRPr="00031EB4">
        <w:rPr>
          <w:rFonts w:ascii="Times New Roman" w:hAnsi="Times New Roman" w:cs="Times New Roman"/>
          <w:sz w:val="20"/>
          <w:szCs w:val="20"/>
        </w:rPr>
        <w:t>has</w:t>
      </w:r>
      <w:r w:rsidRPr="00031EB4">
        <w:rPr>
          <w:rFonts w:ascii="Times New Roman" w:hAnsi="Times New Roman" w:cs="Times New Roman"/>
          <w:sz w:val="20"/>
          <w:szCs w:val="20"/>
        </w:rPr>
        <w:t xml:space="preserve"> </w:t>
      </w:r>
      <w:r w:rsidR="00E6003F" w:rsidRPr="00031EB4">
        <w:rPr>
          <w:rFonts w:ascii="Times New Roman" w:hAnsi="Times New Roman" w:cs="Times New Roman"/>
          <w:sz w:val="20"/>
          <w:szCs w:val="20"/>
        </w:rPr>
        <w:t>been falling</w:t>
      </w:r>
      <w:r w:rsidR="000B27ED" w:rsidRPr="00031EB4">
        <w:rPr>
          <w:rFonts w:ascii="Times New Roman" w:hAnsi="Times New Roman" w:cs="Times New Roman"/>
          <w:sz w:val="20"/>
          <w:szCs w:val="20"/>
        </w:rPr>
        <w:t xml:space="preserve"> </w:t>
      </w:r>
      <w:r w:rsidRPr="00031EB4">
        <w:rPr>
          <w:rFonts w:ascii="Times New Roman" w:hAnsi="Times New Roman" w:cs="Times New Roman"/>
          <w:sz w:val="20"/>
          <w:szCs w:val="20"/>
        </w:rPr>
        <w:t xml:space="preserve">in England &amp; Wales for more than a century. The period 2008-2015 has seen both a global recession and an ‘austerity’ agenda of reduced investment in public services. </w:t>
      </w:r>
      <w:r w:rsidR="00E273AE" w:rsidRPr="00031EB4">
        <w:rPr>
          <w:rFonts w:ascii="Times New Roman" w:hAnsi="Times New Roman" w:cs="Times New Roman"/>
          <w:sz w:val="20"/>
          <w:szCs w:val="20"/>
        </w:rPr>
        <w:t>Death rates amongst the elderly have increased in this period, reversing the long-term trends.</w:t>
      </w:r>
    </w:p>
    <w:p w14:paraId="14EDCAD0" w14:textId="77777777" w:rsidR="00776936" w:rsidRPr="00031EB4" w:rsidRDefault="00776936" w:rsidP="00E22714">
      <w:pPr>
        <w:spacing w:line="240" w:lineRule="auto"/>
        <w:rPr>
          <w:rFonts w:ascii="Times New Roman" w:hAnsi="Times New Roman" w:cs="Times New Roman"/>
          <w:b/>
          <w:sz w:val="20"/>
        </w:rPr>
      </w:pPr>
      <w:r w:rsidRPr="00031EB4">
        <w:rPr>
          <w:rFonts w:ascii="Times New Roman" w:hAnsi="Times New Roman" w:cs="Times New Roman"/>
          <w:b/>
          <w:sz w:val="20"/>
        </w:rPr>
        <w:t>Aim</w:t>
      </w:r>
    </w:p>
    <w:p w14:paraId="018A3DD2" w14:textId="74EFC543" w:rsidR="00776936" w:rsidRPr="00031EB4" w:rsidRDefault="00E273AE" w:rsidP="00E22714">
      <w:pPr>
        <w:spacing w:line="240" w:lineRule="auto"/>
        <w:rPr>
          <w:rFonts w:ascii="Times New Roman" w:hAnsi="Times New Roman" w:cs="Times New Roman"/>
          <w:sz w:val="20"/>
        </w:rPr>
      </w:pPr>
      <w:r w:rsidRPr="00031EB4">
        <w:rPr>
          <w:rFonts w:ascii="Times New Roman" w:hAnsi="Times New Roman" w:cs="Times New Roman"/>
          <w:sz w:val="20"/>
        </w:rPr>
        <w:t xml:space="preserve">To quantify the level of ‘excess deaths’ over the period 2010-2015 in England &amp; Wales by comparing actual age-specific death rates in each year against modelled estimates if previous mortality improvements had continued. </w:t>
      </w:r>
    </w:p>
    <w:p w14:paraId="2F7253DE" w14:textId="77777777" w:rsidR="00776936" w:rsidRPr="00031EB4" w:rsidRDefault="00776936" w:rsidP="00E22714">
      <w:pPr>
        <w:spacing w:line="240" w:lineRule="auto"/>
        <w:rPr>
          <w:rFonts w:ascii="Times New Roman" w:hAnsi="Times New Roman" w:cs="Times New Roman"/>
          <w:b/>
          <w:sz w:val="20"/>
        </w:rPr>
      </w:pPr>
      <w:r w:rsidRPr="00031EB4">
        <w:rPr>
          <w:rFonts w:ascii="Times New Roman" w:hAnsi="Times New Roman" w:cs="Times New Roman"/>
          <w:b/>
          <w:sz w:val="20"/>
        </w:rPr>
        <w:t xml:space="preserve">Methods </w:t>
      </w:r>
    </w:p>
    <w:p w14:paraId="5008366D" w14:textId="2D6FA1EA" w:rsidR="00776936" w:rsidRPr="00031EB4" w:rsidRDefault="00776936" w:rsidP="00E22714">
      <w:pPr>
        <w:spacing w:line="240" w:lineRule="auto"/>
        <w:rPr>
          <w:rFonts w:ascii="Times New Roman" w:hAnsi="Times New Roman" w:cs="Times New Roman"/>
          <w:sz w:val="20"/>
        </w:rPr>
      </w:pPr>
      <w:r w:rsidRPr="00031EB4">
        <w:rPr>
          <w:rFonts w:ascii="Times New Roman" w:hAnsi="Times New Roman" w:cs="Times New Roman"/>
          <w:sz w:val="20"/>
        </w:rPr>
        <w:t xml:space="preserve">Office for National Statistics data on population counts and death counts at each age in single years were used to construct </w:t>
      </w:r>
      <w:r w:rsidR="000B27ED" w:rsidRPr="00031EB4">
        <w:rPr>
          <w:rFonts w:ascii="Times New Roman" w:hAnsi="Times New Roman" w:cs="Times New Roman"/>
          <w:sz w:val="20"/>
        </w:rPr>
        <w:t>projections</w:t>
      </w:r>
      <w:r w:rsidRPr="00031EB4">
        <w:rPr>
          <w:rFonts w:ascii="Times New Roman" w:hAnsi="Times New Roman" w:cs="Times New Roman"/>
          <w:sz w:val="20"/>
        </w:rPr>
        <w:t xml:space="preserve"> of mortality risk </w:t>
      </w:r>
      <w:r w:rsidR="00436D09" w:rsidRPr="00031EB4">
        <w:rPr>
          <w:rFonts w:ascii="Times New Roman" w:hAnsi="Times New Roman" w:cs="Times New Roman"/>
          <w:sz w:val="20"/>
        </w:rPr>
        <w:t xml:space="preserve">per </w:t>
      </w:r>
      <w:r w:rsidRPr="00031EB4">
        <w:rPr>
          <w:rFonts w:ascii="Times New Roman" w:hAnsi="Times New Roman" w:cs="Times New Roman"/>
          <w:sz w:val="20"/>
        </w:rPr>
        <w:t xml:space="preserve">year </w:t>
      </w:r>
      <w:r w:rsidR="000B27ED" w:rsidRPr="00031EB4">
        <w:rPr>
          <w:rFonts w:ascii="Times New Roman" w:hAnsi="Times New Roman" w:cs="Times New Roman"/>
          <w:sz w:val="20"/>
        </w:rPr>
        <w:t>based on the trend</w:t>
      </w:r>
      <w:r w:rsidRPr="00031EB4">
        <w:rPr>
          <w:rFonts w:ascii="Times New Roman" w:hAnsi="Times New Roman" w:cs="Times New Roman"/>
          <w:sz w:val="20"/>
        </w:rPr>
        <w:t xml:space="preserve"> from 1990 to 2010. </w:t>
      </w:r>
      <w:r w:rsidR="00014B1F" w:rsidRPr="00031EB4">
        <w:rPr>
          <w:rFonts w:ascii="Times New Roman" w:hAnsi="Times New Roman" w:cs="Times New Roman"/>
          <w:sz w:val="20"/>
        </w:rPr>
        <w:t xml:space="preserve">Actual mortality risks were compared with estimated risks over 2011-2015 to produce estimates of ‘excess deaths’ in each year by ages 50, 70 and 89 years. </w:t>
      </w:r>
    </w:p>
    <w:p w14:paraId="661CE393" w14:textId="77777777" w:rsidR="00776936" w:rsidRPr="00031EB4" w:rsidRDefault="00776936" w:rsidP="00E22714">
      <w:pPr>
        <w:spacing w:line="240" w:lineRule="auto"/>
        <w:rPr>
          <w:rFonts w:ascii="Times New Roman" w:hAnsi="Times New Roman" w:cs="Times New Roman"/>
          <w:b/>
          <w:sz w:val="20"/>
        </w:rPr>
      </w:pPr>
      <w:r w:rsidRPr="00031EB4">
        <w:rPr>
          <w:rFonts w:ascii="Times New Roman" w:hAnsi="Times New Roman" w:cs="Times New Roman"/>
          <w:b/>
          <w:sz w:val="20"/>
        </w:rPr>
        <w:t xml:space="preserve">Results </w:t>
      </w:r>
    </w:p>
    <w:p w14:paraId="7D537D2D" w14:textId="2EA34A2D" w:rsidR="00776936" w:rsidRPr="00031EB4" w:rsidRDefault="00223EF3" w:rsidP="00E22714">
      <w:pPr>
        <w:spacing w:line="240" w:lineRule="auto"/>
        <w:rPr>
          <w:rFonts w:ascii="Times New Roman" w:hAnsi="Times New Roman" w:cs="Times New Roman"/>
          <w:sz w:val="20"/>
        </w:rPr>
      </w:pPr>
      <w:r w:rsidRPr="00031EB4">
        <w:rPr>
          <w:rFonts w:ascii="Times New Roman" w:hAnsi="Times New Roman" w:cs="Times New Roman"/>
          <w:sz w:val="20"/>
        </w:rPr>
        <w:t>Between 2010 and 2015 there were</w:t>
      </w:r>
      <w:r w:rsidR="00830A6C" w:rsidRPr="00031EB4">
        <w:rPr>
          <w:rFonts w:ascii="Times New Roman" w:hAnsi="Times New Roman" w:cs="Times New Roman"/>
          <w:sz w:val="20"/>
        </w:rPr>
        <w:t xml:space="preserve"> almost 32,000 more deaths up to the age of 89 years than would have been expected from </w:t>
      </w:r>
      <w:r w:rsidRPr="00031EB4">
        <w:rPr>
          <w:rFonts w:ascii="Times New Roman" w:hAnsi="Times New Roman" w:cs="Times New Roman"/>
          <w:sz w:val="20"/>
        </w:rPr>
        <w:t>prior trends</w:t>
      </w:r>
      <w:r w:rsidR="00830A6C" w:rsidRPr="00031EB4">
        <w:rPr>
          <w:rFonts w:ascii="Times New Roman" w:hAnsi="Times New Roman" w:cs="Times New Roman"/>
          <w:sz w:val="20"/>
        </w:rPr>
        <w:t xml:space="preserve">. </w:t>
      </w:r>
      <w:r w:rsidRPr="00031EB4">
        <w:rPr>
          <w:rFonts w:ascii="Times New Roman" w:hAnsi="Times New Roman" w:cs="Times New Roman"/>
          <w:sz w:val="20"/>
        </w:rPr>
        <w:t>E</w:t>
      </w:r>
      <w:r w:rsidR="00830A6C" w:rsidRPr="00031EB4">
        <w:rPr>
          <w:rFonts w:ascii="Times New Roman" w:hAnsi="Times New Roman" w:cs="Times New Roman"/>
          <w:sz w:val="20"/>
        </w:rPr>
        <w:t>xcess elderly deaths</w:t>
      </w:r>
      <w:r w:rsidRPr="00031EB4">
        <w:rPr>
          <w:rFonts w:ascii="Times New Roman" w:hAnsi="Times New Roman" w:cs="Times New Roman"/>
          <w:sz w:val="20"/>
        </w:rPr>
        <w:t xml:space="preserve"> (</w:t>
      </w:r>
      <w:r w:rsidR="00420F9A" w:rsidRPr="00031EB4">
        <w:rPr>
          <w:rFonts w:ascii="Times New Roman" w:hAnsi="Times New Roman" w:cs="Times New Roman"/>
          <w:sz w:val="20"/>
        </w:rPr>
        <w:t>up to age 89 years</w:t>
      </w:r>
      <w:r w:rsidRPr="00031EB4">
        <w:rPr>
          <w:rFonts w:ascii="Times New Roman" w:hAnsi="Times New Roman" w:cs="Times New Roman"/>
          <w:sz w:val="20"/>
        </w:rPr>
        <w:t>)</w:t>
      </w:r>
      <w:r w:rsidR="00830A6C" w:rsidRPr="00031EB4">
        <w:rPr>
          <w:rFonts w:ascii="Times New Roman" w:hAnsi="Times New Roman" w:cs="Times New Roman"/>
          <w:sz w:val="20"/>
        </w:rPr>
        <w:t xml:space="preserve"> increased sharply after 2011, with 42,018 more deaths than expected occurring between 2012 and 2015. </w:t>
      </w:r>
    </w:p>
    <w:p w14:paraId="06F63471" w14:textId="77777777" w:rsidR="00776936" w:rsidRPr="00031EB4" w:rsidRDefault="00776936" w:rsidP="00E22714">
      <w:pPr>
        <w:spacing w:line="240" w:lineRule="auto"/>
        <w:rPr>
          <w:rFonts w:ascii="Times New Roman" w:hAnsi="Times New Roman" w:cs="Times New Roman"/>
          <w:b/>
          <w:sz w:val="20"/>
        </w:rPr>
      </w:pPr>
      <w:r w:rsidRPr="00031EB4">
        <w:rPr>
          <w:rFonts w:ascii="Times New Roman" w:hAnsi="Times New Roman" w:cs="Times New Roman"/>
          <w:b/>
          <w:sz w:val="20"/>
        </w:rPr>
        <w:t xml:space="preserve">Discussion </w:t>
      </w:r>
    </w:p>
    <w:p w14:paraId="2E4687BA" w14:textId="1B77C56B" w:rsidR="00776936" w:rsidRPr="00031EB4" w:rsidRDefault="00776936" w:rsidP="00E22714">
      <w:pPr>
        <w:spacing w:line="240" w:lineRule="auto"/>
        <w:rPr>
          <w:rFonts w:ascii="Times New Roman" w:hAnsi="Times New Roman" w:cs="Times New Roman"/>
          <w:sz w:val="20"/>
        </w:rPr>
      </w:pPr>
      <w:r w:rsidRPr="00031EB4">
        <w:rPr>
          <w:rFonts w:ascii="Times New Roman" w:hAnsi="Times New Roman" w:cs="Times New Roman"/>
          <w:sz w:val="20"/>
        </w:rPr>
        <w:t xml:space="preserve">Falling levels of investment in social and health care services in England &amp; Wales since 2010 may be responsible for mortality rates at older ages either increasing or falling more slowly than would have been expected if previous improvements had continued. Mortality for males was improving rapidly before 2010 so had that trend continued many </w:t>
      </w:r>
      <w:r w:rsidR="00E6003F" w:rsidRPr="00031EB4">
        <w:rPr>
          <w:rFonts w:ascii="Times New Roman" w:hAnsi="Times New Roman" w:cs="Times New Roman"/>
          <w:sz w:val="20"/>
        </w:rPr>
        <w:t xml:space="preserve">more </w:t>
      </w:r>
      <w:r w:rsidRPr="00031EB4">
        <w:rPr>
          <w:rFonts w:ascii="Times New Roman" w:hAnsi="Times New Roman" w:cs="Times New Roman"/>
          <w:sz w:val="20"/>
        </w:rPr>
        <w:t xml:space="preserve">men would have been alive </w:t>
      </w:r>
      <w:r w:rsidR="00E273AE" w:rsidRPr="00031EB4">
        <w:rPr>
          <w:rFonts w:ascii="Times New Roman" w:hAnsi="Times New Roman" w:cs="Times New Roman"/>
          <w:sz w:val="20"/>
        </w:rPr>
        <w:t xml:space="preserve">at older ages </w:t>
      </w:r>
      <w:r w:rsidRPr="00031EB4">
        <w:rPr>
          <w:rFonts w:ascii="Times New Roman" w:hAnsi="Times New Roman" w:cs="Times New Roman"/>
          <w:sz w:val="20"/>
        </w:rPr>
        <w:t>by 2015. The actual rise in mortality was greater for older women.</w:t>
      </w:r>
    </w:p>
    <w:p w14:paraId="6452C46E" w14:textId="77777777" w:rsidR="00D80E19" w:rsidRPr="00031EB4" w:rsidRDefault="00D80E19" w:rsidP="00E22714">
      <w:pPr>
        <w:spacing w:line="240" w:lineRule="auto"/>
        <w:rPr>
          <w:rFonts w:ascii="Times New Roman" w:eastAsiaTheme="majorEastAsia" w:hAnsi="Times New Roman" w:cs="Times New Roman"/>
          <w:sz w:val="32"/>
          <w:szCs w:val="32"/>
        </w:rPr>
      </w:pPr>
    </w:p>
    <w:p w14:paraId="5646981C" w14:textId="77777777" w:rsidR="00D80E19" w:rsidRPr="00031EB4" w:rsidRDefault="00D80E19" w:rsidP="00E22714">
      <w:pPr>
        <w:spacing w:line="240" w:lineRule="auto"/>
        <w:rPr>
          <w:rFonts w:ascii="Times New Roman" w:eastAsiaTheme="majorEastAsia" w:hAnsi="Times New Roman" w:cs="Times New Roman"/>
          <w:sz w:val="32"/>
          <w:szCs w:val="32"/>
        </w:rPr>
      </w:pPr>
      <w:r w:rsidRPr="00031EB4">
        <w:rPr>
          <w:rFonts w:ascii="Times New Roman" w:hAnsi="Times New Roman" w:cs="Times New Roman"/>
        </w:rPr>
        <w:br w:type="page"/>
      </w:r>
    </w:p>
    <w:p w14:paraId="6D465671" w14:textId="77777777" w:rsidR="00D80E19" w:rsidRPr="00031EB4" w:rsidRDefault="00D80E19" w:rsidP="00E22714">
      <w:pPr>
        <w:pStyle w:val="Heading1"/>
        <w:spacing w:line="240" w:lineRule="auto"/>
        <w:rPr>
          <w:rFonts w:ascii="Times New Roman" w:hAnsi="Times New Roman" w:cs="Times New Roman"/>
          <w:b/>
          <w:color w:val="auto"/>
          <w:sz w:val="24"/>
        </w:rPr>
      </w:pPr>
      <w:r w:rsidRPr="00031EB4">
        <w:rPr>
          <w:rFonts w:ascii="Times New Roman" w:hAnsi="Times New Roman" w:cs="Times New Roman"/>
          <w:b/>
          <w:color w:val="auto"/>
          <w:sz w:val="24"/>
        </w:rPr>
        <w:lastRenderedPageBreak/>
        <w:t>Introduction</w:t>
      </w:r>
    </w:p>
    <w:p w14:paraId="3E6F18F3" w14:textId="77777777" w:rsidR="00C753FB" w:rsidRPr="00031EB4" w:rsidRDefault="00B801AF" w:rsidP="00E22714">
      <w:pPr>
        <w:pStyle w:val="Heading2"/>
        <w:spacing w:line="240" w:lineRule="auto"/>
        <w:rPr>
          <w:rFonts w:ascii="Times New Roman" w:hAnsi="Times New Roman" w:cs="Times New Roman"/>
          <w:b/>
          <w:color w:val="auto"/>
          <w:sz w:val="20"/>
        </w:rPr>
      </w:pPr>
      <w:r w:rsidRPr="00031EB4">
        <w:rPr>
          <w:rFonts w:ascii="Times New Roman" w:hAnsi="Times New Roman" w:cs="Times New Roman"/>
          <w:b/>
          <w:color w:val="auto"/>
          <w:sz w:val="20"/>
        </w:rPr>
        <w:t xml:space="preserve">Austerity and elderly mortality </w:t>
      </w:r>
    </w:p>
    <w:p w14:paraId="471CEB55" w14:textId="079AE0EA" w:rsidR="006112F4" w:rsidRPr="00031EB4" w:rsidRDefault="00E3557A" w:rsidP="00E22714">
      <w:pPr>
        <w:spacing w:line="240" w:lineRule="auto"/>
        <w:rPr>
          <w:rFonts w:ascii="Times New Roman" w:hAnsi="Times New Roman" w:cs="Times New Roman"/>
          <w:sz w:val="20"/>
        </w:rPr>
      </w:pPr>
      <w:r w:rsidRPr="00031EB4">
        <w:rPr>
          <w:rFonts w:ascii="Times New Roman" w:hAnsi="Times New Roman" w:cs="Times New Roman"/>
          <w:sz w:val="20"/>
        </w:rPr>
        <w:t xml:space="preserve">Recently, there has been growing evidence of </w:t>
      </w:r>
      <w:r w:rsidR="001862B7" w:rsidRPr="00031EB4">
        <w:rPr>
          <w:rFonts w:ascii="Times New Roman" w:hAnsi="Times New Roman" w:cs="Times New Roman"/>
          <w:sz w:val="20"/>
        </w:rPr>
        <w:t>the possible effects of austerity on elderly mortality</w:t>
      </w:r>
      <w:r w:rsidR="00CD5658" w:rsidRPr="00031EB4">
        <w:rPr>
          <w:rFonts w:ascii="Times New Roman" w:hAnsi="Times New Roman" w:cs="Times New Roman"/>
          <w:sz w:val="20"/>
        </w:rPr>
        <w:t xml:space="preserve"> within the UK</w:t>
      </w:r>
      <w:r w:rsidR="001862B7" w:rsidRPr="00031EB4">
        <w:rPr>
          <w:rFonts w:ascii="Times New Roman" w:hAnsi="Times New Roman" w:cs="Times New Roman"/>
          <w:sz w:val="20"/>
        </w:rPr>
        <w:t xml:space="preserve">. </w:t>
      </w:r>
      <w:r w:rsidRPr="00031EB4">
        <w:rPr>
          <w:rFonts w:ascii="Times New Roman" w:hAnsi="Times New Roman" w:cs="Times New Roman"/>
          <w:sz w:val="20"/>
        </w:rPr>
        <w:t>One study</w:t>
      </w:r>
      <w:r w:rsidR="004C372C" w:rsidRPr="00031EB4">
        <w:rPr>
          <w:rFonts w:ascii="Times New Roman" w:hAnsi="Times New Roman" w:cs="Times New Roman"/>
          <w:sz w:val="20"/>
        </w:rPr>
        <w:t xml:space="preserve"> explor</w:t>
      </w:r>
      <w:r w:rsidR="000B27ED" w:rsidRPr="00031EB4">
        <w:rPr>
          <w:rFonts w:ascii="Times New Roman" w:hAnsi="Times New Roman" w:cs="Times New Roman"/>
          <w:sz w:val="20"/>
        </w:rPr>
        <w:t>ing</w:t>
      </w:r>
      <w:r w:rsidR="004C372C" w:rsidRPr="00031EB4">
        <w:rPr>
          <w:rFonts w:ascii="Times New Roman" w:hAnsi="Times New Roman" w:cs="Times New Roman"/>
          <w:sz w:val="20"/>
        </w:rPr>
        <w:t xml:space="preserve"> the correlation between falls in Pension Credit and social care budgets in the UK, and changes in mortality rates in pensioners aged 85 years and older, found that each 1% fall in social care spending was associated with a statistically significant 0.08% rise in </w:t>
      </w:r>
      <w:r w:rsidR="00014B1F" w:rsidRPr="00031EB4">
        <w:rPr>
          <w:rFonts w:ascii="Times New Roman" w:hAnsi="Times New Roman" w:cs="Times New Roman"/>
          <w:sz w:val="20"/>
        </w:rPr>
        <w:t xml:space="preserve">deaths in </w:t>
      </w:r>
      <w:r w:rsidR="007405AE" w:rsidRPr="00031EB4">
        <w:rPr>
          <w:rFonts w:ascii="Times New Roman" w:hAnsi="Times New Roman" w:cs="Times New Roman"/>
          <w:sz w:val="20"/>
        </w:rPr>
        <w:t>this age group</w:t>
      </w:r>
      <w:r w:rsidR="004C372C" w:rsidRPr="00031EB4">
        <w:rPr>
          <w:rFonts w:ascii="Times New Roman" w:hAnsi="Times New Roman" w:cs="Times New Roman"/>
          <w:sz w:val="20"/>
        </w:rPr>
        <w:t>, with similar but weaker rises in persons aged 75 to 84 years.</w:t>
      </w:r>
      <w:r w:rsidR="004C372C" w:rsidRPr="00031EB4">
        <w:rPr>
          <w:rFonts w:ascii="Times New Roman" w:hAnsi="Times New Roman" w:cs="Times New Roman"/>
          <w:sz w:val="20"/>
        </w:rPr>
        <w:fldChar w:fldCharType="begin" w:fldLock="1"/>
      </w:r>
      <w:r w:rsidR="00681540" w:rsidRPr="00031EB4">
        <w:rPr>
          <w:rFonts w:ascii="Times New Roman" w:hAnsi="Times New Roman" w:cs="Times New Roman"/>
          <w:sz w:val="20"/>
        </w:rPr>
        <w:instrText>ADDIN CSL_CITATION { "citationItems" : [ { "id" : "ITEM-1", "itemData" : { "DOI" : "10.1177/0141076816632215", "ISSN" : "0141-0768", "author" : [ { "dropping-particle" : "", "family" : "Loopstra", "given" : "R.", "non-dropping-particle" : "", "parse-names" : false, "suffix" : "" }, { "dropping-particle" : "", "family" : "McKee", "given" : "M.", "non-dropping-particle" : "", "parse-names" : false, "suffix" : "" }, { "dropping-particle" : "V.", "family" : "Katikireddi", "given" : "S.", "non-dropping-particle" : "", "parse-names" : false, "suffix" : "" }, { "dropping-particle" : "", "family" : "Taylor-Robinson", "given" : "D.", "non-dropping-particle" : "", "parse-names" : false, "suffix" : "" }, { "dropping-particle" : "", "family" : "Barr", "given" : "B.", "non-dropping-particle" : "", "parse-names" : false, "suffix" : "" }, { "dropping-particle" : "", "family" : "Stuckler", "given" : "D.", "non-dropping-particle" : "", "parse-names" : false, "suffix" : "" } ], "container-title" : "Journal of the Royal Society of Medicine", "id" : "ITEM-1", "issue" : "3", "issued" : { "date-parts" : [ [ "2016", "3", "1" ] ] }, "page" : "109-116", "title" : "Austerity and old-age mortality in England: a longitudinal cross-local area analysis, 2007-2013", "type" : "article-journal", "volume" : "109" }, "uris" : [ "http://www.mendeley.com/documents/?uuid=0bc41ea8-15f3-43da-800f-91079b2cb1cc" ] } ], "mendeley" : { "formattedCitation" : "&lt;sup&gt;1&lt;/sup&gt;", "plainTextFormattedCitation" : "1", "previouslyFormattedCitation" : "&lt;sup&gt;1&lt;/sup&gt;" }, "properties" : { "noteIndex" : 0 }, "schema" : "https://github.com/citation-style-language/schema/raw/master/csl-citation.json" }</w:instrText>
      </w:r>
      <w:r w:rsidR="004C372C" w:rsidRPr="00031EB4">
        <w:rPr>
          <w:rFonts w:ascii="Times New Roman" w:hAnsi="Times New Roman" w:cs="Times New Roman"/>
          <w:sz w:val="20"/>
        </w:rPr>
        <w:fldChar w:fldCharType="separate"/>
      </w:r>
      <w:r w:rsidR="00C772D0" w:rsidRPr="00031EB4">
        <w:rPr>
          <w:rFonts w:ascii="Times New Roman" w:hAnsi="Times New Roman" w:cs="Times New Roman"/>
          <w:noProof/>
          <w:sz w:val="20"/>
          <w:vertAlign w:val="superscript"/>
        </w:rPr>
        <w:t>1</w:t>
      </w:r>
      <w:r w:rsidR="004C372C" w:rsidRPr="00031EB4">
        <w:rPr>
          <w:rFonts w:ascii="Times New Roman" w:hAnsi="Times New Roman" w:cs="Times New Roman"/>
          <w:sz w:val="20"/>
        </w:rPr>
        <w:fldChar w:fldCharType="end"/>
      </w:r>
      <w:r w:rsidR="004C372C" w:rsidRPr="00031EB4">
        <w:rPr>
          <w:rFonts w:ascii="Times New Roman" w:hAnsi="Times New Roman" w:cs="Times New Roman"/>
          <w:sz w:val="20"/>
        </w:rPr>
        <w:t xml:space="preserve"> Th</w:t>
      </w:r>
      <w:r w:rsidRPr="00031EB4">
        <w:rPr>
          <w:rFonts w:ascii="Times New Roman" w:hAnsi="Times New Roman" w:cs="Times New Roman"/>
          <w:sz w:val="20"/>
        </w:rPr>
        <w:t>e</w:t>
      </w:r>
      <w:r w:rsidR="004C372C" w:rsidRPr="00031EB4">
        <w:rPr>
          <w:rFonts w:ascii="Times New Roman" w:hAnsi="Times New Roman" w:cs="Times New Roman"/>
          <w:sz w:val="20"/>
        </w:rPr>
        <w:t xml:space="preserve"> focus on elderly mortality was prompted by a 2014 </w:t>
      </w:r>
      <w:r w:rsidR="004C372C" w:rsidRPr="00031EB4">
        <w:rPr>
          <w:rFonts w:ascii="Times New Roman" w:hAnsi="Times New Roman" w:cs="Times New Roman"/>
          <w:i/>
          <w:sz w:val="20"/>
        </w:rPr>
        <w:t>New Statesman</w:t>
      </w:r>
      <w:r w:rsidR="004C372C" w:rsidRPr="00031EB4">
        <w:rPr>
          <w:rFonts w:ascii="Times New Roman" w:hAnsi="Times New Roman" w:cs="Times New Roman"/>
          <w:sz w:val="20"/>
        </w:rPr>
        <w:t xml:space="preserve"> </w:t>
      </w:r>
      <w:r w:rsidR="00E6003F" w:rsidRPr="00031EB4">
        <w:rPr>
          <w:rFonts w:ascii="Times New Roman" w:hAnsi="Times New Roman" w:cs="Times New Roman"/>
          <w:sz w:val="20"/>
        </w:rPr>
        <w:t xml:space="preserve">article </w:t>
      </w:r>
      <w:r w:rsidR="004C372C" w:rsidRPr="00031EB4">
        <w:rPr>
          <w:rFonts w:ascii="Times New Roman" w:hAnsi="Times New Roman" w:cs="Times New Roman"/>
          <w:sz w:val="20"/>
        </w:rPr>
        <w:t xml:space="preserve">commenting on </w:t>
      </w:r>
      <w:r w:rsidR="0080204B" w:rsidRPr="00031EB4">
        <w:rPr>
          <w:rFonts w:ascii="Times New Roman" w:hAnsi="Times New Roman" w:cs="Times New Roman"/>
          <w:sz w:val="20"/>
        </w:rPr>
        <w:t xml:space="preserve">provisional estimates by Public Health England, </w:t>
      </w:r>
      <w:r w:rsidR="004B259F" w:rsidRPr="00031EB4">
        <w:rPr>
          <w:rFonts w:ascii="Times New Roman" w:hAnsi="Times New Roman" w:cs="Times New Roman"/>
          <w:sz w:val="20"/>
        </w:rPr>
        <w:t xml:space="preserve">leaked in the online Health Services Journal in 2014, </w:t>
      </w:r>
      <w:r w:rsidR="004C372C" w:rsidRPr="00031EB4">
        <w:rPr>
          <w:rFonts w:ascii="Times New Roman" w:hAnsi="Times New Roman" w:cs="Times New Roman"/>
          <w:sz w:val="20"/>
        </w:rPr>
        <w:t xml:space="preserve">of </w:t>
      </w:r>
      <w:r w:rsidR="0080204B" w:rsidRPr="00031EB4">
        <w:rPr>
          <w:rFonts w:ascii="Times New Roman" w:hAnsi="Times New Roman" w:cs="Times New Roman"/>
          <w:sz w:val="20"/>
        </w:rPr>
        <w:t xml:space="preserve">deaths amongst over 75s in England, suggesting increased </w:t>
      </w:r>
      <w:r w:rsidR="00E6003F" w:rsidRPr="00031EB4">
        <w:rPr>
          <w:rFonts w:ascii="Times New Roman" w:hAnsi="Times New Roman" w:cs="Times New Roman"/>
          <w:sz w:val="20"/>
        </w:rPr>
        <w:t>mortality</w:t>
      </w:r>
      <w:r w:rsidR="00F725D4" w:rsidRPr="00031EB4">
        <w:rPr>
          <w:rFonts w:ascii="Times New Roman" w:hAnsi="Times New Roman" w:cs="Times New Roman"/>
          <w:sz w:val="20"/>
        </w:rPr>
        <w:t xml:space="preserve"> </w:t>
      </w:r>
      <w:r w:rsidR="0080204B" w:rsidRPr="00031EB4">
        <w:rPr>
          <w:rFonts w:ascii="Times New Roman" w:hAnsi="Times New Roman" w:cs="Times New Roman"/>
          <w:sz w:val="20"/>
        </w:rPr>
        <w:t>in both 2012 and 2013.</w:t>
      </w:r>
      <w:r w:rsidR="0080204B" w:rsidRPr="00031EB4">
        <w:rPr>
          <w:rFonts w:ascii="Times New Roman" w:hAnsi="Times New Roman" w:cs="Times New Roman"/>
          <w:sz w:val="20"/>
        </w:rPr>
        <w:fldChar w:fldCharType="begin" w:fldLock="1"/>
      </w:r>
      <w:r w:rsidR="00681540" w:rsidRPr="00031EB4">
        <w:rPr>
          <w:rFonts w:ascii="Times New Roman" w:hAnsi="Times New Roman" w:cs="Times New Roman"/>
          <w:sz w:val="20"/>
        </w:rPr>
        <w:instrText>ADDIN CSL_CITATION { "citationItems" : [ { "id" : "ITEM-1", "itemData" : { "author" : [ { "dropping-particle" : "", "family" : "Dorling", "given" : "D", "non-dropping-particle" : "", "parse-names" : false, "suffix" : "" } ], "container-title" : "New Statesman", "id" : "ITEM-1", "issued" : { "date-parts" : [ [ "2014" ] ] }, "page" : "34-38", "title" : "Why are old people in Britain dying before their time?", "type" : "article-magazine" }, "uris" : [ "http://www.mendeley.com/documents/?uuid=03289df0-c8be-4e03-a854-b5ac901c4612" ] } ], "mendeley" : { "formattedCitation" : "&lt;sup&gt;2&lt;/sup&gt;", "plainTextFormattedCitation" : "2", "previouslyFormattedCitation" : "&lt;sup&gt;2&lt;/sup&gt;" }, "properties" : { "noteIndex" : 0 }, "schema" : "https://github.com/citation-style-language/schema/raw/master/csl-citation.json" }</w:instrText>
      </w:r>
      <w:r w:rsidR="0080204B" w:rsidRPr="00031EB4">
        <w:rPr>
          <w:rFonts w:ascii="Times New Roman" w:hAnsi="Times New Roman" w:cs="Times New Roman"/>
          <w:sz w:val="20"/>
        </w:rPr>
        <w:fldChar w:fldCharType="separate"/>
      </w:r>
      <w:r w:rsidR="00C772D0" w:rsidRPr="00031EB4">
        <w:rPr>
          <w:rFonts w:ascii="Times New Roman" w:hAnsi="Times New Roman" w:cs="Times New Roman"/>
          <w:noProof/>
          <w:sz w:val="20"/>
          <w:vertAlign w:val="superscript"/>
        </w:rPr>
        <w:t>2</w:t>
      </w:r>
      <w:r w:rsidR="0080204B" w:rsidRPr="00031EB4">
        <w:rPr>
          <w:rFonts w:ascii="Times New Roman" w:hAnsi="Times New Roman" w:cs="Times New Roman"/>
          <w:sz w:val="20"/>
        </w:rPr>
        <w:fldChar w:fldCharType="end"/>
      </w:r>
      <w:r w:rsidR="0080204B" w:rsidRPr="00031EB4">
        <w:rPr>
          <w:rFonts w:ascii="Times New Roman" w:hAnsi="Times New Roman" w:cs="Times New Roman"/>
          <w:sz w:val="20"/>
        </w:rPr>
        <w:t xml:space="preserve"> </w:t>
      </w:r>
    </w:p>
    <w:p w14:paraId="3B7CF98A" w14:textId="7387FBB5" w:rsidR="009C6742" w:rsidRPr="00031EB4" w:rsidRDefault="00E6003F" w:rsidP="00E22714">
      <w:pPr>
        <w:spacing w:line="240" w:lineRule="auto"/>
        <w:rPr>
          <w:rFonts w:ascii="Times New Roman" w:hAnsi="Times New Roman" w:cs="Times New Roman"/>
          <w:sz w:val="20"/>
        </w:rPr>
      </w:pPr>
      <w:r w:rsidRPr="00031EB4">
        <w:rPr>
          <w:rFonts w:ascii="Times New Roman" w:hAnsi="Times New Roman" w:cs="Times New Roman"/>
          <w:sz w:val="20"/>
        </w:rPr>
        <w:t>A 2015</w:t>
      </w:r>
      <w:r w:rsidR="0080204B" w:rsidRPr="00031EB4">
        <w:rPr>
          <w:rFonts w:ascii="Times New Roman" w:hAnsi="Times New Roman" w:cs="Times New Roman"/>
          <w:sz w:val="20"/>
        </w:rPr>
        <w:t xml:space="preserve"> Public Health England report considered three possible explanations for the tre</w:t>
      </w:r>
      <w:r w:rsidRPr="00031EB4">
        <w:rPr>
          <w:rFonts w:ascii="Times New Roman" w:hAnsi="Times New Roman" w:cs="Times New Roman"/>
          <w:sz w:val="20"/>
        </w:rPr>
        <w:t>nds</w:t>
      </w:r>
      <w:r w:rsidR="0080204B" w:rsidRPr="00031EB4">
        <w:rPr>
          <w:rFonts w:ascii="Times New Roman" w:hAnsi="Times New Roman" w:cs="Times New Roman"/>
          <w:sz w:val="20"/>
        </w:rPr>
        <w:t>: influenza, cold weather, and statistical artefact.</w:t>
      </w:r>
      <w:r w:rsidR="00F95600" w:rsidRPr="00031EB4">
        <w:rPr>
          <w:rFonts w:ascii="Times New Roman" w:hAnsi="Times New Roman" w:cs="Times New Roman"/>
          <w:sz w:val="20"/>
        </w:rPr>
        <w:fldChar w:fldCharType="begin" w:fldLock="1"/>
      </w:r>
      <w:r w:rsidR="00681540" w:rsidRPr="00031EB4">
        <w:rPr>
          <w:rFonts w:ascii="Times New Roman" w:hAnsi="Times New Roman" w:cs="Times New Roman"/>
          <w:sz w:val="20"/>
        </w:rPr>
        <w:instrText>ADDIN CSL_CITATION { "citationItems" : [ { "id" : "ITEM-1", "itemData" : { "author" : [ { "dropping-particle" : "", "family" : "Public Health England", "given" : "", "non-dropping-particle" : "", "parse-names" : false, "suffix" : "" } ], "id" : "ITEM-1", "issued" : { "date-parts" : [ [ "2015" ] ] }, "publisher-place" : "London", "title" : "Recent trends in life expectancy at older ages", "type" : "report" }, "uris" : [ "http://www.mendeley.com/documents/?uuid=9c1150bc-0eec-4f35-9ea0-0eb08aab782b" ] } ], "mendeley" : { "formattedCitation" : "&lt;sup&gt;3&lt;/sup&gt;", "plainTextFormattedCitation" : "3", "previouslyFormattedCitation" : "&lt;sup&gt;3&lt;/sup&gt;" }, "properties" : { "noteIndex" : 0 }, "schema" : "https://github.com/citation-style-language/schema/raw/master/csl-citation.json" }</w:instrText>
      </w:r>
      <w:r w:rsidR="00F95600" w:rsidRPr="00031EB4">
        <w:rPr>
          <w:rFonts w:ascii="Times New Roman" w:hAnsi="Times New Roman" w:cs="Times New Roman"/>
          <w:sz w:val="20"/>
        </w:rPr>
        <w:fldChar w:fldCharType="separate"/>
      </w:r>
      <w:r w:rsidR="00C772D0" w:rsidRPr="00031EB4">
        <w:rPr>
          <w:rFonts w:ascii="Times New Roman" w:hAnsi="Times New Roman" w:cs="Times New Roman"/>
          <w:noProof/>
          <w:sz w:val="20"/>
          <w:vertAlign w:val="superscript"/>
        </w:rPr>
        <w:t>3</w:t>
      </w:r>
      <w:r w:rsidR="00F95600" w:rsidRPr="00031EB4">
        <w:rPr>
          <w:rFonts w:ascii="Times New Roman" w:hAnsi="Times New Roman" w:cs="Times New Roman"/>
          <w:sz w:val="20"/>
        </w:rPr>
        <w:fldChar w:fldCharType="end"/>
      </w:r>
      <w:r w:rsidR="0080204B" w:rsidRPr="00031EB4">
        <w:rPr>
          <w:rFonts w:ascii="Times New Roman" w:hAnsi="Times New Roman" w:cs="Times New Roman"/>
          <w:sz w:val="20"/>
        </w:rPr>
        <w:t xml:space="preserve"> </w:t>
      </w:r>
      <w:r w:rsidR="00F95600" w:rsidRPr="00031EB4">
        <w:rPr>
          <w:rFonts w:ascii="Times New Roman" w:hAnsi="Times New Roman" w:cs="Times New Roman"/>
          <w:sz w:val="20"/>
        </w:rPr>
        <w:t xml:space="preserve">If either influenza or cold weather were the main causes of these rises then the following </w:t>
      </w:r>
      <w:r w:rsidRPr="00031EB4">
        <w:rPr>
          <w:rFonts w:ascii="Times New Roman" w:hAnsi="Times New Roman" w:cs="Times New Roman"/>
          <w:sz w:val="20"/>
        </w:rPr>
        <w:t>would</w:t>
      </w:r>
      <w:r w:rsidR="00F95600" w:rsidRPr="00031EB4">
        <w:rPr>
          <w:rFonts w:ascii="Times New Roman" w:hAnsi="Times New Roman" w:cs="Times New Roman"/>
          <w:sz w:val="20"/>
        </w:rPr>
        <w:t xml:space="preserve"> be expected: firstly, the mortality rate rises would be spatially patterned, and secondly the rises would be a ‘blip’ associated with </w:t>
      </w:r>
      <w:r w:rsidRPr="00031EB4">
        <w:rPr>
          <w:rFonts w:ascii="Times New Roman" w:hAnsi="Times New Roman" w:cs="Times New Roman"/>
          <w:sz w:val="20"/>
        </w:rPr>
        <w:t>particular</w:t>
      </w:r>
      <w:r w:rsidR="00F95600" w:rsidRPr="00031EB4">
        <w:rPr>
          <w:rFonts w:ascii="Times New Roman" w:hAnsi="Times New Roman" w:cs="Times New Roman"/>
          <w:sz w:val="20"/>
        </w:rPr>
        <w:t xml:space="preserve"> year</w:t>
      </w:r>
      <w:r w:rsidRPr="00031EB4">
        <w:rPr>
          <w:rFonts w:ascii="Times New Roman" w:hAnsi="Times New Roman" w:cs="Times New Roman"/>
          <w:sz w:val="20"/>
        </w:rPr>
        <w:t>s</w:t>
      </w:r>
      <w:r w:rsidR="00F95600" w:rsidRPr="00031EB4">
        <w:rPr>
          <w:rFonts w:ascii="Times New Roman" w:hAnsi="Times New Roman" w:cs="Times New Roman"/>
          <w:sz w:val="20"/>
        </w:rPr>
        <w:t xml:space="preserve"> rather than </w:t>
      </w:r>
      <w:r w:rsidRPr="00031EB4">
        <w:rPr>
          <w:rFonts w:ascii="Times New Roman" w:hAnsi="Times New Roman" w:cs="Times New Roman"/>
          <w:sz w:val="20"/>
        </w:rPr>
        <w:t>a trend</w:t>
      </w:r>
      <w:r w:rsidR="00F95600" w:rsidRPr="00031EB4">
        <w:rPr>
          <w:rFonts w:ascii="Times New Roman" w:hAnsi="Times New Roman" w:cs="Times New Roman"/>
          <w:sz w:val="20"/>
        </w:rPr>
        <w:t xml:space="preserve">. </w:t>
      </w:r>
      <w:r w:rsidR="009B47F3" w:rsidRPr="00031EB4">
        <w:rPr>
          <w:rFonts w:ascii="Times New Roman" w:hAnsi="Times New Roman" w:cs="Times New Roman"/>
          <w:sz w:val="20"/>
        </w:rPr>
        <w:t>Preliminary analysis has found no e</w:t>
      </w:r>
      <w:r w:rsidR="00091E17" w:rsidRPr="00031EB4">
        <w:rPr>
          <w:rFonts w:ascii="Times New Roman" w:hAnsi="Times New Roman" w:cs="Times New Roman"/>
          <w:sz w:val="20"/>
        </w:rPr>
        <w:t>vidence of spatial patterning</w:t>
      </w:r>
      <w:r w:rsidR="00A20A14" w:rsidRPr="00031EB4">
        <w:rPr>
          <w:rFonts w:ascii="Times New Roman" w:hAnsi="Times New Roman" w:cs="Times New Roman"/>
          <w:sz w:val="20"/>
        </w:rPr>
        <w:t>.</w:t>
      </w:r>
      <w:r w:rsidR="00091E17" w:rsidRPr="00031EB4">
        <w:rPr>
          <w:rFonts w:ascii="Times New Roman" w:hAnsi="Times New Roman" w:cs="Times New Roman"/>
          <w:sz w:val="20"/>
        </w:rPr>
        <w:t xml:space="preserve"> </w:t>
      </w:r>
      <w:r w:rsidR="00A20A14" w:rsidRPr="00031EB4">
        <w:rPr>
          <w:rFonts w:ascii="Times New Roman" w:hAnsi="Times New Roman" w:cs="Times New Roman"/>
          <w:sz w:val="20"/>
        </w:rPr>
        <w:fldChar w:fldCharType="begin" w:fldLock="1"/>
      </w:r>
      <w:r w:rsidR="00681540" w:rsidRPr="00031EB4">
        <w:rPr>
          <w:rFonts w:ascii="Times New Roman" w:hAnsi="Times New Roman" w:cs="Times New Roman"/>
          <w:sz w:val="20"/>
        </w:rPr>
        <w:instrText>ADDIN CSL_CITATION { "citationItems" : [ { "id" : "ITEM-1", "itemData" : { "DOI" : "10.1177/0141076816632215", "ISSN" : "0141-0768", "author" : [ { "dropping-particle" : "", "family" : "Loopstra", "given" : "R.", "non-dropping-particle" : "", "parse-names" : false, "suffix" : "" }, { "dropping-particle" : "", "family" : "McKee", "given" : "M.", "non-dropping-particle" : "", "parse-names" : false, "suffix" : "" }, { "dropping-particle" : "V.", "family" : "Katikireddi", "given" : "S.", "non-dropping-particle" : "", "parse-names" : false, "suffix" : "" }, { "dropping-particle" : "", "family" : "Taylor-Robinson", "given" : "D.", "non-dropping-particle" : "", "parse-names" : false, "suffix" : "" }, { "dropping-particle" : "", "family" : "Barr", "given" : "B.", "non-dropping-particle" : "", "parse-names" : false, "suffix" : "" }, { "dropping-particle" : "", "family" : "Stuckler", "given" : "D.", "non-dropping-particle" : "", "parse-names" : false, "suffix" : "" } ], "container-title" : "Journal of the Royal Society of Medicine", "id" : "ITEM-1", "issue" : "3", "issued" : { "date-parts" : [ [ "2016", "3", "1" ] ] }, "page" : "109-116", "title" : "Austerity and old-age mortality in England: a longitudinal cross-local area analysis, 2007-2013", "type" : "article-journal", "volume" : "109" }, "uris" : [ "http://www.mendeley.com/documents/?uuid=0bc41ea8-15f3-43da-800f-91079b2cb1cc" ] }, { "id" : "ITEM-2", "itemData" : { "author" : [ { "dropping-particle" : "", "family" : "Green", "given" : "M", "non-dropping-particle" : "", "parse-names" : false, "suffix" : "" }, { "dropping-particle" : "", "family" : "Dorling", "given" : "D", "non-dropping-particle" : "", "parse-names" : false, "suffix" : "" }, { "dropping-particle" : "", "family" : "Minton", "given" : "J", "non-dropping-particle" : "", "parse-names" : false, "suffix" : "" } ], "id" : "ITEM-2", "issued" : { "date-parts" : [ [ "2016" ] ] }, "title" : "The Geography of a rapid rise in mortality in England and Wales, 2014-2015", "type" : "article-journal" }, "uris" : [ "http://www.mendeley.com/documents/?uuid=4205e98f-134a-46b1-a12b-1cb8408aeaf7" ] } ], "mendeley" : { "formattedCitation" : "&lt;sup&gt;1,4&lt;/sup&gt;", "plainTextFormattedCitation" : "1,4", "previouslyFormattedCitation" : "&lt;sup&gt;1,4&lt;/sup&gt;" }, "properties" : { "noteIndex" : 0 }, "schema" : "https://github.com/citation-style-language/schema/raw/master/csl-citation.json" }</w:instrText>
      </w:r>
      <w:r w:rsidR="00A20A14" w:rsidRPr="00031EB4">
        <w:rPr>
          <w:rFonts w:ascii="Times New Roman" w:hAnsi="Times New Roman" w:cs="Times New Roman"/>
          <w:sz w:val="20"/>
        </w:rPr>
        <w:fldChar w:fldCharType="separate"/>
      </w:r>
      <w:r w:rsidR="00C772D0" w:rsidRPr="00031EB4">
        <w:rPr>
          <w:rFonts w:ascii="Times New Roman" w:hAnsi="Times New Roman" w:cs="Times New Roman"/>
          <w:noProof/>
          <w:sz w:val="20"/>
          <w:vertAlign w:val="superscript"/>
        </w:rPr>
        <w:t>1,4</w:t>
      </w:r>
      <w:r w:rsidR="00A20A14" w:rsidRPr="00031EB4">
        <w:rPr>
          <w:rFonts w:ascii="Times New Roman" w:hAnsi="Times New Roman" w:cs="Times New Roman"/>
          <w:sz w:val="20"/>
        </w:rPr>
        <w:fldChar w:fldCharType="end"/>
      </w:r>
      <w:r w:rsidR="00A20A14" w:rsidRPr="00031EB4">
        <w:rPr>
          <w:rFonts w:ascii="Times New Roman" w:hAnsi="Times New Roman" w:cs="Times New Roman"/>
          <w:sz w:val="20"/>
        </w:rPr>
        <w:t xml:space="preserve"> Artefactual explanations could relate to aggregation biases caused by inadequately controlling for changes in age-composition within an age group</w:t>
      </w:r>
      <w:r w:rsidR="00436D09" w:rsidRPr="00031EB4">
        <w:rPr>
          <w:rFonts w:ascii="Times New Roman" w:hAnsi="Times New Roman" w:cs="Times New Roman"/>
          <w:sz w:val="20"/>
        </w:rPr>
        <w:t>,</w:t>
      </w:r>
      <w:r w:rsidR="00CD5658" w:rsidRPr="00031EB4">
        <w:rPr>
          <w:rFonts w:ascii="Times New Roman" w:hAnsi="Times New Roman" w:cs="Times New Roman"/>
          <w:sz w:val="20"/>
        </w:rPr>
        <w:t xml:space="preserve"> such as those witnessed in a recent high profile </w:t>
      </w:r>
      <w:r w:rsidR="00EF02BD" w:rsidRPr="00031EB4">
        <w:rPr>
          <w:rFonts w:ascii="Times New Roman" w:hAnsi="Times New Roman" w:cs="Times New Roman"/>
          <w:sz w:val="20"/>
        </w:rPr>
        <w:t>paper describing</w:t>
      </w:r>
      <w:r w:rsidR="00CD5658" w:rsidRPr="00031EB4">
        <w:rPr>
          <w:rFonts w:ascii="Times New Roman" w:hAnsi="Times New Roman" w:cs="Times New Roman"/>
          <w:sz w:val="20"/>
        </w:rPr>
        <w:t xml:space="preserve"> rising middle aged mortality rates in the US</w:t>
      </w:r>
      <w:r w:rsidR="006112F4" w:rsidRPr="00031EB4">
        <w:rPr>
          <w:rFonts w:ascii="Times New Roman" w:hAnsi="Times New Roman" w:cs="Times New Roman"/>
          <w:sz w:val="20"/>
        </w:rPr>
        <w:t xml:space="preserve">. </w:t>
      </w:r>
      <w:r w:rsidR="006112F4" w:rsidRPr="00031EB4">
        <w:rPr>
          <w:rFonts w:ascii="Times New Roman" w:hAnsi="Times New Roman" w:cs="Times New Roman"/>
          <w:sz w:val="20"/>
        </w:rPr>
        <w:fldChar w:fldCharType="begin" w:fldLock="1"/>
      </w:r>
      <w:r w:rsidR="00681540" w:rsidRPr="00031EB4">
        <w:rPr>
          <w:rFonts w:ascii="Times New Roman" w:hAnsi="Times New Roman" w:cs="Times New Roman"/>
          <w:sz w:val="20"/>
        </w:rPr>
        <w:instrText>ADDIN CSL_CITATION { "citationItems" : [ { "id" : "ITEM-1", "itemData" : { "DOI" : "10.1093/ije/dyw095", "author" : [ { "dropping-particle" : "", "family" : "Minton", "given" : "J", "non-dropping-particle" : "", "parse-names" : false, "suffix" : "" }, { "dropping-particle" : "", "family" : "Shaw", "given" : "R", "non-dropping-particle" : "", "parse-names" : false, "suffix" : "" }, { "dropping-particle" : "", "family" : "Green", "given" : "M", "non-dropping-particle" : "", "parse-names" : false, "suffix" : "" }, { "dropping-particle" : "", "family" : "Vanderbloemen", "given" : "L", "non-dropping-particle" : "", "parse-names" : false, "suffix" : "" }, { "dropping-particle" : "", "family" : "McCartney", "given" : "G", "non-dropping-particle" : "", "parse-names" : false, "suffix" : "" }, { "dropping-particle" : "", "family" : "Pickett", "given" : "K", "non-dropping-particle" : "", "parse-names" : false, "suffix" : "" } ], "container-title" : "International Journal of Epidemiology", "id" : "ITEM-1", "issued" : { "date-parts" : [ [ "2016" ] ] }, "title" : "Two cheers for a small giant? Why we need better ways of seeing data. A commentary on: 'Rising morbidity and mortality in midlife among white non-Hispanic (WNH) Americans in the 21st century'", "type" : "article-journal" }, "uris" : [ "http://www.mendeley.com/documents/?uuid=8035617e-eb67-4b55-af97-3e1aa788e2ed" ] } ], "mendeley" : { "formattedCitation" : "&lt;sup&gt;5&lt;/sup&gt;", "plainTextFormattedCitation" : "5", "previouslyFormattedCitation" : "&lt;sup&gt;5&lt;/sup&gt;" }, "properties" : { "noteIndex" : 0 }, "schema" : "https://github.com/citation-style-language/schema/raw/master/csl-citation.json" }</w:instrText>
      </w:r>
      <w:r w:rsidR="006112F4" w:rsidRPr="00031EB4">
        <w:rPr>
          <w:rFonts w:ascii="Times New Roman" w:hAnsi="Times New Roman" w:cs="Times New Roman"/>
          <w:sz w:val="20"/>
        </w:rPr>
        <w:fldChar w:fldCharType="separate"/>
      </w:r>
      <w:r w:rsidR="00C772D0" w:rsidRPr="00031EB4">
        <w:rPr>
          <w:rFonts w:ascii="Times New Roman" w:hAnsi="Times New Roman" w:cs="Times New Roman"/>
          <w:noProof/>
          <w:sz w:val="20"/>
          <w:vertAlign w:val="superscript"/>
        </w:rPr>
        <w:t>5</w:t>
      </w:r>
      <w:r w:rsidR="006112F4" w:rsidRPr="00031EB4">
        <w:rPr>
          <w:rFonts w:ascii="Times New Roman" w:hAnsi="Times New Roman" w:cs="Times New Roman"/>
          <w:sz w:val="20"/>
        </w:rPr>
        <w:fldChar w:fldCharType="end"/>
      </w:r>
      <w:r w:rsidR="00A20A14" w:rsidRPr="00031EB4">
        <w:rPr>
          <w:rFonts w:ascii="Times New Roman" w:hAnsi="Times New Roman" w:cs="Times New Roman"/>
          <w:sz w:val="20"/>
        </w:rPr>
        <w:t xml:space="preserve"> </w:t>
      </w:r>
      <w:r w:rsidR="006112F4" w:rsidRPr="00031EB4">
        <w:rPr>
          <w:rFonts w:ascii="Times New Roman" w:hAnsi="Times New Roman" w:cs="Times New Roman"/>
          <w:sz w:val="20"/>
        </w:rPr>
        <w:t xml:space="preserve">However, this </w:t>
      </w:r>
      <w:r w:rsidR="009B47F3" w:rsidRPr="00031EB4">
        <w:rPr>
          <w:rFonts w:ascii="Times New Roman" w:hAnsi="Times New Roman" w:cs="Times New Roman"/>
          <w:sz w:val="20"/>
        </w:rPr>
        <w:t>cannot</w:t>
      </w:r>
      <w:r w:rsidR="006112F4" w:rsidRPr="00031EB4">
        <w:rPr>
          <w:rFonts w:ascii="Times New Roman" w:hAnsi="Times New Roman" w:cs="Times New Roman"/>
          <w:sz w:val="20"/>
        </w:rPr>
        <w:t xml:space="preserve"> explain similar changes in multiple population </w:t>
      </w:r>
      <w:r w:rsidR="009C6742" w:rsidRPr="00031EB4">
        <w:rPr>
          <w:rFonts w:ascii="Times New Roman" w:hAnsi="Times New Roman" w:cs="Times New Roman"/>
          <w:sz w:val="20"/>
        </w:rPr>
        <w:t xml:space="preserve">age </w:t>
      </w:r>
      <w:r w:rsidR="006112F4" w:rsidRPr="00031EB4">
        <w:rPr>
          <w:rFonts w:ascii="Times New Roman" w:hAnsi="Times New Roman" w:cs="Times New Roman"/>
          <w:sz w:val="20"/>
        </w:rPr>
        <w:t xml:space="preserve">strata, such as multiple five or ten year age groups, occurring over the same time period, </w:t>
      </w:r>
      <w:r w:rsidR="00436D09" w:rsidRPr="00031EB4">
        <w:rPr>
          <w:rFonts w:ascii="Times New Roman" w:hAnsi="Times New Roman" w:cs="Times New Roman"/>
          <w:sz w:val="20"/>
        </w:rPr>
        <w:t xml:space="preserve">as </w:t>
      </w:r>
      <w:r w:rsidR="006112F4" w:rsidRPr="00031EB4">
        <w:rPr>
          <w:rFonts w:ascii="Times New Roman" w:hAnsi="Times New Roman" w:cs="Times New Roman"/>
          <w:sz w:val="20"/>
        </w:rPr>
        <w:t xml:space="preserve">have </w:t>
      </w:r>
      <w:r w:rsidR="009B47F3" w:rsidRPr="00031EB4">
        <w:rPr>
          <w:rFonts w:ascii="Times New Roman" w:hAnsi="Times New Roman" w:cs="Times New Roman"/>
          <w:sz w:val="20"/>
        </w:rPr>
        <w:t xml:space="preserve">recently </w:t>
      </w:r>
      <w:r w:rsidR="006112F4" w:rsidRPr="00031EB4">
        <w:rPr>
          <w:rFonts w:ascii="Times New Roman" w:hAnsi="Times New Roman" w:cs="Times New Roman"/>
          <w:sz w:val="20"/>
        </w:rPr>
        <w:t>been identified in English population records.</w:t>
      </w:r>
      <w:r w:rsidR="006112F4" w:rsidRPr="00031EB4">
        <w:rPr>
          <w:rFonts w:ascii="Times New Roman" w:hAnsi="Times New Roman" w:cs="Times New Roman"/>
          <w:sz w:val="20"/>
        </w:rPr>
        <w:fldChar w:fldCharType="begin" w:fldLock="1"/>
      </w:r>
      <w:r w:rsidR="00681540" w:rsidRPr="00031EB4">
        <w:rPr>
          <w:rFonts w:ascii="Times New Roman" w:hAnsi="Times New Roman" w:cs="Times New Roman"/>
          <w:sz w:val="20"/>
        </w:rPr>
        <w:instrText>ADDIN CSL_CITATION { "citationItems" : [ { "id" : "ITEM-1", "itemData" : { "DOI" : "10.1177/0141076816632215", "ISSN" : "0141-0768", "author" : [ { "dropping-particle" : "", "family" : "Loopstra", "given" : "R.", "non-dropping-particle" : "", "parse-names" : false, "suffix" : "" }, { "dropping-particle" : "", "family" : "McKee", "given" : "M.", "non-dropping-particle" : "", "parse-names" : false, "suffix" : "" }, { "dropping-particle" : "V.", "family" : "Katikireddi", "given" : "S.", "non-dropping-particle" : "", "parse-names" : false, "suffix" : "" }, { "dropping-particle" : "", "family" : "Taylor-Robinson", "given" : "D.", "non-dropping-particle" : "", "parse-names" : false, "suffix" : "" }, { "dropping-particle" : "", "family" : "Barr", "given" : "B.", "non-dropping-particle" : "", "parse-names" : false, "suffix" : "" }, { "dropping-particle" : "", "family" : "Stuckler", "given" : "D.", "non-dropping-particle" : "", "parse-names" : false, "suffix" : "" } ], "container-title" : "Journal of the Royal Society of Medicine", "id" : "ITEM-1", "issue" : "3", "issued" : { "date-parts" : [ [ "2016", "3", "1" ] ] }, "page" : "109-116", "title" : "Austerity and old-age mortality in England: a longitudinal cross-local area analysis, 2007-2013", "type" : "article-journal", "volume" : "109" }, "uris" : [ "http://www.mendeley.com/documents/?uuid=0bc41ea8-15f3-43da-800f-91079b2cb1cc" ] }, { "id" : "ITEM-2", "itemData" : { "author" : [ { "dropping-particle" : "", "family" : "Green", "given" : "M", "non-dropping-particle" : "", "parse-names" : false, "suffix" : "" }, { "dropping-particle" : "", "family" : "Dorling", "given" : "D", "non-dropping-particle" : "", "parse-names" : false, "suffix" : "" }, { "dropping-particle" : "", "family" : "Minton", "given" : "J", "non-dropping-particle" : "", "parse-names" : false, "suffix" : "" } ], "id" : "ITEM-2", "issued" : { "date-parts" : [ [ "2016" ] ] }, "title" : "The Geography of a rapid rise in mortality in England and Wales, 2014-2015", "type" : "article-journal" }, "uris" : [ "http://www.mendeley.com/documents/?uuid=4205e98f-134a-46b1-a12b-1cb8408aeaf7" ] } ], "mendeley" : { "formattedCitation" : "&lt;sup&gt;1,4&lt;/sup&gt;", "plainTextFormattedCitation" : "1,4", "previouslyFormattedCitation" : "&lt;sup&gt;1,4&lt;/sup&gt;" }, "properties" : { "noteIndex" : 0 }, "schema" : "https://github.com/citation-style-language/schema/raw/master/csl-citation.json" }</w:instrText>
      </w:r>
      <w:r w:rsidR="006112F4" w:rsidRPr="00031EB4">
        <w:rPr>
          <w:rFonts w:ascii="Times New Roman" w:hAnsi="Times New Roman" w:cs="Times New Roman"/>
          <w:sz w:val="20"/>
        </w:rPr>
        <w:fldChar w:fldCharType="separate"/>
      </w:r>
      <w:r w:rsidR="00C772D0" w:rsidRPr="00031EB4">
        <w:rPr>
          <w:rFonts w:ascii="Times New Roman" w:hAnsi="Times New Roman" w:cs="Times New Roman"/>
          <w:noProof/>
          <w:sz w:val="20"/>
          <w:vertAlign w:val="superscript"/>
        </w:rPr>
        <w:t>1,4</w:t>
      </w:r>
      <w:r w:rsidR="006112F4" w:rsidRPr="00031EB4">
        <w:rPr>
          <w:rFonts w:ascii="Times New Roman" w:hAnsi="Times New Roman" w:cs="Times New Roman"/>
          <w:sz w:val="20"/>
        </w:rPr>
        <w:fldChar w:fldCharType="end"/>
      </w:r>
      <w:r w:rsidR="006112F4" w:rsidRPr="00031EB4">
        <w:rPr>
          <w:rFonts w:ascii="Times New Roman" w:hAnsi="Times New Roman" w:cs="Times New Roman"/>
          <w:sz w:val="20"/>
        </w:rPr>
        <w:t xml:space="preserve"> </w:t>
      </w:r>
      <w:r w:rsidR="009C6742" w:rsidRPr="00031EB4">
        <w:rPr>
          <w:rFonts w:ascii="Times New Roman" w:hAnsi="Times New Roman" w:cs="Times New Roman"/>
          <w:sz w:val="20"/>
        </w:rPr>
        <w:t>The scope for such biases also reduce as more age-disaggregated data are used.</w:t>
      </w:r>
      <w:r w:rsidR="009C6742" w:rsidRPr="00031EB4">
        <w:rPr>
          <w:rFonts w:ascii="Times New Roman" w:hAnsi="Times New Roman" w:cs="Times New Roman"/>
          <w:sz w:val="20"/>
        </w:rPr>
        <w:fldChar w:fldCharType="begin" w:fldLock="1"/>
      </w:r>
      <w:r w:rsidR="00681540" w:rsidRPr="00031EB4">
        <w:rPr>
          <w:rFonts w:ascii="Times New Roman" w:hAnsi="Times New Roman" w:cs="Times New Roman"/>
          <w:sz w:val="20"/>
        </w:rPr>
        <w:instrText>ADDIN CSL_CITATION { "citationItems" : [ { "id" : "ITEM-1", "itemData" : { "DOI" : "10.1093/ije/dyw095", "author" : [ { "dropping-particle" : "", "family" : "Minton", "given" : "J", "non-dropping-particle" : "", "parse-names" : false, "suffix" : "" }, { "dropping-particle" : "", "family" : "Shaw", "given" : "R", "non-dropping-particle" : "", "parse-names" : false, "suffix" : "" }, { "dropping-particle" : "", "family" : "Green", "given" : "M", "non-dropping-particle" : "", "parse-names" : false, "suffix" : "" }, { "dropping-particle" : "", "family" : "Vanderbloemen", "given" : "L", "non-dropping-particle" : "", "parse-names" : false, "suffix" : "" }, { "dropping-particle" : "", "family" : "McCartney", "given" : "G", "non-dropping-particle" : "", "parse-names" : false, "suffix" : "" }, { "dropping-particle" : "", "family" : "Pickett", "given" : "K", "non-dropping-particle" : "", "parse-names" : false, "suffix" : "" } ], "container-title" : "International Journal of Epidemiology", "id" : "ITEM-1", "issued" : { "date-parts" : [ [ "2016" ] ] }, "title" : "Two cheers for a small giant? Why we need better ways of seeing data. A commentary on: 'Rising morbidity and mortality in midlife among white non-Hispanic (WNH) Americans in the 21st century'", "type" : "article-journal" }, "uris" : [ "http://www.mendeley.com/documents/?uuid=8035617e-eb67-4b55-af97-3e1aa788e2ed" ] } ], "mendeley" : { "formattedCitation" : "&lt;sup&gt;5&lt;/sup&gt;", "plainTextFormattedCitation" : "5", "previouslyFormattedCitation" : "&lt;sup&gt;5&lt;/sup&gt;" }, "properties" : { "noteIndex" : 0 }, "schema" : "https://github.com/citation-style-language/schema/raw/master/csl-citation.json" }</w:instrText>
      </w:r>
      <w:r w:rsidR="009C6742" w:rsidRPr="00031EB4">
        <w:rPr>
          <w:rFonts w:ascii="Times New Roman" w:hAnsi="Times New Roman" w:cs="Times New Roman"/>
          <w:sz w:val="20"/>
        </w:rPr>
        <w:fldChar w:fldCharType="separate"/>
      </w:r>
      <w:r w:rsidR="00C772D0" w:rsidRPr="00031EB4">
        <w:rPr>
          <w:rFonts w:ascii="Times New Roman" w:hAnsi="Times New Roman" w:cs="Times New Roman"/>
          <w:noProof/>
          <w:sz w:val="20"/>
          <w:vertAlign w:val="superscript"/>
        </w:rPr>
        <w:t>5</w:t>
      </w:r>
      <w:r w:rsidR="009C6742" w:rsidRPr="00031EB4">
        <w:rPr>
          <w:rFonts w:ascii="Times New Roman" w:hAnsi="Times New Roman" w:cs="Times New Roman"/>
          <w:sz w:val="20"/>
        </w:rPr>
        <w:fldChar w:fldCharType="end"/>
      </w:r>
      <w:r w:rsidR="00CD5658" w:rsidRPr="00031EB4">
        <w:rPr>
          <w:rFonts w:ascii="Times New Roman" w:hAnsi="Times New Roman" w:cs="Times New Roman"/>
          <w:sz w:val="20"/>
        </w:rPr>
        <w:t xml:space="preserve"> Similar patterns of rising mortality rates were observed in the most recent mid-year estimates</w:t>
      </w:r>
      <w:r w:rsidR="00681540" w:rsidRPr="00031EB4">
        <w:rPr>
          <w:rFonts w:ascii="Times New Roman" w:hAnsi="Times New Roman" w:cs="Times New Roman"/>
          <w:sz w:val="20"/>
        </w:rPr>
        <w:t>,</w:t>
      </w:r>
      <w:r w:rsidR="00681540" w:rsidRPr="00031EB4">
        <w:rPr>
          <w:rFonts w:ascii="Times New Roman" w:hAnsi="Times New Roman" w:cs="Times New Roman"/>
          <w:sz w:val="20"/>
        </w:rPr>
        <w:fldChar w:fldCharType="begin" w:fldLock="1"/>
      </w:r>
      <w:r w:rsidR="00681540" w:rsidRPr="00031EB4">
        <w:rPr>
          <w:rFonts w:ascii="Times New Roman" w:hAnsi="Times New Roman" w:cs="Times New Roman"/>
          <w:sz w:val="20"/>
        </w:rPr>
        <w:instrText>ADDIN CSL_CITATION { "citationItems" : [ { "id" : "ITEM-1", "itemData" : { "author" : [ { "dropping-particle" : "", "family" : "Green", "given" : "M", "non-dropping-particle" : "", "parse-names" : false, "suffix" : "" }, { "dropping-particle" : "", "family" : "Dorling", "given" : "D", "non-dropping-particle" : "", "parse-names" : false, "suffix" : "" }, { "dropping-particle" : "", "family" : "Minton", "given" : "J", "non-dropping-particle" : "", "parse-names" : false, "suffix" : "" } ], "id" : "ITEM-1", "issued" : { "date-parts" : [ [ "2016" ] ] }, "title" : "The Geography of a rapid rise in mortality in England and Wales, 2014-2015", "type" : "article-journal" }, "uris" : [ "http://www.mendeley.com/documents/?uuid=4205e98f-134a-46b1-a12b-1cb8408aeaf7" ] } ], "mendeley" : { "formattedCitation" : "&lt;sup&gt;4&lt;/sup&gt;", "plainTextFormattedCitation" : "4", "previouslyFormattedCitation" : "&lt;sup&gt;4&lt;/sup&gt;" }, "properties" : { "noteIndex" : 0 }, "schema" : "https://github.com/citation-style-language/schema/raw/master/csl-citation.json" }</w:instrText>
      </w:r>
      <w:r w:rsidR="00681540" w:rsidRPr="00031EB4">
        <w:rPr>
          <w:rFonts w:ascii="Times New Roman" w:hAnsi="Times New Roman" w:cs="Times New Roman"/>
          <w:sz w:val="20"/>
        </w:rPr>
        <w:fldChar w:fldCharType="separate"/>
      </w:r>
      <w:r w:rsidR="00681540" w:rsidRPr="00031EB4">
        <w:rPr>
          <w:rFonts w:ascii="Times New Roman" w:hAnsi="Times New Roman" w:cs="Times New Roman"/>
          <w:noProof/>
          <w:sz w:val="20"/>
          <w:vertAlign w:val="superscript"/>
        </w:rPr>
        <w:t>4</w:t>
      </w:r>
      <w:r w:rsidR="00681540" w:rsidRPr="00031EB4">
        <w:rPr>
          <w:rFonts w:ascii="Times New Roman" w:hAnsi="Times New Roman" w:cs="Times New Roman"/>
          <w:sz w:val="20"/>
        </w:rPr>
        <w:fldChar w:fldCharType="end"/>
      </w:r>
      <w:r w:rsidR="00CD5658" w:rsidRPr="00031EB4">
        <w:rPr>
          <w:rFonts w:ascii="Times New Roman" w:hAnsi="Times New Roman" w:cs="Times New Roman"/>
          <w:sz w:val="20"/>
        </w:rPr>
        <w:t xml:space="preserve"> and the consistency of these patterns point towards austerity as opposed the other findings.</w:t>
      </w:r>
    </w:p>
    <w:p w14:paraId="30A96AC5" w14:textId="22356AE0" w:rsidR="00D80E19" w:rsidRPr="00031EB4" w:rsidRDefault="00B801AF" w:rsidP="00E22714">
      <w:pPr>
        <w:pStyle w:val="Heading2"/>
        <w:spacing w:line="240" w:lineRule="auto"/>
        <w:rPr>
          <w:rFonts w:ascii="Times New Roman" w:hAnsi="Times New Roman" w:cs="Times New Roman"/>
          <w:b/>
          <w:color w:val="auto"/>
          <w:sz w:val="20"/>
        </w:rPr>
      </w:pPr>
      <w:r w:rsidRPr="00031EB4">
        <w:rPr>
          <w:rFonts w:ascii="Times New Roman" w:hAnsi="Times New Roman" w:cs="Times New Roman"/>
          <w:b/>
          <w:color w:val="auto"/>
          <w:sz w:val="20"/>
        </w:rPr>
        <w:t>Slower improvements are still falls against expectations</w:t>
      </w:r>
      <w:r w:rsidR="00E273AE" w:rsidRPr="00031EB4">
        <w:rPr>
          <w:rFonts w:ascii="Times New Roman" w:hAnsi="Times New Roman" w:cs="Times New Roman"/>
          <w:b/>
          <w:color w:val="auto"/>
          <w:sz w:val="20"/>
        </w:rPr>
        <w:t>: changing ‘fundamentals’?</w:t>
      </w:r>
    </w:p>
    <w:p w14:paraId="4AECC1D0" w14:textId="63B55C2F" w:rsidR="00014B1F" w:rsidRPr="00031EB4" w:rsidRDefault="00B801AF" w:rsidP="00E22714">
      <w:pPr>
        <w:spacing w:line="240" w:lineRule="auto"/>
        <w:rPr>
          <w:rFonts w:ascii="Times New Roman" w:hAnsi="Times New Roman" w:cs="Times New Roman"/>
          <w:sz w:val="20"/>
        </w:rPr>
      </w:pPr>
      <w:r w:rsidRPr="00031EB4">
        <w:rPr>
          <w:rFonts w:ascii="Times New Roman" w:hAnsi="Times New Roman" w:cs="Times New Roman"/>
          <w:sz w:val="20"/>
        </w:rPr>
        <w:t xml:space="preserve">The fact that death rates in some elderly age groups have risen in recent years should be of great concern </w:t>
      </w:r>
      <w:r w:rsidR="00E6003F" w:rsidRPr="00031EB4">
        <w:rPr>
          <w:rFonts w:ascii="Times New Roman" w:hAnsi="Times New Roman" w:cs="Times New Roman"/>
          <w:sz w:val="20"/>
        </w:rPr>
        <w:t xml:space="preserve">as </w:t>
      </w:r>
      <w:r w:rsidRPr="00031EB4">
        <w:rPr>
          <w:rFonts w:ascii="Times New Roman" w:hAnsi="Times New Roman" w:cs="Times New Roman"/>
          <w:sz w:val="20"/>
        </w:rPr>
        <w:t>the tendency and expectation for many decades has been for the risk of death at most ages</w:t>
      </w:r>
      <w:r w:rsidR="00360F11" w:rsidRPr="00031EB4">
        <w:rPr>
          <w:rFonts w:ascii="Times New Roman" w:hAnsi="Times New Roman" w:cs="Times New Roman"/>
          <w:sz w:val="20"/>
        </w:rPr>
        <w:t>, especially older ages,</w:t>
      </w:r>
      <w:r w:rsidRPr="00031EB4">
        <w:rPr>
          <w:rFonts w:ascii="Times New Roman" w:hAnsi="Times New Roman" w:cs="Times New Roman"/>
          <w:sz w:val="20"/>
        </w:rPr>
        <w:t xml:space="preserve"> to decline.</w:t>
      </w:r>
      <w:r w:rsidR="00681540" w:rsidRPr="00031EB4">
        <w:rPr>
          <w:rFonts w:ascii="Times New Roman" w:hAnsi="Times New Roman" w:cs="Times New Roman"/>
          <w:sz w:val="20"/>
        </w:rPr>
        <w:fldChar w:fldCharType="begin" w:fldLock="1"/>
      </w:r>
      <w:r w:rsidR="00F54134" w:rsidRPr="00031EB4">
        <w:rPr>
          <w:rFonts w:ascii="Times New Roman" w:hAnsi="Times New Roman" w:cs="Times New Roman"/>
          <w:sz w:val="20"/>
        </w:rPr>
        <w:instrText>ADDIN CSL_CITATION { "citationItems" : [ { "id" : "ITEM-1", "itemData" : { "DOI" : "10.1093/ije/dyr061", "ISSN" : "1464-3685", "PMID" : "21415000", "author" : [ { "dropping-particle" : "", "family" : "Leon", "given" : "David A", "non-dropping-particle" : "", "parse-names" : false, "suffix" : "" } ], "container-title" : "International journal of epidemiology", "id" : "ITEM-1", "issue" : "2", "issued" : { "date-parts" : [ [ "2011", "4" ] ] }, "page" : "271-7", "title" : "Trends in European life expectancy: a salutary view.", "type" : "article-journal", "volume" : "40" }, "uris" : [ "http://www.mendeley.com/documents/?uuid=86ba6689-ce9f-419a-8cb6-6778bc7f791a" ] } ], "mendeley" : { "formattedCitation" : "&lt;sup&gt;6&lt;/sup&gt;", "plainTextFormattedCitation" : "6", "previouslyFormattedCitation" : "&lt;sup&gt;6&lt;/sup&gt;" }, "properties" : { "noteIndex" : 0 }, "schema" : "https://github.com/citation-style-language/schema/raw/master/csl-citation.json" }</w:instrText>
      </w:r>
      <w:r w:rsidR="00681540" w:rsidRPr="00031EB4">
        <w:rPr>
          <w:rFonts w:ascii="Times New Roman" w:hAnsi="Times New Roman" w:cs="Times New Roman"/>
          <w:sz w:val="20"/>
        </w:rPr>
        <w:fldChar w:fldCharType="separate"/>
      </w:r>
      <w:r w:rsidR="00681540" w:rsidRPr="00031EB4">
        <w:rPr>
          <w:rFonts w:ascii="Times New Roman" w:hAnsi="Times New Roman" w:cs="Times New Roman"/>
          <w:noProof/>
          <w:sz w:val="20"/>
          <w:vertAlign w:val="superscript"/>
        </w:rPr>
        <w:t>6</w:t>
      </w:r>
      <w:r w:rsidR="00681540" w:rsidRPr="00031EB4">
        <w:rPr>
          <w:rFonts w:ascii="Times New Roman" w:hAnsi="Times New Roman" w:cs="Times New Roman"/>
          <w:sz w:val="20"/>
        </w:rPr>
        <w:fldChar w:fldCharType="end"/>
      </w:r>
      <w:r w:rsidR="003C472A" w:rsidRPr="00031EB4">
        <w:rPr>
          <w:rFonts w:ascii="Times New Roman" w:hAnsi="Times New Roman" w:cs="Times New Roman"/>
          <w:sz w:val="20"/>
        </w:rPr>
        <w:t xml:space="preserve"> Reasons </w:t>
      </w:r>
      <w:r w:rsidR="002F1EB9" w:rsidRPr="00031EB4">
        <w:rPr>
          <w:rFonts w:ascii="Times New Roman" w:hAnsi="Times New Roman" w:cs="Times New Roman"/>
          <w:sz w:val="20"/>
        </w:rPr>
        <w:t xml:space="preserve">for the previous declines </w:t>
      </w:r>
      <w:r w:rsidR="003C472A" w:rsidRPr="00031EB4">
        <w:rPr>
          <w:rFonts w:ascii="Times New Roman" w:hAnsi="Times New Roman" w:cs="Times New Roman"/>
          <w:sz w:val="20"/>
        </w:rPr>
        <w:t>are multifactorial and include both specific medical innovations and broader improvements in living conditions</w:t>
      </w:r>
      <w:r w:rsidR="00436D09" w:rsidRPr="00031EB4">
        <w:rPr>
          <w:rFonts w:ascii="Times New Roman" w:hAnsi="Times New Roman" w:cs="Times New Roman"/>
          <w:sz w:val="20"/>
        </w:rPr>
        <w:t>,</w:t>
      </w:r>
      <w:r w:rsidR="003C472A" w:rsidRPr="00031EB4">
        <w:rPr>
          <w:rFonts w:ascii="Times New Roman" w:hAnsi="Times New Roman" w:cs="Times New Roman"/>
          <w:sz w:val="20"/>
        </w:rPr>
        <w:t xml:space="preserve"> such as improved housing and sanitation</w:t>
      </w:r>
      <w:r w:rsidR="004722A5" w:rsidRPr="00031EB4">
        <w:rPr>
          <w:rFonts w:ascii="Times New Roman" w:hAnsi="Times New Roman" w:cs="Times New Roman"/>
          <w:sz w:val="20"/>
        </w:rPr>
        <w:t>.</w:t>
      </w:r>
      <w:r w:rsidR="00683C38" w:rsidRPr="00031EB4">
        <w:rPr>
          <w:rFonts w:ascii="Times New Roman" w:hAnsi="Times New Roman" w:cs="Times New Roman"/>
          <w:sz w:val="20"/>
        </w:rPr>
        <w:fldChar w:fldCharType="begin" w:fldLock="1"/>
      </w:r>
      <w:r w:rsidR="00F54134" w:rsidRPr="00031EB4">
        <w:rPr>
          <w:rFonts w:ascii="Times New Roman" w:hAnsi="Times New Roman" w:cs="Times New Roman"/>
          <w:sz w:val="20"/>
        </w:rPr>
        <w:instrText>ADDIN CSL_CITATION { "citationItems" : [ { "id" : "ITEM-1", "itemData" : { "DOI" : "10.2105/AJPH.2005.084848", "ISSN" : "0090-0036", "author" : [ { "dropping-particle" : "", "family" : "Woolf", "given" : "Steven H.", "non-dropping-particle" : "", "parse-names" : false, "suffix" : "" }, { "dropping-particle" : "", "family" : "Johnson", "given" : "Robert E.", "non-dropping-particle" : "", "parse-names" : false, "suffix" : "" }, { "dropping-particle" : "", "family" : "Phillips", "given" : "Robert L.", "non-dropping-particle" : "", "parse-names" : false, "suffix" : "" }, { "dropping-particle" : "", "family" : "Philipsen", "given" : "Maike", "non-dropping-particle" : "", "parse-names" : false, "suffix" : "" } ], "container-title" : "American Journal of Public Health", "id" : "ITEM-1", "issue" : "4", "issued" : { "date-parts" : [ [ "2007", "4" ] ] }, "page" : "679-683", "title" : "Giving Everyone the Health of the Educated: An Examination of Whether Social Change Would Save More Lives Than Medical Advances", "type" : "article-journal", "volume" : "97" }, "uris" : [ "http://www.mendeley.com/documents/?uuid=505892f7-e4db-49bd-b87a-5802ad2b171c" ] } ], "mendeley" : { "formattedCitation" : "&lt;sup&gt;7&lt;/sup&gt;", "plainTextFormattedCitation" : "7", "previouslyFormattedCitation" : "&lt;sup&gt;7&lt;/sup&gt;" }, "properties" : { "noteIndex" : 0 }, "schema" : "https://github.com/citation-style-language/schema/raw/master/csl-citation.json" }</w:instrText>
      </w:r>
      <w:r w:rsidR="00683C38" w:rsidRPr="00031EB4">
        <w:rPr>
          <w:rFonts w:ascii="Times New Roman" w:hAnsi="Times New Roman" w:cs="Times New Roman"/>
          <w:sz w:val="20"/>
        </w:rPr>
        <w:fldChar w:fldCharType="separate"/>
      </w:r>
      <w:r w:rsidR="00681540" w:rsidRPr="00031EB4">
        <w:rPr>
          <w:rFonts w:ascii="Times New Roman" w:hAnsi="Times New Roman" w:cs="Times New Roman"/>
          <w:noProof/>
          <w:sz w:val="20"/>
          <w:vertAlign w:val="superscript"/>
        </w:rPr>
        <w:t>7</w:t>
      </w:r>
      <w:r w:rsidR="00683C38" w:rsidRPr="00031EB4">
        <w:rPr>
          <w:rFonts w:ascii="Times New Roman" w:hAnsi="Times New Roman" w:cs="Times New Roman"/>
          <w:sz w:val="20"/>
        </w:rPr>
        <w:fldChar w:fldCharType="end"/>
      </w:r>
      <w:r w:rsidRPr="00031EB4">
        <w:rPr>
          <w:rFonts w:ascii="Times New Roman" w:hAnsi="Times New Roman" w:cs="Times New Roman"/>
          <w:sz w:val="20"/>
        </w:rPr>
        <w:t xml:space="preserve"> </w:t>
      </w:r>
      <w:r w:rsidR="00683C38" w:rsidRPr="00031EB4">
        <w:rPr>
          <w:rFonts w:ascii="Times New Roman" w:hAnsi="Times New Roman" w:cs="Times New Roman"/>
          <w:sz w:val="20"/>
        </w:rPr>
        <w:t xml:space="preserve"> </w:t>
      </w:r>
      <w:r w:rsidR="00360F11" w:rsidRPr="00031EB4">
        <w:rPr>
          <w:rFonts w:ascii="Times New Roman" w:hAnsi="Times New Roman" w:cs="Times New Roman"/>
          <w:sz w:val="20"/>
        </w:rPr>
        <w:t>O</w:t>
      </w:r>
      <w:r w:rsidR="002424F4" w:rsidRPr="00031EB4">
        <w:rPr>
          <w:rFonts w:ascii="Times New Roman" w:hAnsi="Times New Roman" w:cs="Times New Roman"/>
          <w:sz w:val="20"/>
        </w:rPr>
        <w:t xml:space="preserve">nly a severe </w:t>
      </w:r>
      <w:r w:rsidR="00B279B3" w:rsidRPr="00031EB4">
        <w:rPr>
          <w:rFonts w:ascii="Times New Roman" w:hAnsi="Times New Roman" w:cs="Times New Roman"/>
          <w:sz w:val="20"/>
        </w:rPr>
        <w:t>and prolonged shock and assault to the factors which contribute to such steady improvements c</w:t>
      </w:r>
      <w:r w:rsidR="00E6003F" w:rsidRPr="00031EB4">
        <w:rPr>
          <w:rFonts w:ascii="Times New Roman" w:hAnsi="Times New Roman" w:cs="Times New Roman"/>
          <w:sz w:val="20"/>
        </w:rPr>
        <w:t>ould</w:t>
      </w:r>
      <w:r w:rsidR="00B279B3" w:rsidRPr="00031EB4">
        <w:rPr>
          <w:rFonts w:ascii="Times New Roman" w:hAnsi="Times New Roman" w:cs="Times New Roman"/>
          <w:sz w:val="20"/>
        </w:rPr>
        <w:t xml:space="preserve"> alter these long-term dynamics</w:t>
      </w:r>
      <w:r w:rsidR="00681540" w:rsidRPr="00031EB4">
        <w:rPr>
          <w:rFonts w:ascii="Times New Roman" w:hAnsi="Times New Roman" w:cs="Times New Roman"/>
          <w:sz w:val="20"/>
        </w:rPr>
        <w:t>.</w:t>
      </w:r>
      <w:r w:rsidR="00360F11" w:rsidRPr="00031EB4">
        <w:rPr>
          <w:rFonts w:ascii="Times New Roman" w:hAnsi="Times New Roman" w:cs="Times New Roman"/>
          <w:sz w:val="20"/>
        </w:rPr>
        <w:fldChar w:fldCharType="begin" w:fldLock="1"/>
      </w:r>
      <w:r w:rsidR="00F54134" w:rsidRPr="00031EB4">
        <w:rPr>
          <w:rFonts w:ascii="Times New Roman" w:hAnsi="Times New Roman" w:cs="Times New Roman"/>
          <w:sz w:val="20"/>
        </w:rPr>
        <w:instrText>ADDIN CSL_CITATION { "citationItems" : [ { "id" : "ITEM-1", "itemData" : { "DOI" : "10.1093/ije/dyr061", "ISSN" : "1464-3685", "PMID" : "21415000", "author" : [ { "dropping-particle" : "", "family" : "Leon", "given" : "David A", "non-dropping-particle" : "", "parse-names" : false, "suffix" : "" } ], "container-title" : "International journal of epidemiology", "id" : "ITEM-1", "issue" : "2", "issued" : { "date-parts" : [ [ "2011", "4" ] ] }, "page" : "271-7", "title" : "Trends in European life expectancy: a salutary view.", "type" : "article-journal", "volume" : "40" }, "uris" : [ "http://www.mendeley.com/documents/?uuid=86ba6689-ce9f-419a-8cb6-6778bc7f791a" ] } ], "mendeley" : { "formattedCitation" : "&lt;sup&gt;6&lt;/sup&gt;", "plainTextFormattedCitation" : "6", "previouslyFormattedCitation" : "&lt;sup&gt;6&lt;/sup&gt;" }, "properties" : { "noteIndex" : 0 }, "schema" : "https://github.com/citation-style-language/schema/raw/master/csl-citation.json" }</w:instrText>
      </w:r>
      <w:r w:rsidR="00360F11" w:rsidRPr="00031EB4">
        <w:rPr>
          <w:rFonts w:ascii="Times New Roman" w:hAnsi="Times New Roman" w:cs="Times New Roman"/>
          <w:sz w:val="20"/>
        </w:rPr>
        <w:fldChar w:fldCharType="separate"/>
      </w:r>
      <w:r w:rsidR="00681540" w:rsidRPr="00031EB4">
        <w:rPr>
          <w:rFonts w:ascii="Times New Roman" w:hAnsi="Times New Roman" w:cs="Times New Roman"/>
          <w:noProof/>
          <w:sz w:val="20"/>
          <w:vertAlign w:val="superscript"/>
        </w:rPr>
        <w:t>6</w:t>
      </w:r>
      <w:r w:rsidR="00360F11" w:rsidRPr="00031EB4">
        <w:rPr>
          <w:rFonts w:ascii="Times New Roman" w:hAnsi="Times New Roman" w:cs="Times New Roman"/>
          <w:sz w:val="20"/>
        </w:rPr>
        <w:fldChar w:fldCharType="end"/>
      </w:r>
    </w:p>
    <w:p w14:paraId="6E71C288" w14:textId="691D7455" w:rsidR="00B801AF" w:rsidRPr="00031EB4" w:rsidRDefault="00014B1F" w:rsidP="00E22714">
      <w:pPr>
        <w:spacing w:line="240" w:lineRule="auto"/>
        <w:rPr>
          <w:rFonts w:ascii="Times New Roman" w:hAnsi="Times New Roman" w:cs="Times New Roman"/>
          <w:sz w:val="20"/>
        </w:rPr>
      </w:pPr>
      <w:r w:rsidRPr="00031EB4">
        <w:rPr>
          <w:rFonts w:ascii="Times New Roman" w:hAnsi="Times New Roman" w:cs="Times New Roman"/>
          <w:sz w:val="20"/>
        </w:rPr>
        <w:t xml:space="preserve">Wealth, and economic change more generally, affects health, and </w:t>
      </w:r>
      <w:r w:rsidR="00B279B3" w:rsidRPr="00031EB4">
        <w:rPr>
          <w:rFonts w:ascii="Times New Roman" w:hAnsi="Times New Roman" w:cs="Times New Roman"/>
          <w:sz w:val="20"/>
        </w:rPr>
        <w:t xml:space="preserve">Figure 1 shows </w:t>
      </w:r>
      <w:r w:rsidRPr="00031EB4">
        <w:rPr>
          <w:rFonts w:ascii="Times New Roman" w:hAnsi="Times New Roman" w:cs="Times New Roman"/>
          <w:sz w:val="20"/>
        </w:rPr>
        <w:t>that the economic fundamentals changed</w:t>
      </w:r>
      <w:r w:rsidR="00436D09" w:rsidRPr="00031EB4">
        <w:rPr>
          <w:rFonts w:ascii="Times New Roman" w:hAnsi="Times New Roman" w:cs="Times New Roman"/>
          <w:sz w:val="20"/>
        </w:rPr>
        <w:t xml:space="preserve"> rapidly</w:t>
      </w:r>
      <w:r w:rsidRPr="00031EB4">
        <w:rPr>
          <w:rFonts w:ascii="Times New Roman" w:hAnsi="Times New Roman" w:cs="Times New Roman"/>
          <w:sz w:val="20"/>
        </w:rPr>
        <w:t xml:space="preserve"> in England &amp; Wales, perhaps irreversibly, after 2008. The figures s</w:t>
      </w:r>
      <w:r w:rsidR="00B279B3" w:rsidRPr="00031EB4">
        <w:rPr>
          <w:rFonts w:ascii="Times New Roman" w:hAnsi="Times New Roman" w:cs="Times New Roman"/>
          <w:sz w:val="20"/>
        </w:rPr>
        <w:t xml:space="preserve">how per capita GDP </w:t>
      </w:r>
      <w:r w:rsidR="00815060" w:rsidRPr="00031EB4">
        <w:rPr>
          <w:rFonts w:ascii="Times New Roman" w:hAnsi="Times New Roman" w:cs="Times New Roman"/>
          <w:sz w:val="20"/>
        </w:rPr>
        <w:t xml:space="preserve">(not inflation adjusted) </w:t>
      </w:r>
      <w:r w:rsidR="00E6003F" w:rsidRPr="00031EB4">
        <w:rPr>
          <w:rFonts w:ascii="Times New Roman" w:hAnsi="Times New Roman" w:cs="Times New Roman"/>
          <w:sz w:val="20"/>
        </w:rPr>
        <w:t>increased between</w:t>
      </w:r>
      <w:r w:rsidR="00815060" w:rsidRPr="00031EB4">
        <w:rPr>
          <w:rFonts w:ascii="Times New Roman" w:hAnsi="Times New Roman" w:cs="Times New Roman"/>
          <w:sz w:val="20"/>
        </w:rPr>
        <w:t xml:space="preserve"> 1950</w:t>
      </w:r>
      <w:r w:rsidR="00E6003F" w:rsidRPr="00031EB4">
        <w:rPr>
          <w:rFonts w:ascii="Times New Roman" w:hAnsi="Times New Roman" w:cs="Times New Roman"/>
          <w:sz w:val="20"/>
        </w:rPr>
        <w:t xml:space="preserve"> and 2008</w:t>
      </w:r>
      <w:r w:rsidR="00815060" w:rsidRPr="00031EB4">
        <w:rPr>
          <w:rFonts w:ascii="Times New Roman" w:hAnsi="Times New Roman" w:cs="Times New Roman"/>
          <w:sz w:val="20"/>
        </w:rPr>
        <w:t xml:space="preserve"> in England &amp; Wales, using</w:t>
      </w:r>
      <w:r w:rsidR="00E6003F" w:rsidRPr="00031EB4">
        <w:rPr>
          <w:rFonts w:ascii="Times New Roman" w:hAnsi="Times New Roman" w:cs="Times New Roman"/>
          <w:sz w:val="20"/>
        </w:rPr>
        <w:t xml:space="preserve"> </w:t>
      </w:r>
      <w:r w:rsidR="00815060" w:rsidRPr="00031EB4">
        <w:rPr>
          <w:rFonts w:ascii="Times New Roman" w:hAnsi="Times New Roman" w:cs="Times New Roman"/>
          <w:sz w:val="20"/>
        </w:rPr>
        <w:t>annual</w:t>
      </w:r>
      <w:r w:rsidR="00E6003F" w:rsidRPr="00031EB4">
        <w:rPr>
          <w:rFonts w:ascii="Times New Roman" w:hAnsi="Times New Roman" w:cs="Times New Roman"/>
          <w:sz w:val="20"/>
        </w:rPr>
        <w:t xml:space="preserve"> </w:t>
      </w:r>
      <w:r w:rsidR="00815060" w:rsidRPr="00031EB4">
        <w:rPr>
          <w:rFonts w:ascii="Times New Roman" w:hAnsi="Times New Roman" w:cs="Times New Roman"/>
          <w:sz w:val="20"/>
        </w:rPr>
        <w:t xml:space="preserve">estimates from </w:t>
      </w:r>
      <w:r w:rsidR="00E273AE" w:rsidRPr="00031EB4">
        <w:rPr>
          <w:rFonts w:ascii="Times New Roman" w:hAnsi="Times New Roman" w:cs="Times New Roman"/>
          <w:sz w:val="20"/>
        </w:rPr>
        <w:t>the Office for National Statistics (</w:t>
      </w:r>
      <w:r w:rsidR="00815060" w:rsidRPr="00031EB4">
        <w:rPr>
          <w:rFonts w:ascii="Times New Roman" w:hAnsi="Times New Roman" w:cs="Times New Roman"/>
          <w:sz w:val="20"/>
        </w:rPr>
        <w:t>ONS</w:t>
      </w:r>
      <w:r w:rsidR="00E273AE" w:rsidRPr="00031EB4">
        <w:rPr>
          <w:rFonts w:ascii="Times New Roman" w:hAnsi="Times New Roman" w:cs="Times New Roman"/>
          <w:sz w:val="20"/>
        </w:rPr>
        <w:t>)</w:t>
      </w:r>
      <w:r w:rsidR="00E6003F" w:rsidRPr="00031EB4">
        <w:rPr>
          <w:rFonts w:ascii="Times New Roman" w:hAnsi="Times New Roman" w:cs="Times New Roman"/>
          <w:sz w:val="20"/>
        </w:rPr>
        <w:t>.</w:t>
      </w:r>
      <w:r w:rsidR="004D5091" w:rsidRPr="00031EB4">
        <w:rPr>
          <w:rFonts w:ascii="Times New Roman" w:hAnsi="Times New Roman" w:cs="Times New Roman"/>
          <w:sz w:val="20"/>
        </w:rPr>
        <w:fldChar w:fldCharType="begin" w:fldLock="1"/>
      </w:r>
      <w:r w:rsidR="00681540" w:rsidRPr="00031EB4">
        <w:rPr>
          <w:rFonts w:ascii="Times New Roman" w:hAnsi="Times New Roman" w:cs="Times New Roman"/>
          <w:sz w:val="20"/>
        </w:rPr>
        <w:instrText>ADDIN CSL_CITATION { "citationItems" : [ { "id" : "ITEM-1", "itemData" : { "URL" : "www.mortality.org", "container-title" : "University of California, Berkeley (USA), and Max Plank Institute for Demographic Research (Germany)", "id" : "ITEM-1", "issued" : { "date-parts" : [ [ "2014" ] ] }, "title" : "Human Mortality Database", "type" : "webpage" }, "uris" : [ "http://www.mendeley.com/documents/?uuid=58f3b93d-f91e-4ac6-a981-7aa46d2d4863" ] } ], "mendeley" : { "formattedCitation" : "&lt;sup&gt;8&lt;/sup&gt;", "plainTextFormattedCitation" : "8", "previouslyFormattedCitation" : "&lt;sup&gt;8&lt;/sup&gt;" }, "properties" : { "noteIndex" : 0 }, "schema" : "https://github.com/citation-style-language/schema/raw/master/csl-citation.json" }</w:instrText>
      </w:r>
      <w:r w:rsidR="004D5091" w:rsidRPr="00031EB4">
        <w:rPr>
          <w:rFonts w:ascii="Times New Roman" w:hAnsi="Times New Roman" w:cs="Times New Roman"/>
          <w:sz w:val="20"/>
        </w:rPr>
        <w:fldChar w:fldCharType="separate"/>
      </w:r>
      <w:r w:rsidR="00C772D0" w:rsidRPr="00031EB4">
        <w:rPr>
          <w:rFonts w:ascii="Times New Roman" w:hAnsi="Times New Roman" w:cs="Times New Roman"/>
          <w:noProof/>
          <w:sz w:val="20"/>
          <w:vertAlign w:val="superscript"/>
        </w:rPr>
        <w:t>8</w:t>
      </w:r>
      <w:r w:rsidR="004D5091" w:rsidRPr="00031EB4">
        <w:rPr>
          <w:rFonts w:ascii="Times New Roman" w:hAnsi="Times New Roman" w:cs="Times New Roman"/>
          <w:sz w:val="20"/>
        </w:rPr>
        <w:fldChar w:fldCharType="end"/>
      </w:r>
      <w:r w:rsidR="004D5091" w:rsidRPr="00031EB4">
        <w:rPr>
          <w:rFonts w:ascii="Times New Roman" w:hAnsi="Times New Roman" w:cs="Times New Roman"/>
          <w:sz w:val="20"/>
        </w:rPr>
        <w:t xml:space="preserve"> </w:t>
      </w:r>
      <w:r w:rsidR="00815060" w:rsidRPr="00031EB4">
        <w:rPr>
          <w:rFonts w:ascii="Times New Roman" w:hAnsi="Times New Roman" w:cs="Times New Roman"/>
          <w:sz w:val="20"/>
        </w:rPr>
        <w:t>The line shows the</w:t>
      </w:r>
      <w:r w:rsidR="00EF02BD" w:rsidRPr="00031EB4">
        <w:rPr>
          <w:rFonts w:ascii="Times New Roman" w:hAnsi="Times New Roman" w:cs="Times New Roman"/>
          <w:sz w:val="20"/>
        </w:rPr>
        <w:t xml:space="preserve"> time</w:t>
      </w:r>
      <w:r w:rsidR="00815060" w:rsidRPr="00031EB4">
        <w:rPr>
          <w:rFonts w:ascii="Times New Roman" w:hAnsi="Times New Roman" w:cs="Times New Roman"/>
          <w:sz w:val="20"/>
        </w:rPr>
        <w:t xml:space="preserve"> trend to 2008 inclusive, which is then extrapolated to 2015. </w:t>
      </w:r>
      <w:r w:rsidR="00E6003F" w:rsidRPr="00031EB4">
        <w:rPr>
          <w:rFonts w:ascii="Times New Roman" w:hAnsi="Times New Roman" w:cs="Times New Roman"/>
          <w:sz w:val="20"/>
        </w:rPr>
        <w:t>Between</w:t>
      </w:r>
      <w:r w:rsidR="00B64833" w:rsidRPr="00031EB4">
        <w:rPr>
          <w:rFonts w:ascii="Times New Roman" w:hAnsi="Times New Roman" w:cs="Times New Roman"/>
          <w:sz w:val="20"/>
        </w:rPr>
        <w:t xml:space="preserve"> 1950</w:t>
      </w:r>
      <w:r w:rsidR="00487107" w:rsidRPr="00031EB4">
        <w:rPr>
          <w:rFonts w:ascii="Times New Roman" w:hAnsi="Times New Roman" w:cs="Times New Roman"/>
          <w:sz w:val="20"/>
        </w:rPr>
        <w:t xml:space="preserve"> and </w:t>
      </w:r>
      <w:r w:rsidR="00B64833" w:rsidRPr="00031EB4">
        <w:rPr>
          <w:rFonts w:ascii="Times New Roman" w:hAnsi="Times New Roman" w:cs="Times New Roman"/>
          <w:sz w:val="20"/>
        </w:rPr>
        <w:t>2008</w:t>
      </w:r>
      <w:r w:rsidR="00E6003F" w:rsidRPr="00031EB4">
        <w:rPr>
          <w:rFonts w:ascii="Times New Roman" w:hAnsi="Times New Roman" w:cs="Times New Roman"/>
          <w:sz w:val="20"/>
        </w:rPr>
        <w:t>,</w:t>
      </w:r>
      <w:r w:rsidR="00B64833" w:rsidRPr="00031EB4">
        <w:rPr>
          <w:rFonts w:ascii="Times New Roman" w:hAnsi="Times New Roman" w:cs="Times New Roman"/>
          <w:sz w:val="20"/>
        </w:rPr>
        <w:t xml:space="preserve"> the statistical fit of this trend line</w:t>
      </w:r>
      <w:r w:rsidR="00436D09" w:rsidRPr="00031EB4">
        <w:rPr>
          <w:rFonts w:ascii="Times New Roman" w:hAnsi="Times New Roman" w:cs="Times New Roman"/>
          <w:sz w:val="20"/>
        </w:rPr>
        <w:t xml:space="preserve"> to actual GDP per capita</w:t>
      </w:r>
      <w:r w:rsidR="00B64833" w:rsidRPr="00031EB4">
        <w:rPr>
          <w:rFonts w:ascii="Times New Roman" w:hAnsi="Times New Roman" w:cs="Times New Roman"/>
          <w:sz w:val="20"/>
        </w:rPr>
        <w:t xml:space="preserve"> is extremely high (R</w:t>
      </w:r>
      <w:r w:rsidR="00B64833" w:rsidRPr="00031EB4">
        <w:rPr>
          <w:rFonts w:ascii="Times New Roman" w:hAnsi="Times New Roman" w:cs="Times New Roman"/>
          <w:sz w:val="20"/>
          <w:vertAlign w:val="superscript"/>
        </w:rPr>
        <w:t>2</w:t>
      </w:r>
      <w:r w:rsidR="00B64833" w:rsidRPr="00031EB4">
        <w:rPr>
          <w:rFonts w:ascii="Times New Roman" w:hAnsi="Times New Roman" w:cs="Times New Roman"/>
          <w:sz w:val="20"/>
        </w:rPr>
        <w:t xml:space="preserve"> </w:t>
      </w:r>
      <w:r w:rsidR="002F1EB9" w:rsidRPr="00031EB4">
        <w:rPr>
          <w:rFonts w:ascii="Times New Roman" w:hAnsi="Times New Roman" w:cs="Times New Roman"/>
          <w:sz w:val="20"/>
        </w:rPr>
        <w:t>=</w:t>
      </w:r>
      <w:r w:rsidR="00B64833" w:rsidRPr="00031EB4">
        <w:rPr>
          <w:rFonts w:ascii="Times New Roman" w:hAnsi="Times New Roman" w:cs="Times New Roman"/>
          <w:sz w:val="20"/>
        </w:rPr>
        <w:t xml:space="preserve"> 0.98) but after 2008 the shaded region, showing the difference between actual and projected per capita GDP, has grown ever larger. In 200</w:t>
      </w:r>
      <w:r w:rsidR="007818D4" w:rsidRPr="00031EB4">
        <w:rPr>
          <w:rFonts w:ascii="Times New Roman" w:hAnsi="Times New Roman" w:cs="Times New Roman"/>
          <w:sz w:val="20"/>
        </w:rPr>
        <w:t>9</w:t>
      </w:r>
      <w:r w:rsidR="00B64833" w:rsidRPr="00031EB4">
        <w:rPr>
          <w:rFonts w:ascii="Times New Roman" w:hAnsi="Times New Roman" w:cs="Times New Roman"/>
          <w:sz w:val="20"/>
        </w:rPr>
        <w:t xml:space="preserve"> the gap amounted to £6,800 per person; by 2015 it had grown to more than £13,400 per person. </w:t>
      </w:r>
      <w:r w:rsidR="007818D4" w:rsidRPr="00031EB4">
        <w:rPr>
          <w:rFonts w:ascii="Times New Roman" w:hAnsi="Times New Roman" w:cs="Times New Roman"/>
          <w:sz w:val="20"/>
        </w:rPr>
        <w:t>Before 2008, all previous recessions had been followed by one or more years of catch-up</w:t>
      </w:r>
      <w:r w:rsidR="00E6003F" w:rsidRPr="00031EB4">
        <w:rPr>
          <w:rFonts w:ascii="Times New Roman" w:hAnsi="Times New Roman" w:cs="Times New Roman"/>
          <w:sz w:val="20"/>
        </w:rPr>
        <w:t xml:space="preserve"> </w:t>
      </w:r>
      <w:r w:rsidR="007818D4" w:rsidRPr="00031EB4">
        <w:rPr>
          <w:rFonts w:ascii="Times New Roman" w:hAnsi="Times New Roman" w:cs="Times New Roman"/>
          <w:sz w:val="20"/>
        </w:rPr>
        <w:t>growth in per capita GDP. Nothing similar occurred after 2008</w:t>
      </w:r>
      <w:r w:rsidR="00436D09" w:rsidRPr="00031EB4">
        <w:rPr>
          <w:rFonts w:ascii="Times New Roman" w:hAnsi="Times New Roman" w:cs="Times New Roman"/>
          <w:sz w:val="20"/>
        </w:rPr>
        <w:t>;</w:t>
      </w:r>
      <w:r w:rsidR="002424F4" w:rsidRPr="00031EB4">
        <w:rPr>
          <w:rFonts w:ascii="Times New Roman" w:hAnsi="Times New Roman" w:cs="Times New Roman"/>
          <w:sz w:val="20"/>
        </w:rPr>
        <w:t xml:space="preserve"> instead per capita GDP in 2015 has barely recovered to </w:t>
      </w:r>
      <w:r w:rsidRPr="00031EB4">
        <w:rPr>
          <w:rFonts w:ascii="Times New Roman" w:hAnsi="Times New Roman" w:cs="Times New Roman"/>
          <w:sz w:val="20"/>
        </w:rPr>
        <w:t xml:space="preserve">earlier </w:t>
      </w:r>
      <w:r w:rsidR="002424F4" w:rsidRPr="00031EB4">
        <w:rPr>
          <w:rFonts w:ascii="Times New Roman" w:hAnsi="Times New Roman" w:cs="Times New Roman"/>
          <w:sz w:val="20"/>
        </w:rPr>
        <w:t xml:space="preserve">levels. </w:t>
      </w:r>
      <w:r w:rsidRPr="00031EB4">
        <w:rPr>
          <w:rFonts w:ascii="Times New Roman" w:hAnsi="Times New Roman" w:cs="Times New Roman"/>
          <w:sz w:val="20"/>
        </w:rPr>
        <w:t>M</w:t>
      </w:r>
      <w:r w:rsidR="0011555F" w:rsidRPr="00031EB4">
        <w:rPr>
          <w:rFonts w:ascii="Times New Roman" w:hAnsi="Times New Roman" w:cs="Times New Roman"/>
          <w:sz w:val="20"/>
        </w:rPr>
        <w:t>any other rich countries increased public spending as a proportion of GDP to protect their populations. In the UK the government after 2010 cut public spending as a proportion of GDP even as GDP itself fell.</w:t>
      </w:r>
      <w:r w:rsidR="00487107" w:rsidRPr="00031EB4">
        <w:rPr>
          <w:rFonts w:ascii="Times New Roman" w:hAnsi="Times New Roman" w:cs="Times New Roman"/>
          <w:sz w:val="20"/>
        </w:rPr>
        <w:t xml:space="preserve"> Both the fall against trend in economic growth and reduction in public spending after 2010 are of such a scale as to negatively impact on population health, in particular in people most dependent on public services</w:t>
      </w:r>
      <w:r w:rsidR="00C82AF3" w:rsidRPr="00031EB4">
        <w:rPr>
          <w:rFonts w:ascii="Times New Roman" w:hAnsi="Times New Roman" w:cs="Times New Roman"/>
          <w:sz w:val="20"/>
        </w:rPr>
        <w:t xml:space="preserve">, especially healthcare. </w:t>
      </w:r>
      <w:proofErr w:type="spellStart"/>
      <w:r w:rsidRPr="00031EB4">
        <w:rPr>
          <w:rFonts w:ascii="Times New Roman" w:hAnsi="Times New Roman" w:cs="Times New Roman"/>
          <w:sz w:val="20"/>
        </w:rPr>
        <w:t>Stuckler</w:t>
      </w:r>
      <w:proofErr w:type="spellEnd"/>
      <w:r w:rsidRPr="00031EB4">
        <w:rPr>
          <w:rFonts w:ascii="Times New Roman" w:hAnsi="Times New Roman" w:cs="Times New Roman"/>
          <w:sz w:val="20"/>
        </w:rPr>
        <w:t xml:space="preserve"> and colleagues</w:t>
      </w:r>
      <w:r w:rsidR="00681540" w:rsidRPr="00031EB4">
        <w:rPr>
          <w:rFonts w:ascii="Times New Roman" w:hAnsi="Times New Roman" w:cs="Times New Roman"/>
          <w:sz w:val="20"/>
        </w:rPr>
        <w:fldChar w:fldCharType="begin" w:fldLock="1"/>
      </w:r>
      <w:r w:rsidR="00681540" w:rsidRPr="00031EB4">
        <w:rPr>
          <w:rFonts w:ascii="Times New Roman" w:hAnsi="Times New Roman" w:cs="Times New Roman"/>
          <w:sz w:val="20"/>
        </w:rPr>
        <w:instrText>ADDIN CSL_CITATION { "citationItems" : [ { "id" : "ITEM-1", "itemData" : { "author" : [ { "dropping-particle" : "", "family" : "Stuckler", "given" : "David", "non-dropping-particle" : "", "parse-names" : false, "suffix" : "" }, { "dropping-particle" : "", "family" : "Basu", "given" : "Sanjay", "non-dropping-particle" : "", "parse-names" : false, "suffix" : "" } ], "id" : "ITEM-1", "issued" : { "date-parts" : [ [ "2013" ] ] }, "publisher" : "Penguin", "publisher-place" : "London", "title" : "The Body Economic: Eight experiments in economic recovery, from Iceland to Greece", "type" : "book" }, "uris" : [ "http://www.mendeley.com/documents/?uuid=0a622e5d-68aa-48d9-a87b-ee44653d98c9" ] } ], "mendeley" : { "formattedCitation" : "&lt;sup&gt;9&lt;/sup&gt;", "plainTextFormattedCitation" : "9", "previouslyFormattedCitation" : "&lt;sup&gt;9&lt;/sup&gt;" }, "properties" : { "noteIndex" : 0 }, "schema" : "https://github.com/citation-style-language/schema/raw/master/csl-citation.json" }</w:instrText>
      </w:r>
      <w:r w:rsidR="00681540" w:rsidRPr="00031EB4">
        <w:rPr>
          <w:rFonts w:ascii="Times New Roman" w:hAnsi="Times New Roman" w:cs="Times New Roman"/>
          <w:sz w:val="20"/>
        </w:rPr>
        <w:fldChar w:fldCharType="separate"/>
      </w:r>
      <w:r w:rsidR="00681540" w:rsidRPr="00031EB4">
        <w:rPr>
          <w:rFonts w:ascii="Times New Roman" w:hAnsi="Times New Roman" w:cs="Times New Roman"/>
          <w:noProof/>
          <w:sz w:val="20"/>
          <w:vertAlign w:val="superscript"/>
        </w:rPr>
        <w:t>9</w:t>
      </w:r>
      <w:r w:rsidR="00681540" w:rsidRPr="00031EB4">
        <w:rPr>
          <w:rFonts w:ascii="Times New Roman" w:hAnsi="Times New Roman" w:cs="Times New Roman"/>
          <w:sz w:val="20"/>
        </w:rPr>
        <w:fldChar w:fldCharType="end"/>
      </w:r>
      <w:r w:rsidRPr="00031EB4">
        <w:rPr>
          <w:rFonts w:ascii="Times New Roman" w:hAnsi="Times New Roman" w:cs="Times New Roman"/>
          <w:sz w:val="20"/>
        </w:rPr>
        <w:t xml:space="preserve"> have argued that the health effects of economic recessions and political responses to those recessions are distinct,</w:t>
      </w:r>
      <w:r w:rsidR="00681540" w:rsidRPr="00031EB4">
        <w:rPr>
          <w:rFonts w:ascii="Times New Roman" w:hAnsi="Times New Roman" w:cs="Times New Roman"/>
          <w:sz w:val="20"/>
        </w:rPr>
        <w:t xml:space="preserve"> </w:t>
      </w:r>
      <w:r w:rsidRPr="00031EB4">
        <w:rPr>
          <w:rFonts w:ascii="Times New Roman" w:hAnsi="Times New Roman" w:cs="Times New Roman"/>
          <w:sz w:val="20"/>
        </w:rPr>
        <w:t xml:space="preserve">and that the 2010-2015 Coalition government’s ‘Austerity’ response </w:t>
      </w:r>
      <w:r w:rsidR="00436D09" w:rsidRPr="00031EB4">
        <w:rPr>
          <w:rFonts w:ascii="Times New Roman" w:hAnsi="Times New Roman" w:cs="Times New Roman"/>
          <w:sz w:val="20"/>
        </w:rPr>
        <w:t>wa</w:t>
      </w:r>
      <w:r w:rsidRPr="00031EB4">
        <w:rPr>
          <w:rFonts w:ascii="Times New Roman" w:hAnsi="Times New Roman" w:cs="Times New Roman"/>
          <w:sz w:val="20"/>
        </w:rPr>
        <w:t xml:space="preserve">s harmful to population health. </w:t>
      </w:r>
    </w:p>
    <w:p w14:paraId="2879D9E7" w14:textId="64B6E2DC" w:rsidR="004F5839" w:rsidRPr="00031EB4" w:rsidRDefault="004F5839" w:rsidP="00E22714">
      <w:pPr>
        <w:pStyle w:val="Caption"/>
        <w:keepNext/>
        <w:rPr>
          <w:rFonts w:ascii="Times New Roman" w:hAnsi="Times New Roman" w:cs="Times New Roman"/>
          <w:b/>
          <w:i w:val="0"/>
          <w:color w:val="auto"/>
          <w:sz w:val="20"/>
        </w:rPr>
      </w:pPr>
      <w:r w:rsidRPr="00031EB4">
        <w:rPr>
          <w:rFonts w:ascii="Times New Roman" w:hAnsi="Times New Roman" w:cs="Times New Roman"/>
          <w:b/>
          <w:i w:val="0"/>
          <w:color w:val="auto"/>
          <w:sz w:val="20"/>
        </w:rPr>
        <w:t xml:space="preserve">Figure </w:t>
      </w:r>
      <w:r w:rsidR="00111C57" w:rsidRPr="00031EB4">
        <w:rPr>
          <w:rFonts w:ascii="Times New Roman" w:hAnsi="Times New Roman" w:cs="Times New Roman"/>
          <w:b/>
          <w:i w:val="0"/>
          <w:color w:val="auto"/>
          <w:sz w:val="20"/>
        </w:rPr>
        <w:fldChar w:fldCharType="begin"/>
      </w:r>
      <w:r w:rsidR="00111C57" w:rsidRPr="00031EB4">
        <w:rPr>
          <w:rFonts w:ascii="Times New Roman" w:hAnsi="Times New Roman" w:cs="Times New Roman"/>
          <w:b/>
          <w:i w:val="0"/>
          <w:color w:val="auto"/>
          <w:sz w:val="20"/>
        </w:rPr>
        <w:instrText xml:space="preserve"> SEQ Figure \* ARABIC </w:instrText>
      </w:r>
      <w:r w:rsidR="00111C57" w:rsidRPr="00031EB4">
        <w:rPr>
          <w:rFonts w:ascii="Times New Roman" w:hAnsi="Times New Roman" w:cs="Times New Roman"/>
          <w:b/>
          <w:i w:val="0"/>
          <w:color w:val="auto"/>
          <w:sz w:val="20"/>
        </w:rPr>
        <w:fldChar w:fldCharType="separate"/>
      </w:r>
      <w:r w:rsidR="00466E1B" w:rsidRPr="00031EB4">
        <w:rPr>
          <w:rFonts w:ascii="Times New Roman" w:hAnsi="Times New Roman" w:cs="Times New Roman"/>
          <w:b/>
          <w:i w:val="0"/>
          <w:noProof/>
          <w:color w:val="auto"/>
          <w:sz w:val="20"/>
        </w:rPr>
        <w:t>1</w:t>
      </w:r>
      <w:r w:rsidR="00111C57" w:rsidRPr="00031EB4">
        <w:rPr>
          <w:rFonts w:ascii="Times New Roman" w:hAnsi="Times New Roman" w:cs="Times New Roman"/>
          <w:b/>
          <w:i w:val="0"/>
          <w:noProof/>
          <w:color w:val="auto"/>
          <w:sz w:val="20"/>
        </w:rPr>
        <w:fldChar w:fldCharType="end"/>
      </w:r>
      <w:r w:rsidRPr="00031EB4">
        <w:rPr>
          <w:rFonts w:ascii="Times New Roman" w:hAnsi="Times New Roman" w:cs="Times New Roman"/>
          <w:b/>
          <w:i w:val="0"/>
          <w:color w:val="auto"/>
          <w:sz w:val="20"/>
        </w:rPr>
        <w:t xml:space="preserve"> Per capita </w:t>
      </w:r>
      <w:r w:rsidR="00E273AE" w:rsidRPr="00031EB4">
        <w:rPr>
          <w:rFonts w:ascii="Times New Roman" w:hAnsi="Times New Roman" w:cs="Times New Roman"/>
          <w:b/>
          <w:i w:val="0"/>
          <w:color w:val="auto"/>
          <w:sz w:val="20"/>
        </w:rPr>
        <w:t xml:space="preserve">gross domestic product (GDP) (dots), 1950 to 2015, against trend (dashed line) over period 1950-2008. </w:t>
      </w:r>
      <w:r w:rsidR="001B0956" w:rsidRPr="00031EB4">
        <w:rPr>
          <w:rFonts w:ascii="Times New Roman" w:hAnsi="Times New Roman" w:cs="Times New Roman"/>
          <w:b/>
          <w:i w:val="0"/>
          <w:color w:val="auto"/>
          <w:sz w:val="20"/>
        </w:rPr>
        <w:t>Data Source: Office for National Statistics; Human Mortality Database</w:t>
      </w:r>
    </w:p>
    <w:p w14:paraId="65A94D94" w14:textId="7A541FFC" w:rsidR="004F5839" w:rsidRPr="00031EB4" w:rsidRDefault="00681540" w:rsidP="00681540">
      <w:pPr>
        <w:spacing w:line="240" w:lineRule="auto"/>
        <w:jc w:val="center"/>
        <w:rPr>
          <w:rFonts w:ascii="Times New Roman" w:hAnsi="Times New Roman" w:cs="Times New Roman"/>
          <w:i/>
        </w:rPr>
      </w:pPr>
      <w:r w:rsidRPr="00031EB4">
        <w:rPr>
          <w:rFonts w:ascii="Times New Roman" w:hAnsi="Times New Roman" w:cs="Times New Roman"/>
          <w:i/>
        </w:rPr>
        <w:t>[Figure 1 about here]</w:t>
      </w:r>
    </w:p>
    <w:p w14:paraId="506C8ED5" w14:textId="77777777" w:rsidR="00D80E19" w:rsidRPr="00031EB4" w:rsidRDefault="00D80E19" w:rsidP="00E22714">
      <w:pPr>
        <w:pStyle w:val="Heading1"/>
        <w:spacing w:line="240" w:lineRule="auto"/>
        <w:rPr>
          <w:rFonts w:ascii="Times New Roman" w:hAnsi="Times New Roman" w:cs="Times New Roman"/>
          <w:b/>
          <w:color w:val="auto"/>
          <w:sz w:val="24"/>
        </w:rPr>
      </w:pPr>
      <w:r w:rsidRPr="00031EB4">
        <w:rPr>
          <w:rFonts w:ascii="Times New Roman" w:hAnsi="Times New Roman" w:cs="Times New Roman"/>
          <w:b/>
          <w:color w:val="auto"/>
          <w:sz w:val="24"/>
        </w:rPr>
        <w:t xml:space="preserve">Methods </w:t>
      </w:r>
    </w:p>
    <w:p w14:paraId="65A615ED" w14:textId="457480F3" w:rsidR="00B51CB3" w:rsidRPr="00031EB4" w:rsidRDefault="00B51CB3" w:rsidP="00E22714">
      <w:pPr>
        <w:pStyle w:val="Heading2"/>
        <w:spacing w:line="240" w:lineRule="auto"/>
        <w:rPr>
          <w:rFonts w:ascii="Times New Roman" w:hAnsi="Times New Roman" w:cs="Times New Roman"/>
          <w:b/>
          <w:color w:val="auto"/>
          <w:sz w:val="20"/>
        </w:rPr>
      </w:pPr>
      <w:r w:rsidRPr="00031EB4">
        <w:rPr>
          <w:rFonts w:ascii="Times New Roman" w:hAnsi="Times New Roman" w:cs="Times New Roman"/>
          <w:b/>
          <w:color w:val="auto"/>
          <w:sz w:val="20"/>
        </w:rPr>
        <w:t xml:space="preserve">Data </w:t>
      </w:r>
    </w:p>
    <w:p w14:paraId="1D749A42" w14:textId="4B98DB39" w:rsidR="002074F1" w:rsidRPr="00031EB4" w:rsidRDefault="00E10AAF" w:rsidP="00E22714">
      <w:pPr>
        <w:spacing w:line="240" w:lineRule="auto"/>
        <w:rPr>
          <w:rFonts w:ascii="Times New Roman" w:hAnsi="Times New Roman" w:cs="Times New Roman"/>
          <w:sz w:val="20"/>
          <w:szCs w:val="20"/>
        </w:rPr>
      </w:pPr>
      <w:r w:rsidRPr="00031EB4">
        <w:rPr>
          <w:rFonts w:ascii="Times New Roman" w:hAnsi="Times New Roman" w:cs="Times New Roman"/>
          <w:sz w:val="20"/>
          <w:szCs w:val="20"/>
        </w:rPr>
        <w:t>Mid-year p</w:t>
      </w:r>
      <w:r w:rsidR="00981ADB" w:rsidRPr="00031EB4">
        <w:rPr>
          <w:rFonts w:ascii="Times New Roman" w:hAnsi="Times New Roman" w:cs="Times New Roman"/>
          <w:sz w:val="20"/>
          <w:szCs w:val="20"/>
        </w:rPr>
        <w:t xml:space="preserve">opulation estimates and registered deaths in England &amp; Wales, for each year from </w:t>
      </w:r>
      <w:r w:rsidR="008C441F" w:rsidRPr="00031EB4">
        <w:rPr>
          <w:rFonts w:ascii="Times New Roman" w:hAnsi="Times New Roman" w:cs="Times New Roman"/>
          <w:sz w:val="20"/>
          <w:szCs w:val="20"/>
        </w:rPr>
        <w:t xml:space="preserve">1990 </w:t>
      </w:r>
      <w:r w:rsidR="00981ADB" w:rsidRPr="00031EB4">
        <w:rPr>
          <w:rFonts w:ascii="Times New Roman" w:hAnsi="Times New Roman" w:cs="Times New Roman"/>
          <w:sz w:val="20"/>
          <w:szCs w:val="20"/>
        </w:rPr>
        <w:t>to 2014, were downloaded from the O</w:t>
      </w:r>
      <w:r w:rsidRPr="00031EB4">
        <w:rPr>
          <w:rFonts w:ascii="Times New Roman" w:hAnsi="Times New Roman" w:cs="Times New Roman"/>
          <w:sz w:val="20"/>
          <w:szCs w:val="20"/>
        </w:rPr>
        <w:t>NS website.</w:t>
      </w:r>
      <w:r w:rsidRPr="00031EB4">
        <w:rPr>
          <w:rFonts w:ascii="Times New Roman" w:hAnsi="Times New Roman" w:cs="Times New Roman"/>
          <w:sz w:val="20"/>
          <w:szCs w:val="20"/>
        </w:rPr>
        <w:fldChar w:fldCharType="begin" w:fldLock="1"/>
      </w:r>
      <w:r w:rsidR="00681540" w:rsidRPr="00031EB4">
        <w:rPr>
          <w:rFonts w:ascii="Times New Roman" w:hAnsi="Times New Roman" w:cs="Times New Roman"/>
          <w:sz w:val="20"/>
          <w:szCs w:val="20"/>
        </w:rPr>
        <w:instrText>ADDIN CSL_CITATION { "citationItems" : [ { "id" : "ITEM-1", "itemData" : { "URL" : "https://www.ons.gov.uk/file?uri=/peoplepopulationandcommunity/populationandmigration/populationestimates/adhocs/005825populationestimatesforenglandandwales1961to2014singleyearofage0to105/ewuksyoadeathspopdata19612014cmifilevaluesforissue10122015.xls", "author" : [ { "dropping-particle" : "", "family" : "Mills", "given" : "J", "non-dropping-particle" : "", "parse-names" : false, "suffix" : "" } ], "id" : "ITEM-1", "issued" : { "date-parts" : [ [ "2015" ] ] }, "title" : "File containing number of death registrations by single year of age for England &amp; Wales and the UK 1961-2014; and Mid-year population estimates by single year of age for England &amp; Wales and the UK 1961-2014", "type" : "webpage" }, "uris" : [ "http://www.mendeley.com/documents/?uuid=5e60c59a-7693-44bb-a2c1-989859ed4978" ] } ], "mendeley" : { "formattedCitation" : "&lt;sup&gt;10&lt;/sup&gt;", "plainTextFormattedCitation" : "10", "previouslyFormattedCitation" : "&lt;sup&gt;10&lt;/sup&gt;" }, "properties" : { "noteIndex" : 0 }, "schema" : "https://github.com/citation-style-language/schema/raw/master/csl-citation.json" }</w:instrText>
      </w:r>
      <w:r w:rsidRPr="00031EB4">
        <w:rPr>
          <w:rFonts w:ascii="Times New Roman" w:hAnsi="Times New Roman" w:cs="Times New Roman"/>
          <w:sz w:val="20"/>
          <w:szCs w:val="20"/>
        </w:rPr>
        <w:fldChar w:fldCharType="separate"/>
      </w:r>
      <w:r w:rsidR="00C772D0" w:rsidRPr="00031EB4">
        <w:rPr>
          <w:rFonts w:ascii="Times New Roman" w:hAnsi="Times New Roman" w:cs="Times New Roman"/>
          <w:noProof/>
          <w:sz w:val="20"/>
          <w:szCs w:val="20"/>
          <w:vertAlign w:val="superscript"/>
        </w:rPr>
        <w:t>10</w:t>
      </w:r>
      <w:r w:rsidRPr="00031EB4">
        <w:rPr>
          <w:rFonts w:ascii="Times New Roman" w:hAnsi="Times New Roman" w:cs="Times New Roman"/>
          <w:sz w:val="20"/>
          <w:szCs w:val="20"/>
        </w:rPr>
        <w:fldChar w:fldCharType="end"/>
      </w:r>
      <w:r w:rsidRPr="00031EB4">
        <w:rPr>
          <w:rFonts w:ascii="Times New Roman" w:hAnsi="Times New Roman" w:cs="Times New Roman"/>
          <w:sz w:val="20"/>
          <w:szCs w:val="20"/>
        </w:rPr>
        <w:t xml:space="preserve"> </w:t>
      </w:r>
      <w:r w:rsidR="00B14C65" w:rsidRPr="00031EB4">
        <w:rPr>
          <w:rFonts w:ascii="Times New Roman" w:hAnsi="Times New Roman" w:cs="Times New Roman"/>
          <w:sz w:val="20"/>
          <w:szCs w:val="20"/>
        </w:rPr>
        <w:t xml:space="preserve">Mid-year population estimates and registered deaths for 2015 were released on </w:t>
      </w:r>
      <w:r w:rsidR="002074F1" w:rsidRPr="00031EB4">
        <w:rPr>
          <w:rFonts w:ascii="Times New Roman" w:hAnsi="Times New Roman" w:cs="Times New Roman"/>
          <w:sz w:val="20"/>
          <w:szCs w:val="20"/>
        </w:rPr>
        <w:t>23 June 2016</w:t>
      </w:r>
      <w:r w:rsidR="00B14C65" w:rsidRPr="00031EB4">
        <w:rPr>
          <w:rFonts w:ascii="Times New Roman" w:hAnsi="Times New Roman" w:cs="Times New Roman"/>
          <w:sz w:val="20"/>
          <w:szCs w:val="20"/>
        </w:rPr>
        <w:t xml:space="preserve"> for England &amp; Wales. These are disaggregated by age in single years up to the age of 89 years</w:t>
      </w:r>
      <w:r w:rsidR="002074F1" w:rsidRPr="00031EB4">
        <w:rPr>
          <w:rFonts w:ascii="Times New Roman" w:hAnsi="Times New Roman" w:cs="Times New Roman"/>
          <w:sz w:val="20"/>
          <w:szCs w:val="20"/>
        </w:rPr>
        <w:t>.</w:t>
      </w:r>
      <w:r w:rsidR="002074F1" w:rsidRPr="00031EB4">
        <w:rPr>
          <w:rFonts w:ascii="Times New Roman" w:hAnsi="Times New Roman" w:cs="Times New Roman"/>
          <w:sz w:val="20"/>
          <w:szCs w:val="20"/>
        </w:rPr>
        <w:fldChar w:fldCharType="begin" w:fldLock="1"/>
      </w:r>
      <w:r w:rsidR="00681540" w:rsidRPr="00031EB4">
        <w:rPr>
          <w:rFonts w:ascii="Times New Roman" w:hAnsi="Times New Roman" w:cs="Times New Roman"/>
          <w:sz w:val="20"/>
          <w:szCs w:val="20"/>
        </w:rPr>
        <w:instrText>ADDIN CSL_CITATION { "citationItems" : [ { "id" : "ITEM-1", "itemData" : { "URL" : "https://www.ons.gov.uk/file?uri=/peoplepopulationandcommunity/populationandmigration/populationestimates/datasets/populationestimatesforukenglandandwalesscotlandandnorthernireland/mid2015/ukmye2015.zip", "author" : [ { "dropping-particle" : "", "family" : "ONS", "given" : "", "non-dropping-particle" : "", "parse-names" : false, "suffix" : "" } ], "id" : "ITEM-1", "issued" : { "date-parts" : [ [ "2016" ] ] }, "title" : "UK Mid year estimates 2015", "type" : "webpage" }, "uris" : [ "http://www.mendeley.com/documents/?uuid=ada711b9-11a5-4439-b928-db9d334ef80a" ] }, { "id" : "ITEM-2", "itemData" : { "URL" : "https://www.ons.gov.uk/file?uri=/peoplepopulationandcommunity/populationandmigration/populationestimates/adhocs/005825populationestimatesforenglandandwales1961to2014singleyearofage0to105/ewuksyoadeathspopdata19612014cmifilevaluesforissue10122015.xls", "author" : [ { "dropping-particle" : "", "family" : "Mills", "given" : "J", "non-dropping-particle" : "", "parse-names" : false, "suffix" : "" } ], "id" : "ITEM-2", "issued" : { "date-parts" : [ [ "2015" ] ] }, "title" : "File containing number of death registrations by single year of age for England &amp; Wales and the UK 1961-2014; and Mid-year population estimates by single year of age for England &amp; Wales and the UK 1961-2014", "type" : "webpage" }, "uris" : [ "http://www.mendeley.com/documents/?uuid=5e60c59a-7693-44bb-a2c1-989859ed4978" ] } ], "mendeley" : { "formattedCitation" : "&lt;sup&gt;10,11&lt;/sup&gt;", "plainTextFormattedCitation" : "10,11", "previouslyFormattedCitation" : "&lt;sup&gt;10,11&lt;/sup&gt;" }, "properties" : { "noteIndex" : 0 }, "schema" : "https://github.com/citation-style-language/schema/raw/master/csl-citation.json" }</w:instrText>
      </w:r>
      <w:r w:rsidR="002074F1" w:rsidRPr="00031EB4">
        <w:rPr>
          <w:rFonts w:ascii="Times New Roman" w:hAnsi="Times New Roman" w:cs="Times New Roman"/>
          <w:sz w:val="20"/>
          <w:szCs w:val="20"/>
        </w:rPr>
        <w:fldChar w:fldCharType="separate"/>
      </w:r>
      <w:r w:rsidR="00C772D0" w:rsidRPr="00031EB4">
        <w:rPr>
          <w:rFonts w:ascii="Times New Roman" w:hAnsi="Times New Roman" w:cs="Times New Roman"/>
          <w:noProof/>
          <w:sz w:val="20"/>
          <w:szCs w:val="20"/>
          <w:vertAlign w:val="superscript"/>
        </w:rPr>
        <w:t>10,11</w:t>
      </w:r>
      <w:r w:rsidR="002074F1" w:rsidRPr="00031EB4">
        <w:rPr>
          <w:rFonts w:ascii="Times New Roman" w:hAnsi="Times New Roman" w:cs="Times New Roman"/>
          <w:sz w:val="20"/>
          <w:szCs w:val="20"/>
        </w:rPr>
        <w:fldChar w:fldCharType="end"/>
      </w:r>
    </w:p>
    <w:p w14:paraId="2183BE80" w14:textId="562FEE45" w:rsidR="00B51CB3" w:rsidRPr="00031EB4" w:rsidRDefault="00B51CB3" w:rsidP="00E22714">
      <w:pPr>
        <w:pStyle w:val="Heading2"/>
        <w:spacing w:line="240" w:lineRule="auto"/>
        <w:rPr>
          <w:rFonts w:ascii="Times New Roman" w:hAnsi="Times New Roman" w:cs="Times New Roman"/>
          <w:b/>
          <w:color w:val="auto"/>
          <w:sz w:val="20"/>
        </w:rPr>
      </w:pPr>
      <w:r w:rsidRPr="00031EB4">
        <w:rPr>
          <w:rFonts w:ascii="Times New Roman" w:hAnsi="Times New Roman" w:cs="Times New Roman"/>
          <w:b/>
          <w:color w:val="auto"/>
          <w:sz w:val="20"/>
        </w:rPr>
        <w:lastRenderedPageBreak/>
        <w:t>Modelling strategy</w:t>
      </w:r>
    </w:p>
    <w:p w14:paraId="640D9A38" w14:textId="7D499C10" w:rsidR="004B259F" w:rsidRPr="00031EB4" w:rsidRDefault="00C82AF3" w:rsidP="00E22714">
      <w:pPr>
        <w:spacing w:line="240" w:lineRule="auto"/>
        <w:rPr>
          <w:rFonts w:ascii="Times New Roman" w:hAnsi="Times New Roman" w:cs="Times New Roman"/>
          <w:sz w:val="20"/>
        </w:rPr>
      </w:pPr>
      <w:r w:rsidRPr="00031EB4">
        <w:rPr>
          <w:rFonts w:ascii="Times New Roman" w:hAnsi="Times New Roman" w:cs="Times New Roman"/>
          <w:sz w:val="20"/>
        </w:rPr>
        <w:t>The approach taken to estimating ‘excess mortality’ in each year after 2010 involves two stages</w:t>
      </w:r>
      <w:r w:rsidR="007405AE" w:rsidRPr="00031EB4">
        <w:rPr>
          <w:rFonts w:ascii="Times New Roman" w:hAnsi="Times New Roman" w:cs="Times New Roman"/>
          <w:sz w:val="20"/>
        </w:rPr>
        <w:t>.</w:t>
      </w:r>
      <w:r w:rsidR="00E22714" w:rsidRPr="00031EB4">
        <w:rPr>
          <w:rFonts w:ascii="Times New Roman" w:hAnsi="Times New Roman" w:cs="Times New Roman"/>
          <w:sz w:val="20"/>
        </w:rPr>
        <w:t xml:space="preserve"> </w:t>
      </w:r>
      <w:r w:rsidR="009674C6" w:rsidRPr="00031EB4">
        <w:rPr>
          <w:rFonts w:ascii="Times New Roman" w:hAnsi="Times New Roman" w:cs="Times New Roman"/>
          <w:sz w:val="20"/>
        </w:rPr>
        <w:t>Firstly</w:t>
      </w:r>
      <w:r w:rsidRPr="00031EB4">
        <w:rPr>
          <w:rFonts w:ascii="Times New Roman" w:hAnsi="Times New Roman" w:cs="Times New Roman"/>
          <w:sz w:val="20"/>
        </w:rPr>
        <w:t xml:space="preserve"> separate linear regression models are produced for both sexes, and each age in single years from birth to 89 years, in which log mortality is the response variable and a number of intercepts and trend terms are included as predictor variables. These allow the overall trend in falling age-specific mortality to be estimated over the period 1990-201</w:t>
      </w:r>
      <w:r w:rsidR="0060192B" w:rsidRPr="00031EB4">
        <w:rPr>
          <w:rFonts w:ascii="Times New Roman" w:hAnsi="Times New Roman" w:cs="Times New Roman"/>
          <w:sz w:val="20"/>
        </w:rPr>
        <w:t>5</w:t>
      </w:r>
      <w:r w:rsidRPr="00031EB4">
        <w:rPr>
          <w:rFonts w:ascii="Times New Roman" w:hAnsi="Times New Roman" w:cs="Times New Roman"/>
          <w:sz w:val="20"/>
        </w:rPr>
        <w:t xml:space="preserve">, as well as any changes in this trend over the period 1997-2010 (i.e. during the period of the New Labour </w:t>
      </w:r>
      <w:r w:rsidR="000A579F" w:rsidRPr="00031EB4">
        <w:rPr>
          <w:rFonts w:ascii="Times New Roman" w:hAnsi="Times New Roman" w:cs="Times New Roman"/>
          <w:sz w:val="20"/>
        </w:rPr>
        <w:t xml:space="preserve">(NL) </w:t>
      </w:r>
      <w:r w:rsidRPr="00031EB4">
        <w:rPr>
          <w:rFonts w:ascii="Times New Roman" w:hAnsi="Times New Roman" w:cs="Times New Roman"/>
          <w:sz w:val="20"/>
        </w:rPr>
        <w:t xml:space="preserve">government); additional terms are used to capture any additional effect </w:t>
      </w:r>
      <w:r w:rsidR="0060192B" w:rsidRPr="00031EB4">
        <w:rPr>
          <w:rFonts w:ascii="Times New Roman" w:hAnsi="Times New Roman" w:cs="Times New Roman"/>
          <w:sz w:val="20"/>
        </w:rPr>
        <w:t xml:space="preserve">(‘shock’) </w:t>
      </w:r>
      <w:r w:rsidRPr="00031EB4">
        <w:rPr>
          <w:rFonts w:ascii="Times New Roman" w:hAnsi="Times New Roman" w:cs="Times New Roman"/>
          <w:sz w:val="20"/>
        </w:rPr>
        <w:t xml:space="preserve">associated with the global financial crisis (GFC) of 2008-2010 to avoid biasing </w:t>
      </w:r>
      <w:r w:rsidR="000A579F" w:rsidRPr="00031EB4">
        <w:rPr>
          <w:rFonts w:ascii="Times New Roman" w:hAnsi="Times New Roman" w:cs="Times New Roman"/>
          <w:sz w:val="20"/>
        </w:rPr>
        <w:t xml:space="preserve">trend terms associated with the NL period. </w:t>
      </w:r>
      <w:r w:rsidR="00910EF2" w:rsidRPr="00031EB4">
        <w:rPr>
          <w:rFonts w:ascii="Times New Roman" w:hAnsi="Times New Roman" w:cs="Times New Roman"/>
          <w:sz w:val="20"/>
        </w:rPr>
        <w:t xml:space="preserve">The precise details of the modelling </w:t>
      </w:r>
      <w:r w:rsidR="00F61151" w:rsidRPr="00031EB4">
        <w:rPr>
          <w:rFonts w:ascii="Times New Roman" w:hAnsi="Times New Roman" w:cs="Times New Roman"/>
          <w:sz w:val="20"/>
        </w:rPr>
        <w:t xml:space="preserve">strategy </w:t>
      </w:r>
      <w:r w:rsidR="00910EF2" w:rsidRPr="00031EB4">
        <w:rPr>
          <w:rFonts w:ascii="Times New Roman" w:hAnsi="Times New Roman" w:cs="Times New Roman"/>
          <w:sz w:val="20"/>
        </w:rPr>
        <w:t xml:space="preserve">are detailed in </w:t>
      </w:r>
      <w:r w:rsidR="00681540" w:rsidRPr="00031EB4">
        <w:rPr>
          <w:rFonts w:ascii="Times New Roman" w:hAnsi="Times New Roman" w:cs="Times New Roman"/>
          <w:sz w:val="20"/>
        </w:rPr>
        <w:t>appendix B, with an alternative modelling strategy allowing for nonlinear trends over time included as a sensitivity analysis in appendix C</w:t>
      </w:r>
      <w:r w:rsidR="00910EF2" w:rsidRPr="00031EB4">
        <w:rPr>
          <w:rFonts w:ascii="Times New Roman" w:hAnsi="Times New Roman" w:cs="Times New Roman"/>
          <w:sz w:val="20"/>
        </w:rPr>
        <w:t xml:space="preserve">. </w:t>
      </w:r>
    </w:p>
    <w:p w14:paraId="5226C347" w14:textId="77777777" w:rsidR="00031EB4" w:rsidRPr="00031EB4" w:rsidRDefault="000A579F" w:rsidP="00E22714">
      <w:pPr>
        <w:spacing w:line="240" w:lineRule="auto"/>
        <w:rPr>
          <w:rFonts w:ascii="Times New Roman" w:hAnsi="Times New Roman" w:cs="Times New Roman"/>
          <w:sz w:val="20"/>
        </w:rPr>
      </w:pPr>
      <w:r w:rsidRPr="00031EB4">
        <w:rPr>
          <w:rFonts w:ascii="Times New Roman" w:hAnsi="Times New Roman" w:cs="Times New Roman"/>
          <w:sz w:val="20"/>
        </w:rPr>
        <w:t>In stage two, the regression models are used to produce counterfactual death rates at different ages for each year 201</w:t>
      </w:r>
      <w:r w:rsidR="0060192B" w:rsidRPr="00031EB4">
        <w:rPr>
          <w:rFonts w:ascii="Times New Roman" w:hAnsi="Times New Roman" w:cs="Times New Roman"/>
          <w:sz w:val="20"/>
        </w:rPr>
        <w:t>1</w:t>
      </w:r>
      <w:r w:rsidRPr="00031EB4">
        <w:rPr>
          <w:rFonts w:ascii="Times New Roman" w:hAnsi="Times New Roman" w:cs="Times New Roman"/>
          <w:sz w:val="20"/>
        </w:rPr>
        <w:t xml:space="preserve"> to 2015, if trends in death rates observed during the period 1997-2010 h</w:t>
      </w:r>
      <w:r w:rsidR="0060192B" w:rsidRPr="00031EB4">
        <w:rPr>
          <w:rFonts w:ascii="Times New Roman" w:hAnsi="Times New Roman" w:cs="Times New Roman"/>
          <w:sz w:val="20"/>
        </w:rPr>
        <w:t xml:space="preserve">ad continued throughout the latter period. The counterfactual mortality risks are then </w:t>
      </w:r>
      <w:r w:rsidR="00436D09" w:rsidRPr="00031EB4">
        <w:rPr>
          <w:rFonts w:ascii="Times New Roman" w:hAnsi="Times New Roman" w:cs="Times New Roman"/>
          <w:sz w:val="20"/>
        </w:rPr>
        <w:t xml:space="preserve">applied </w:t>
      </w:r>
      <w:r w:rsidR="0060192B" w:rsidRPr="00031EB4">
        <w:rPr>
          <w:rFonts w:ascii="Times New Roman" w:hAnsi="Times New Roman" w:cs="Times New Roman"/>
          <w:sz w:val="20"/>
        </w:rPr>
        <w:t xml:space="preserve">to actual population counts observed in 2011-2015 to produce ‘expected death counts’ in each year and at each age, and then compared with the observed deaths at each age in each year to produce both age-specific and total ‘excess deaths’ in each year. </w:t>
      </w:r>
    </w:p>
    <w:p w14:paraId="122B7F3F" w14:textId="72BA5EAF" w:rsidR="00031EB4" w:rsidRPr="00031EB4" w:rsidRDefault="00031EB4" w:rsidP="00E22714">
      <w:pPr>
        <w:spacing w:line="240" w:lineRule="auto"/>
        <w:rPr>
          <w:rFonts w:ascii="Times New Roman" w:hAnsi="Times New Roman" w:cs="Times New Roman"/>
          <w:sz w:val="20"/>
        </w:rPr>
      </w:pPr>
      <w:r w:rsidRPr="00031EB4">
        <w:rPr>
          <w:rFonts w:ascii="Times New Roman" w:hAnsi="Times New Roman" w:cs="Times New Roman"/>
          <w:sz w:val="20"/>
        </w:rPr>
        <w:t>The funders had no influence on either the modelling strategy or choice of data used.</w:t>
      </w:r>
    </w:p>
    <w:p w14:paraId="2FA8F296" w14:textId="416AD671" w:rsidR="00D80E19" w:rsidRPr="00031EB4" w:rsidRDefault="00D80E19" w:rsidP="00E22714">
      <w:pPr>
        <w:pStyle w:val="Heading2"/>
        <w:spacing w:line="240" w:lineRule="auto"/>
        <w:rPr>
          <w:rFonts w:ascii="Times New Roman" w:hAnsi="Times New Roman" w:cs="Times New Roman"/>
          <w:b/>
          <w:color w:val="auto"/>
          <w:sz w:val="24"/>
        </w:rPr>
      </w:pPr>
      <w:r w:rsidRPr="00031EB4">
        <w:rPr>
          <w:rFonts w:ascii="Times New Roman" w:hAnsi="Times New Roman" w:cs="Times New Roman"/>
          <w:b/>
          <w:color w:val="auto"/>
          <w:sz w:val="24"/>
        </w:rPr>
        <w:t xml:space="preserve">Results </w:t>
      </w:r>
    </w:p>
    <w:p w14:paraId="7ACDA97F" w14:textId="3627BAA8" w:rsidR="00E323A4" w:rsidRPr="00031EB4" w:rsidRDefault="008347BD" w:rsidP="00E22714">
      <w:pPr>
        <w:pStyle w:val="Heading2"/>
        <w:spacing w:line="240" w:lineRule="auto"/>
        <w:rPr>
          <w:rFonts w:ascii="Times New Roman" w:hAnsi="Times New Roman" w:cs="Times New Roman"/>
          <w:b/>
          <w:color w:val="auto"/>
          <w:sz w:val="20"/>
        </w:rPr>
      </w:pPr>
      <w:r w:rsidRPr="00031EB4">
        <w:rPr>
          <w:rFonts w:ascii="Times New Roman" w:hAnsi="Times New Roman" w:cs="Times New Roman"/>
          <w:b/>
          <w:color w:val="auto"/>
          <w:sz w:val="20"/>
        </w:rPr>
        <w:t>M</w:t>
      </w:r>
      <w:r w:rsidR="00E323A4" w:rsidRPr="00031EB4">
        <w:rPr>
          <w:rFonts w:ascii="Times New Roman" w:hAnsi="Times New Roman" w:cs="Times New Roman"/>
          <w:b/>
          <w:color w:val="auto"/>
          <w:sz w:val="20"/>
        </w:rPr>
        <w:t>odel projections</w:t>
      </w:r>
    </w:p>
    <w:p w14:paraId="71420556" w14:textId="2D308C6F" w:rsidR="0027163A" w:rsidRPr="00031EB4" w:rsidRDefault="00E323A4" w:rsidP="00E22714">
      <w:pPr>
        <w:spacing w:line="240" w:lineRule="auto"/>
        <w:rPr>
          <w:rFonts w:ascii="Times New Roman" w:hAnsi="Times New Roman" w:cs="Times New Roman"/>
          <w:sz w:val="20"/>
        </w:rPr>
      </w:pPr>
      <w:r w:rsidRPr="00031EB4">
        <w:rPr>
          <w:rFonts w:ascii="Times New Roman" w:hAnsi="Times New Roman" w:cs="Times New Roman"/>
          <w:sz w:val="20"/>
        </w:rPr>
        <w:t xml:space="preserve">Figure </w:t>
      </w:r>
      <w:r w:rsidR="0027163A" w:rsidRPr="00031EB4">
        <w:rPr>
          <w:rFonts w:ascii="Times New Roman" w:hAnsi="Times New Roman" w:cs="Times New Roman"/>
          <w:sz w:val="20"/>
        </w:rPr>
        <w:t>2</w:t>
      </w:r>
      <w:r w:rsidRPr="00031EB4">
        <w:rPr>
          <w:rFonts w:ascii="Times New Roman" w:hAnsi="Times New Roman" w:cs="Times New Roman"/>
          <w:sz w:val="20"/>
        </w:rPr>
        <w:t xml:space="preserve"> </w:t>
      </w:r>
      <w:r w:rsidR="0027163A" w:rsidRPr="00031EB4">
        <w:rPr>
          <w:rFonts w:ascii="Times New Roman" w:hAnsi="Times New Roman" w:cs="Times New Roman"/>
          <w:sz w:val="20"/>
        </w:rPr>
        <w:t xml:space="preserve">shows the mortality rates projected at different ages in single years, had trends in age specific mortality rate reduction observed during the period 1997 to 2010 continued in the years 2011 to 2015 inclusive, for ages 60 to 85 years. Each point is a data point, the line shows the best fit of the trend, and the band shows the 95% credible interval around this line. The top row shows the mortality trends on the log scale and the bottom on the identity scale. </w:t>
      </w:r>
    </w:p>
    <w:p w14:paraId="39C62CF2" w14:textId="3613C897" w:rsidR="00F82EEE" w:rsidRPr="00031EB4" w:rsidRDefault="003779CB" w:rsidP="00E22714">
      <w:pPr>
        <w:spacing w:line="240" w:lineRule="auto"/>
        <w:rPr>
          <w:rFonts w:ascii="Times New Roman" w:hAnsi="Times New Roman" w:cs="Times New Roman"/>
          <w:sz w:val="20"/>
        </w:rPr>
      </w:pPr>
      <w:r w:rsidRPr="00031EB4">
        <w:rPr>
          <w:rFonts w:ascii="Times New Roman" w:hAnsi="Times New Roman" w:cs="Times New Roman"/>
          <w:sz w:val="20"/>
        </w:rPr>
        <w:t>During</w:t>
      </w:r>
      <w:r w:rsidR="0027163A" w:rsidRPr="00031EB4">
        <w:rPr>
          <w:rFonts w:ascii="Times New Roman" w:hAnsi="Times New Roman" w:cs="Times New Roman"/>
          <w:sz w:val="20"/>
        </w:rPr>
        <w:t xml:space="preserve"> the period 1997 to 2010 there was a steady fall in age specific mortality risk on the log scale, steeper </w:t>
      </w:r>
      <w:r w:rsidR="00962428" w:rsidRPr="00031EB4">
        <w:rPr>
          <w:rFonts w:ascii="Times New Roman" w:hAnsi="Times New Roman" w:cs="Times New Roman"/>
          <w:sz w:val="20"/>
        </w:rPr>
        <w:t xml:space="preserve">than in the period 1990 to 1997 for older ages in particular. After 2010 mortality rates at specific ages tended to move towards the top of the credible interval band, moving above these bands for most of the ages plotted by 2015. </w:t>
      </w:r>
      <w:r w:rsidRPr="00031EB4">
        <w:rPr>
          <w:rFonts w:ascii="Times New Roman" w:hAnsi="Times New Roman" w:cs="Times New Roman"/>
          <w:sz w:val="20"/>
        </w:rPr>
        <w:t>T</w:t>
      </w:r>
      <w:r w:rsidR="00962428" w:rsidRPr="00031EB4">
        <w:rPr>
          <w:rFonts w:ascii="Times New Roman" w:hAnsi="Times New Roman" w:cs="Times New Roman"/>
          <w:sz w:val="20"/>
        </w:rPr>
        <w:t xml:space="preserve">he log scale </w:t>
      </w:r>
      <w:r w:rsidRPr="00031EB4">
        <w:rPr>
          <w:rFonts w:ascii="Times New Roman" w:hAnsi="Times New Roman" w:cs="Times New Roman"/>
          <w:sz w:val="20"/>
        </w:rPr>
        <w:t>subfigures show statistically significant higher-than-projected mortality rates at ages 70 and 75 years, with more deviation between actual and projected rates for males than females</w:t>
      </w:r>
      <w:r w:rsidR="00962428" w:rsidRPr="00031EB4">
        <w:rPr>
          <w:rFonts w:ascii="Times New Roman" w:hAnsi="Times New Roman" w:cs="Times New Roman"/>
          <w:sz w:val="20"/>
        </w:rPr>
        <w:t xml:space="preserve">. </w:t>
      </w:r>
      <w:r w:rsidR="00F82EEE" w:rsidRPr="00031EB4">
        <w:rPr>
          <w:rFonts w:ascii="Times New Roman" w:hAnsi="Times New Roman" w:cs="Times New Roman"/>
          <w:sz w:val="20"/>
        </w:rPr>
        <w:t xml:space="preserve">The identity scale helps raise the important distinction between statistical and substantive significance, with the borderline statistically significant ‘excess’ mortality at age </w:t>
      </w:r>
      <w:r w:rsidR="00560035" w:rsidRPr="00031EB4">
        <w:rPr>
          <w:rFonts w:ascii="Times New Roman" w:hAnsi="Times New Roman" w:cs="Times New Roman"/>
          <w:sz w:val="20"/>
        </w:rPr>
        <w:t>85</w:t>
      </w:r>
      <w:r w:rsidR="00F82EEE" w:rsidRPr="00031EB4">
        <w:rPr>
          <w:rFonts w:ascii="Times New Roman" w:hAnsi="Times New Roman" w:cs="Times New Roman"/>
          <w:sz w:val="20"/>
        </w:rPr>
        <w:t xml:space="preserve"> in 2015 implying a much greater additional mortality risk than the clearly statistically significant ‘excess’ mortality a</w:t>
      </w:r>
      <w:r w:rsidR="008D618D" w:rsidRPr="00031EB4">
        <w:rPr>
          <w:rFonts w:ascii="Times New Roman" w:hAnsi="Times New Roman" w:cs="Times New Roman"/>
          <w:sz w:val="20"/>
        </w:rPr>
        <w:t>t</w:t>
      </w:r>
      <w:r w:rsidR="00F82EEE" w:rsidRPr="00031EB4">
        <w:rPr>
          <w:rFonts w:ascii="Times New Roman" w:hAnsi="Times New Roman" w:cs="Times New Roman"/>
          <w:sz w:val="20"/>
        </w:rPr>
        <w:t xml:space="preserve"> ages 60 or 70. </w:t>
      </w:r>
    </w:p>
    <w:p w14:paraId="0DA884B3" w14:textId="5E15BCDC" w:rsidR="00CD4DA8" w:rsidRPr="00031EB4" w:rsidRDefault="00E323A4" w:rsidP="00CD4DA8">
      <w:pPr>
        <w:pStyle w:val="Caption"/>
        <w:rPr>
          <w:rFonts w:ascii="Times New Roman" w:hAnsi="Times New Roman" w:cs="Times New Roman"/>
          <w:b/>
          <w:i w:val="0"/>
          <w:color w:val="auto"/>
          <w:sz w:val="22"/>
        </w:rPr>
      </w:pPr>
      <w:r w:rsidRPr="00031EB4">
        <w:rPr>
          <w:rFonts w:ascii="Times New Roman" w:hAnsi="Times New Roman" w:cs="Times New Roman"/>
          <w:b/>
          <w:i w:val="0"/>
          <w:color w:val="auto"/>
          <w:sz w:val="20"/>
        </w:rPr>
        <w:t xml:space="preserve">Figure </w:t>
      </w:r>
      <w:r w:rsidR="00F82EEE" w:rsidRPr="00031EB4">
        <w:rPr>
          <w:rFonts w:ascii="Times New Roman" w:hAnsi="Times New Roman" w:cs="Times New Roman"/>
          <w:b/>
          <w:i w:val="0"/>
          <w:color w:val="auto"/>
          <w:sz w:val="20"/>
        </w:rPr>
        <w:t xml:space="preserve">2 </w:t>
      </w:r>
      <w:r w:rsidR="00681540" w:rsidRPr="00031EB4">
        <w:rPr>
          <w:rFonts w:ascii="Times New Roman" w:hAnsi="Times New Roman" w:cs="Times New Roman"/>
          <w:b/>
          <w:i w:val="0"/>
          <w:color w:val="auto"/>
          <w:sz w:val="20"/>
        </w:rPr>
        <w:t xml:space="preserve">[Colour online] </w:t>
      </w:r>
      <w:r w:rsidR="00CD4DA8" w:rsidRPr="00031EB4">
        <w:rPr>
          <w:rFonts w:ascii="Times New Roman" w:hAnsi="Times New Roman" w:cs="Times New Roman"/>
          <w:b/>
          <w:i w:val="0"/>
          <w:color w:val="auto"/>
          <w:sz w:val="20"/>
        </w:rPr>
        <w:t>Comparison of observed (points) and fitted (lines and grey bands for 95% confidence intervals) mortality rate changes at older ages. A) Log10 scale; B) Identity scale.</w:t>
      </w:r>
    </w:p>
    <w:p w14:paraId="42779B62" w14:textId="02FB294E" w:rsidR="00E323A4" w:rsidRPr="00031EB4" w:rsidRDefault="00CD4DA8" w:rsidP="00681540">
      <w:pPr>
        <w:spacing w:line="240" w:lineRule="auto"/>
        <w:jc w:val="center"/>
        <w:rPr>
          <w:rFonts w:ascii="Times New Roman" w:hAnsi="Times New Roman" w:cs="Times New Roman"/>
          <w:i/>
        </w:rPr>
      </w:pPr>
      <w:r w:rsidRPr="00031EB4">
        <w:rPr>
          <w:rFonts w:ascii="Times New Roman" w:hAnsi="Times New Roman" w:cs="Times New Roman"/>
          <w:i/>
        </w:rPr>
        <w:t xml:space="preserve"> </w:t>
      </w:r>
      <w:r w:rsidR="00681540" w:rsidRPr="00031EB4">
        <w:rPr>
          <w:rFonts w:ascii="Times New Roman" w:hAnsi="Times New Roman" w:cs="Times New Roman"/>
          <w:i/>
        </w:rPr>
        <w:t>[Figure 2 about here]</w:t>
      </w:r>
    </w:p>
    <w:p w14:paraId="4F8CE861" w14:textId="59E26440" w:rsidR="00DA26E4" w:rsidRPr="00031EB4" w:rsidRDefault="00E22714" w:rsidP="00E22714">
      <w:pPr>
        <w:spacing w:line="240" w:lineRule="auto"/>
        <w:rPr>
          <w:rFonts w:ascii="Times New Roman" w:hAnsi="Times New Roman" w:cs="Times New Roman"/>
          <w:sz w:val="20"/>
        </w:rPr>
      </w:pPr>
      <w:r w:rsidRPr="00031EB4">
        <w:rPr>
          <w:rFonts w:ascii="Times New Roman" w:hAnsi="Times New Roman" w:cs="Times New Roman"/>
          <w:sz w:val="20"/>
        </w:rPr>
        <w:t xml:space="preserve">Figure </w:t>
      </w:r>
      <w:r w:rsidR="00DA26E4" w:rsidRPr="00031EB4">
        <w:rPr>
          <w:rFonts w:ascii="Times New Roman" w:hAnsi="Times New Roman" w:cs="Times New Roman"/>
          <w:sz w:val="20"/>
        </w:rPr>
        <w:t xml:space="preserve">1 in </w:t>
      </w:r>
      <w:r w:rsidR="00C772D0" w:rsidRPr="00031EB4">
        <w:rPr>
          <w:rFonts w:ascii="Times New Roman" w:hAnsi="Times New Roman" w:cs="Times New Roman"/>
          <w:sz w:val="20"/>
        </w:rPr>
        <w:t>Appendix A</w:t>
      </w:r>
      <w:r w:rsidR="00DA26E4" w:rsidRPr="00031EB4">
        <w:rPr>
          <w:rFonts w:ascii="Times New Roman" w:hAnsi="Times New Roman" w:cs="Times New Roman"/>
          <w:sz w:val="20"/>
        </w:rPr>
        <w:t xml:space="preserve"> shows equivalent projected and actual mortality rates in infancy, and at ages 15, 25, 35 and 45 years. In this figure it is clear that mortality rates in infancy fell rapidly between 1990 </w:t>
      </w:r>
      <w:r w:rsidR="00455A1A" w:rsidRPr="00031EB4">
        <w:rPr>
          <w:rFonts w:ascii="Times New Roman" w:hAnsi="Times New Roman" w:cs="Times New Roman"/>
          <w:sz w:val="20"/>
        </w:rPr>
        <w:t xml:space="preserve">(in fact since the 1960s) </w:t>
      </w:r>
      <w:r w:rsidR="00DA26E4" w:rsidRPr="00031EB4">
        <w:rPr>
          <w:rFonts w:ascii="Times New Roman" w:hAnsi="Times New Roman" w:cs="Times New Roman"/>
          <w:sz w:val="20"/>
        </w:rPr>
        <w:t xml:space="preserve">and 1992, steadily </w:t>
      </w:r>
      <w:r w:rsidR="00455A1A" w:rsidRPr="00031EB4">
        <w:rPr>
          <w:rFonts w:ascii="Times New Roman" w:hAnsi="Times New Roman" w:cs="Times New Roman"/>
          <w:sz w:val="20"/>
        </w:rPr>
        <w:t xml:space="preserve">but more slowly </w:t>
      </w:r>
      <w:r w:rsidR="00560035" w:rsidRPr="00031EB4">
        <w:rPr>
          <w:rFonts w:ascii="Times New Roman" w:hAnsi="Times New Roman" w:cs="Times New Roman"/>
          <w:sz w:val="20"/>
        </w:rPr>
        <w:t>afterwards, including the period 1997-2010</w:t>
      </w:r>
      <w:r w:rsidR="00DA26E4" w:rsidRPr="00031EB4">
        <w:rPr>
          <w:rFonts w:ascii="Times New Roman" w:hAnsi="Times New Roman" w:cs="Times New Roman"/>
          <w:sz w:val="20"/>
        </w:rPr>
        <w:t xml:space="preserve">. Mortality rates for males aged 35 also fell after 2010 below the projected range. At other ages actual rates were largely as expected from the model. </w:t>
      </w:r>
      <w:r w:rsidR="00455A1A" w:rsidRPr="00031EB4">
        <w:rPr>
          <w:rFonts w:ascii="Times New Roman" w:hAnsi="Times New Roman" w:cs="Times New Roman"/>
          <w:sz w:val="20"/>
        </w:rPr>
        <w:t>The projected and actual mortality risks at all ages in single years are used in the projection of total estimated excess deaths, below.</w:t>
      </w:r>
      <w:r w:rsidR="00560035" w:rsidRPr="00031EB4">
        <w:rPr>
          <w:rFonts w:ascii="Times New Roman" w:hAnsi="Times New Roman" w:cs="Times New Roman"/>
          <w:sz w:val="20"/>
        </w:rPr>
        <w:t xml:space="preserve"> Figure </w:t>
      </w:r>
      <w:r w:rsidR="00681540" w:rsidRPr="00031EB4">
        <w:rPr>
          <w:rFonts w:ascii="Times New Roman" w:hAnsi="Times New Roman" w:cs="Times New Roman"/>
          <w:sz w:val="20"/>
        </w:rPr>
        <w:t>2</w:t>
      </w:r>
      <w:r w:rsidR="00560035" w:rsidRPr="00031EB4">
        <w:rPr>
          <w:rFonts w:ascii="Times New Roman" w:hAnsi="Times New Roman" w:cs="Times New Roman"/>
          <w:sz w:val="20"/>
        </w:rPr>
        <w:t xml:space="preserve"> in </w:t>
      </w:r>
      <w:r w:rsidR="00681540" w:rsidRPr="00031EB4">
        <w:rPr>
          <w:rFonts w:ascii="Times New Roman" w:hAnsi="Times New Roman" w:cs="Times New Roman"/>
          <w:sz w:val="20"/>
        </w:rPr>
        <w:t xml:space="preserve">Appendix B </w:t>
      </w:r>
      <w:r w:rsidR="00560035" w:rsidRPr="00031EB4">
        <w:rPr>
          <w:rFonts w:ascii="Times New Roman" w:hAnsi="Times New Roman" w:cs="Times New Roman"/>
          <w:sz w:val="20"/>
        </w:rPr>
        <w:t>summarises the model coefficients</w:t>
      </w:r>
      <w:r w:rsidR="00735CC9" w:rsidRPr="00031EB4">
        <w:rPr>
          <w:rFonts w:ascii="Times New Roman" w:hAnsi="Times New Roman" w:cs="Times New Roman"/>
          <w:sz w:val="20"/>
        </w:rPr>
        <w:t xml:space="preserve">; it is worth noting the first row of this figure, the intercept term, successfully identifies the </w:t>
      </w:r>
      <w:proofErr w:type="spellStart"/>
      <w:r w:rsidR="00735CC9" w:rsidRPr="00031EB4">
        <w:rPr>
          <w:rFonts w:ascii="Times New Roman" w:hAnsi="Times New Roman" w:cs="Times New Roman"/>
          <w:sz w:val="20"/>
        </w:rPr>
        <w:t>Gompertz-Mak</w:t>
      </w:r>
      <w:r w:rsidR="00CD4DA8" w:rsidRPr="00031EB4">
        <w:rPr>
          <w:rFonts w:ascii="Times New Roman" w:hAnsi="Times New Roman" w:cs="Times New Roman"/>
          <w:sz w:val="20"/>
        </w:rPr>
        <w:t>e</w:t>
      </w:r>
      <w:r w:rsidR="00735CC9" w:rsidRPr="00031EB4">
        <w:rPr>
          <w:rFonts w:ascii="Times New Roman" w:hAnsi="Times New Roman" w:cs="Times New Roman"/>
          <w:sz w:val="20"/>
        </w:rPr>
        <w:t>ham</w:t>
      </w:r>
      <w:proofErr w:type="spellEnd"/>
      <w:r w:rsidR="00735CC9" w:rsidRPr="00031EB4">
        <w:rPr>
          <w:rFonts w:ascii="Times New Roman" w:hAnsi="Times New Roman" w:cs="Times New Roman"/>
          <w:sz w:val="20"/>
        </w:rPr>
        <w:t xml:space="preserve"> law of mortality risk against age (also known as the ‘bathtub curve’),</w:t>
      </w:r>
      <w:r w:rsidR="003779CB" w:rsidRPr="00031EB4">
        <w:rPr>
          <w:rFonts w:ascii="Times New Roman" w:hAnsi="Times New Roman" w:cs="Times New Roman"/>
          <w:sz w:val="20"/>
        </w:rPr>
        <w:fldChar w:fldCharType="begin" w:fldLock="1"/>
      </w:r>
      <w:r w:rsidR="00681540" w:rsidRPr="00031EB4">
        <w:rPr>
          <w:rFonts w:ascii="Times New Roman" w:hAnsi="Times New Roman" w:cs="Times New Roman"/>
          <w:sz w:val="20"/>
        </w:rPr>
        <w:instrText>ADDIN CSL_CITATION { "citationItems" : [ { "id" : "ITEM-1", "itemData" : { "DOI" : "10.2307/41134925", "ISSN" : "20461658", "author" : [ { "dropping-particle" : "", "family" : "Makeham", "given" : "William Matthew", "non-dropping-particle" : "", "parse-names" : false, "suffix" : "" } ], "container-title" : "The Assurance Magazine, and Journal of the Institute of Actuaries", "genre" : "JOUR", "id" : "ITEM-1", "issue" : "6", "issued" : { "date-parts" : [ [ "1860", "1", "1" ] ] }, "page" : "301-310", "publisher" : "Cambridge University Press on behalf of the Institute and Faculty of Actuaries", "title" : "On the Law of Mortality and the Construction of Annuity Tables", "type" : "article-journal", "volume" : "8" }, "uris" : [ "http://www.mendeley.com/documents/?uuid=2efd5169-76fe-4627-81f1-77b557c8106d" ] } ], "mendeley" : { "formattedCitation" : "&lt;sup&gt;12&lt;/sup&gt;", "plainTextFormattedCitation" : "12", "previouslyFormattedCitation" : "&lt;sup&gt;12&lt;/sup&gt;" }, "properties" : { "noteIndex" : 0 }, "schema" : "https://github.com/citation-style-language/schema/raw/master/csl-citation.json" }</w:instrText>
      </w:r>
      <w:r w:rsidR="003779CB" w:rsidRPr="00031EB4">
        <w:rPr>
          <w:rFonts w:ascii="Times New Roman" w:hAnsi="Times New Roman" w:cs="Times New Roman"/>
          <w:sz w:val="20"/>
        </w:rPr>
        <w:fldChar w:fldCharType="separate"/>
      </w:r>
      <w:r w:rsidR="00C772D0" w:rsidRPr="00031EB4">
        <w:rPr>
          <w:rFonts w:ascii="Times New Roman" w:hAnsi="Times New Roman" w:cs="Times New Roman"/>
          <w:noProof/>
          <w:sz w:val="20"/>
          <w:vertAlign w:val="superscript"/>
        </w:rPr>
        <w:t>12</w:t>
      </w:r>
      <w:r w:rsidR="003779CB" w:rsidRPr="00031EB4">
        <w:rPr>
          <w:rFonts w:ascii="Times New Roman" w:hAnsi="Times New Roman" w:cs="Times New Roman"/>
          <w:sz w:val="20"/>
        </w:rPr>
        <w:fldChar w:fldCharType="end"/>
      </w:r>
      <w:r w:rsidR="00735CC9" w:rsidRPr="00031EB4">
        <w:rPr>
          <w:rFonts w:ascii="Times New Roman" w:hAnsi="Times New Roman" w:cs="Times New Roman"/>
          <w:sz w:val="20"/>
        </w:rPr>
        <w:t xml:space="preserve"> suggesting an appropriate model specification; and also that the trend terms are all negative and statistically significant, suggesting it is appropriate to </w:t>
      </w:r>
      <w:r w:rsidR="003779CB" w:rsidRPr="00031EB4">
        <w:rPr>
          <w:rFonts w:ascii="Times New Roman" w:hAnsi="Times New Roman" w:cs="Times New Roman"/>
          <w:sz w:val="20"/>
        </w:rPr>
        <w:t xml:space="preserve">model </w:t>
      </w:r>
      <w:r w:rsidR="00735CC9" w:rsidRPr="00031EB4">
        <w:rPr>
          <w:rFonts w:ascii="Times New Roman" w:hAnsi="Times New Roman" w:cs="Times New Roman"/>
          <w:sz w:val="20"/>
        </w:rPr>
        <w:t xml:space="preserve">falling mortality risks over time.  </w:t>
      </w:r>
    </w:p>
    <w:p w14:paraId="0190D719" w14:textId="314DA9F4" w:rsidR="00E323A4" w:rsidRPr="00031EB4" w:rsidRDefault="00E323A4" w:rsidP="00E22714">
      <w:pPr>
        <w:pStyle w:val="Heading2"/>
        <w:spacing w:line="240" w:lineRule="auto"/>
        <w:rPr>
          <w:rFonts w:ascii="Times New Roman" w:hAnsi="Times New Roman" w:cs="Times New Roman"/>
          <w:b/>
          <w:color w:val="auto"/>
          <w:sz w:val="20"/>
        </w:rPr>
      </w:pPr>
      <w:r w:rsidRPr="00031EB4">
        <w:rPr>
          <w:rFonts w:ascii="Times New Roman" w:hAnsi="Times New Roman" w:cs="Times New Roman"/>
          <w:b/>
          <w:color w:val="auto"/>
          <w:sz w:val="20"/>
        </w:rPr>
        <w:t>Total Estimated Excess Death</w:t>
      </w:r>
      <w:r w:rsidR="008347BD" w:rsidRPr="00031EB4">
        <w:rPr>
          <w:rFonts w:ascii="Times New Roman" w:hAnsi="Times New Roman" w:cs="Times New Roman"/>
          <w:b/>
          <w:color w:val="auto"/>
          <w:sz w:val="20"/>
        </w:rPr>
        <w:t>s</w:t>
      </w:r>
      <w:r w:rsidRPr="00031EB4">
        <w:rPr>
          <w:rFonts w:ascii="Times New Roman" w:hAnsi="Times New Roman" w:cs="Times New Roman"/>
          <w:b/>
          <w:color w:val="auto"/>
          <w:sz w:val="20"/>
        </w:rPr>
        <w:t>, 2010-2015</w:t>
      </w:r>
    </w:p>
    <w:p w14:paraId="70B57890" w14:textId="1CF5EDF9" w:rsidR="00E323A4" w:rsidRPr="00031EB4" w:rsidRDefault="00E323A4" w:rsidP="00E22714">
      <w:pPr>
        <w:spacing w:line="240" w:lineRule="auto"/>
        <w:rPr>
          <w:rFonts w:ascii="Times New Roman" w:hAnsi="Times New Roman" w:cs="Times New Roman"/>
          <w:sz w:val="20"/>
        </w:rPr>
      </w:pPr>
      <w:r w:rsidRPr="00031EB4">
        <w:rPr>
          <w:rFonts w:ascii="Times New Roman" w:hAnsi="Times New Roman" w:cs="Times New Roman"/>
          <w:sz w:val="20"/>
        </w:rPr>
        <w:t xml:space="preserve">Figure </w:t>
      </w:r>
      <w:r w:rsidR="00CD4DA8" w:rsidRPr="00031EB4">
        <w:rPr>
          <w:rFonts w:ascii="Times New Roman" w:hAnsi="Times New Roman" w:cs="Times New Roman"/>
          <w:sz w:val="20"/>
        </w:rPr>
        <w:t>3</w:t>
      </w:r>
      <w:r w:rsidRPr="00031EB4">
        <w:rPr>
          <w:rFonts w:ascii="Times New Roman" w:hAnsi="Times New Roman" w:cs="Times New Roman"/>
          <w:sz w:val="20"/>
        </w:rPr>
        <w:t xml:space="preserve"> shows the total ‘excess’ deaths in each year from 2010 to 2015, between birth and the age indicated on the horizontal axis, if the </w:t>
      </w:r>
      <w:r w:rsidR="00735CC9" w:rsidRPr="00031EB4">
        <w:rPr>
          <w:rFonts w:ascii="Times New Roman" w:hAnsi="Times New Roman" w:cs="Times New Roman"/>
          <w:sz w:val="20"/>
        </w:rPr>
        <w:t>1997-2010 (‘New Labour’)</w:t>
      </w:r>
      <w:r w:rsidRPr="00031EB4">
        <w:rPr>
          <w:rFonts w:ascii="Times New Roman" w:hAnsi="Times New Roman" w:cs="Times New Roman"/>
          <w:sz w:val="20"/>
        </w:rPr>
        <w:t xml:space="preserve"> trends </w:t>
      </w:r>
      <w:r w:rsidR="00735CC9" w:rsidRPr="00031EB4">
        <w:rPr>
          <w:rFonts w:ascii="Times New Roman" w:hAnsi="Times New Roman" w:cs="Times New Roman"/>
          <w:sz w:val="20"/>
        </w:rPr>
        <w:t>had continued</w:t>
      </w:r>
      <w:r w:rsidRPr="00031EB4">
        <w:rPr>
          <w:rFonts w:ascii="Times New Roman" w:hAnsi="Times New Roman" w:cs="Times New Roman"/>
          <w:sz w:val="20"/>
        </w:rPr>
        <w:t xml:space="preserve">. A vertical dashed line is added at age 65 years, </w:t>
      </w:r>
      <w:r w:rsidR="003779CB" w:rsidRPr="00031EB4">
        <w:rPr>
          <w:rFonts w:ascii="Times New Roman" w:hAnsi="Times New Roman" w:cs="Times New Roman"/>
          <w:sz w:val="20"/>
        </w:rPr>
        <w:t>as it seems this age marks an important turning point in excess death trends. In each year after 2010 there were fewer deaths than expected between birth and age 65, but more after th</w:t>
      </w:r>
      <w:r w:rsidR="00747C48" w:rsidRPr="00031EB4">
        <w:rPr>
          <w:rFonts w:ascii="Times New Roman" w:hAnsi="Times New Roman" w:cs="Times New Roman"/>
          <w:sz w:val="20"/>
        </w:rPr>
        <w:t>ese</w:t>
      </w:r>
      <w:r w:rsidR="003779CB" w:rsidRPr="00031EB4">
        <w:rPr>
          <w:rFonts w:ascii="Times New Roman" w:hAnsi="Times New Roman" w:cs="Times New Roman"/>
          <w:sz w:val="20"/>
        </w:rPr>
        <w:t xml:space="preserve"> years, and this increasing excess has </w:t>
      </w:r>
      <w:r w:rsidR="00747C48" w:rsidRPr="00031EB4">
        <w:rPr>
          <w:rFonts w:ascii="Times New Roman" w:hAnsi="Times New Roman" w:cs="Times New Roman"/>
          <w:sz w:val="20"/>
        </w:rPr>
        <w:t>grown with</w:t>
      </w:r>
      <w:r w:rsidR="003779CB" w:rsidRPr="00031EB4">
        <w:rPr>
          <w:rFonts w:ascii="Times New Roman" w:hAnsi="Times New Roman" w:cs="Times New Roman"/>
          <w:sz w:val="20"/>
        </w:rPr>
        <w:t xml:space="preserve"> time. Most of the excess deaths between the ages of 65 and 89 years occurred from 2012 onwards. 2015 saw a greater number of excess deaths by age 89 than the years 2012 to 2014 combined. </w:t>
      </w:r>
    </w:p>
    <w:p w14:paraId="55E150C9" w14:textId="3B86CF89" w:rsidR="002E2937" w:rsidRPr="00031EB4" w:rsidRDefault="002E2937" w:rsidP="00E22714">
      <w:pPr>
        <w:spacing w:line="240" w:lineRule="auto"/>
        <w:rPr>
          <w:rFonts w:ascii="Times New Roman" w:hAnsi="Times New Roman" w:cs="Times New Roman"/>
          <w:sz w:val="20"/>
        </w:rPr>
        <w:sectPr w:rsidR="002E2937" w:rsidRPr="00031EB4" w:rsidSect="00111C57">
          <w:headerReference w:type="default" r:id="rId9"/>
          <w:footerReference w:type="default" r:id="rId10"/>
          <w:type w:val="continuous"/>
          <w:pgSz w:w="11906" w:h="16838"/>
          <w:pgMar w:top="1440" w:right="1440" w:bottom="1440" w:left="1440" w:header="708" w:footer="708" w:gutter="0"/>
          <w:cols w:space="708"/>
          <w:docGrid w:linePitch="360"/>
        </w:sectPr>
      </w:pPr>
      <w:r w:rsidRPr="00031EB4">
        <w:rPr>
          <w:rFonts w:ascii="Times New Roman" w:hAnsi="Times New Roman" w:cs="Times New Roman"/>
          <w:sz w:val="20"/>
        </w:rPr>
        <w:lastRenderedPageBreak/>
        <w:t xml:space="preserve">Results from the model are summarised in </w:t>
      </w:r>
      <w:r w:rsidR="006F3E68" w:rsidRPr="00031EB4">
        <w:rPr>
          <w:rFonts w:ascii="Times New Roman" w:hAnsi="Times New Roman" w:cs="Times New Roman"/>
          <w:sz w:val="20"/>
        </w:rPr>
        <w:t>T</w:t>
      </w:r>
      <w:r w:rsidRPr="00031EB4">
        <w:rPr>
          <w:rFonts w:ascii="Times New Roman" w:hAnsi="Times New Roman" w:cs="Times New Roman"/>
          <w:sz w:val="20"/>
        </w:rPr>
        <w:t>able</w:t>
      </w:r>
      <w:r w:rsidR="00747C48" w:rsidRPr="00031EB4">
        <w:rPr>
          <w:rFonts w:ascii="Times New Roman" w:hAnsi="Times New Roman" w:cs="Times New Roman"/>
          <w:sz w:val="20"/>
        </w:rPr>
        <w:t>s</w:t>
      </w:r>
      <w:r w:rsidRPr="00031EB4">
        <w:rPr>
          <w:rFonts w:ascii="Times New Roman" w:hAnsi="Times New Roman" w:cs="Times New Roman"/>
          <w:sz w:val="20"/>
        </w:rPr>
        <w:t xml:space="preserve"> 1 and</w:t>
      </w:r>
      <w:r w:rsidR="00E22714" w:rsidRPr="00031EB4">
        <w:rPr>
          <w:rFonts w:ascii="Times New Roman" w:hAnsi="Times New Roman" w:cs="Times New Roman"/>
          <w:sz w:val="20"/>
        </w:rPr>
        <w:t xml:space="preserve"> </w:t>
      </w:r>
      <w:r w:rsidRPr="00031EB4">
        <w:rPr>
          <w:rFonts w:ascii="Times New Roman" w:hAnsi="Times New Roman" w:cs="Times New Roman"/>
          <w:sz w:val="20"/>
        </w:rPr>
        <w:t xml:space="preserve">2. Table 1 shows the ‘excess’ deaths by the ages of 50, 70 and 89 years for each year from 2010 to 2015, with positive excesses highlighted in bold. Table 2 further summarises these results to show the combined excess deaths either over the period 2010 to 2015, or the period 2012 to 2015. The models project 2,303 fewer deaths than observed in 2012, 10,430 fewer deaths in 2013, 8,820 fewer deaths in 2014, and 20,465 fewer deaths in 2015. In total, there were 31,973 more deaths than projected between 2010 and 2015, and 42,018 more deaths than projected between 2012 and 2015. </w:t>
      </w:r>
    </w:p>
    <w:tbl>
      <w:tblPr>
        <w:tblW w:w="12661" w:type="dxa"/>
        <w:jc w:val="center"/>
        <w:tblLook w:val="04A0" w:firstRow="1" w:lastRow="0" w:firstColumn="1" w:lastColumn="0" w:noHBand="0" w:noVBand="1"/>
      </w:tblPr>
      <w:tblGrid>
        <w:gridCol w:w="960"/>
        <w:gridCol w:w="960"/>
        <w:gridCol w:w="831"/>
        <w:gridCol w:w="283"/>
        <w:gridCol w:w="940"/>
        <w:gridCol w:w="284"/>
        <w:gridCol w:w="940"/>
        <w:gridCol w:w="283"/>
        <w:gridCol w:w="888"/>
        <w:gridCol w:w="284"/>
        <w:gridCol w:w="940"/>
        <w:gridCol w:w="284"/>
        <w:gridCol w:w="940"/>
        <w:gridCol w:w="283"/>
        <w:gridCol w:w="831"/>
        <w:gridCol w:w="283"/>
        <w:gridCol w:w="940"/>
        <w:gridCol w:w="284"/>
        <w:gridCol w:w="940"/>
        <w:gridCol w:w="283"/>
      </w:tblGrid>
      <w:tr w:rsidR="007405AE" w:rsidRPr="00031EB4" w14:paraId="18AC596B" w14:textId="77777777" w:rsidTr="00E22714">
        <w:trPr>
          <w:trHeight w:val="300"/>
          <w:jc w:val="center"/>
        </w:trPr>
        <w:tc>
          <w:tcPr>
            <w:tcW w:w="960" w:type="dxa"/>
            <w:tcBorders>
              <w:top w:val="single" w:sz="8" w:space="0" w:color="auto"/>
              <w:left w:val="single" w:sz="8" w:space="0" w:color="auto"/>
              <w:bottom w:val="single" w:sz="4" w:space="0" w:color="auto"/>
              <w:right w:val="nil"/>
            </w:tcBorders>
            <w:shd w:val="clear" w:color="auto" w:fill="auto"/>
            <w:noWrap/>
            <w:vAlign w:val="bottom"/>
            <w:hideMark/>
          </w:tcPr>
          <w:p w14:paraId="75E97F53" w14:textId="77777777" w:rsidR="002E2937" w:rsidRPr="00031EB4" w:rsidRDefault="002E2937" w:rsidP="00E22714">
            <w:pPr>
              <w:spacing w:after="0" w:line="240" w:lineRule="auto"/>
              <w:rPr>
                <w:rFonts w:ascii="Times New Roman" w:eastAsia="Times New Roman" w:hAnsi="Times New Roman" w:cs="Times New Roman"/>
                <w:b/>
                <w:bCs/>
                <w:sz w:val="16"/>
                <w:szCs w:val="16"/>
                <w:lang w:eastAsia="en-GB"/>
              </w:rPr>
            </w:pPr>
            <w:r w:rsidRPr="00031EB4">
              <w:rPr>
                <w:rFonts w:ascii="Times New Roman" w:eastAsia="Times New Roman" w:hAnsi="Times New Roman" w:cs="Times New Roman"/>
                <w:b/>
                <w:bCs/>
                <w:sz w:val="16"/>
                <w:szCs w:val="16"/>
                <w:lang w:eastAsia="en-GB"/>
              </w:rPr>
              <w:lastRenderedPageBreak/>
              <w:t>Year</w:t>
            </w:r>
          </w:p>
        </w:tc>
        <w:tc>
          <w:tcPr>
            <w:tcW w:w="960" w:type="dxa"/>
            <w:tcBorders>
              <w:top w:val="single" w:sz="8" w:space="0" w:color="auto"/>
              <w:left w:val="nil"/>
              <w:bottom w:val="single" w:sz="4" w:space="0" w:color="auto"/>
              <w:right w:val="nil"/>
            </w:tcBorders>
            <w:shd w:val="clear" w:color="auto" w:fill="auto"/>
            <w:noWrap/>
            <w:vAlign w:val="bottom"/>
            <w:hideMark/>
          </w:tcPr>
          <w:p w14:paraId="19C682E9" w14:textId="77777777" w:rsidR="002E2937" w:rsidRPr="00031EB4" w:rsidRDefault="002E2937" w:rsidP="00E22714">
            <w:pPr>
              <w:spacing w:after="0" w:line="240" w:lineRule="auto"/>
              <w:rPr>
                <w:rFonts w:ascii="Times New Roman" w:eastAsia="Times New Roman" w:hAnsi="Times New Roman" w:cs="Times New Roman"/>
                <w:b/>
                <w:bCs/>
                <w:sz w:val="16"/>
                <w:szCs w:val="16"/>
                <w:lang w:eastAsia="en-GB"/>
              </w:rPr>
            </w:pPr>
            <w:r w:rsidRPr="00031EB4">
              <w:rPr>
                <w:rFonts w:ascii="Times New Roman" w:eastAsia="Times New Roman" w:hAnsi="Times New Roman" w:cs="Times New Roman"/>
                <w:b/>
                <w:bCs/>
                <w:sz w:val="16"/>
                <w:szCs w:val="16"/>
                <w:lang w:eastAsia="en-GB"/>
              </w:rPr>
              <w:t>Age</w:t>
            </w:r>
          </w:p>
        </w:tc>
        <w:tc>
          <w:tcPr>
            <w:tcW w:w="831" w:type="dxa"/>
            <w:tcBorders>
              <w:top w:val="single" w:sz="8" w:space="0" w:color="auto"/>
              <w:left w:val="nil"/>
              <w:bottom w:val="single" w:sz="4" w:space="0" w:color="auto"/>
              <w:right w:val="nil"/>
            </w:tcBorders>
            <w:shd w:val="clear" w:color="auto" w:fill="auto"/>
            <w:noWrap/>
            <w:vAlign w:val="bottom"/>
            <w:hideMark/>
          </w:tcPr>
          <w:p w14:paraId="6F98E827" w14:textId="77777777" w:rsidR="002E2937" w:rsidRPr="00031EB4" w:rsidRDefault="002E2937" w:rsidP="00E22714">
            <w:pPr>
              <w:spacing w:after="0" w:line="240" w:lineRule="auto"/>
              <w:rPr>
                <w:rFonts w:ascii="Times New Roman" w:eastAsia="Times New Roman" w:hAnsi="Times New Roman" w:cs="Times New Roman"/>
                <w:b/>
                <w:bCs/>
                <w:sz w:val="16"/>
                <w:szCs w:val="16"/>
                <w:lang w:eastAsia="en-GB"/>
              </w:rPr>
            </w:pPr>
            <w:r w:rsidRPr="00031EB4">
              <w:rPr>
                <w:rFonts w:ascii="Times New Roman" w:eastAsia="Times New Roman" w:hAnsi="Times New Roman" w:cs="Times New Roman"/>
                <w:b/>
                <w:bCs/>
                <w:sz w:val="16"/>
                <w:szCs w:val="16"/>
                <w:lang w:eastAsia="en-GB"/>
              </w:rPr>
              <w:t>Males</w:t>
            </w:r>
          </w:p>
        </w:tc>
        <w:tc>
          <w:tcPr>
            <w:tcW w:w="283" w:type="dxa"/>
            <w:tcBorders>
              <w:top w:val="single" w:sz="8" w:space="0" w:color="auto"/>
              <w:left w:val="nil"/>
              <w:bottom w:val="single" w:sz="4" w:space="0" w:color="auto"/>
              <w:right w:val="nil"/>
            </w:tcBorders>
            <w:shd w:val="clear" w:color="auto" w:fill="auto"/>
            <w:noWrap/>
            <w:vAlign w:val="bottom"/>
            <w:hideMark/>
          </w:tcPr>
          <w:p w14:paraId="580F1342" w14:textId="77777777" w:rsidR="002E2937" w:rsidRPr="00031EB4" w:rsidRDefault="002E2937" w:rsidP="00E22714">
            <w:pPr>
              <w:spacing w:after="0" w:line="240" w:lineRule="auto"/>
              <w:rPr>
                <w:rFonts w:ascii="Times New Roman" w:eastAsia="Times New Roman" w:hAnsi="Times New Roman" w:cs="Times New Roman"/>
                <w:b/>
                <w:bCs/>
                <w:sz w:val="16"/>
                <w:szCs w:val="16"/>
                <w:lang w:eastAsia="en-GB"/>
              </w:rPr>
            </w:pPr>
            <w:r w:rsidRPr="00031EB4">
              <w:rPr>
                <w:rFonts w:ascii="Times New Roman" w:eastAsia="Times New Roman" w:hAnsi="Times New Roman" w:cs="Times New Roman"/>
                <w:b/>
                <w:bCs/>
                <w:sz w:val="16"/>
                <w:szCs w:val="16"/>
                <w:lang w:eastAsia="en-GB"/>
              </w:rPr>
              <w:t> </w:t>
            </w:r>
          </w:p>
        </w:tc>
        <w:tc>
          <w:tcPr>
            <w:tcW w:w="940" w:type="dxa"/>
            <w:tcBorders>
              <w:top w:val="single" w:sz="8" w:space="0" w:color="auto"/>
              <w:left w:val="nil"/>
              <w:bottom w:val="single" w:sz="4" w:space="0" w:color="auto"/>
              <w:right w:val="nil"/>
            </w:tcBorders>
            <w:shd w:val="clear" w:color="auto" w:fill="auto"/>
            <w:noWrap/>
            <w:vAlign w:val="bottom"/>
            <w:hideMark/>
          </w:tcPr>
          <w:p w14:paraId="5562A4D1" w14:textId="77777777" w:rsidR="002E2937" w:rsidRPr="00031EB4" w:rsidRDefault="002E2937" w:rsidP="00E22714">
            <w:pPr>
              <w:spacing w:after="0" w:line="240" w:lineRule="auto"/>
              <w:rPr>
                <w:rFonts w:ascii="Times New Roman" w:eastAsia="Times New Roman" w:hAnsi="Times New Roman" w:cs="Times New Roman"/>
                <w:b/>
                <w:bCs/>
                <w:sz w:val="16"/>
                <w:szCs w:val="16"/>
                <w:lang w:eastAsia="en-GB"/>
              </w:rPr>
            </w:pPr>
            <w:r w:rsidRPr="00031EB4">
              <w:rPr>
                <w:rFonts w:ascii="Times New Roman" w:eastAsia="Times New Roman" w:hAnsi="Times New Roman" w:cs="Times New Roman"/>
                <w:b/>
                <w:bCs/>
                <w:sz w:val="16"/>
                <w:szCs w:val="16"/>
                <w:lang w:eastAsia="en-GB"/>
              </w:rPr>
              <w:t> </w:t>
            </w:r>
          </w:p>
        </w:tc>
        <w:tc>
          <w:tcPr>
            <w:tcW w:w="284" w:type="dxa"/>
            <w:tcBorders>
              <w:top w:val="single" w:sz="8" w:space="0" w:color="auto"/>
              <w:left w:val="nil"/>
              <w:bottom w:val="single" w:sz="4" w:space="0" w:color="auto"/>
              <w:right w:val="nil"/>
            </w:tcBorders>
            <w:shd w:val="clear" w:color="auto" w:fill="auto"/>
            <w:noWrap/>
            <w:vAlign w:val="bottom"/>
            <w:hideMark/>
          </w:tcPr>
          <w:p w14:paraId="4459B799" w14:textId="77777777" w:rsidR="002E2937" w:rsidRPr="00031EB4" w:rsidRDefault="002E2937" w:rsidP="00E22714">
            <w:pPr>
              <w:spacing w:after="0" w:line="240" w:lineRule="auto"/>
              <w:rPr>
                <w:rFonts w:ascii="Times New Roman" w:eastAsia="Times New Roman" w:hAnsi="Times New Roman" w:cs="Times New Roman"/>
                <w:b/>
                <w:bCs/>
                <w:sz w:val="16"/>
                <w:szCs w:val="16"/>
                <w:lang w:eastAsia="en-GB"/>
              </w:rPr>
            </w:pPr>
            <w:r w:rsidRPr="00031EB4">
              <w:rPr>
                <w:rFonts w:ascii="Times New Roman" w:eastAsia="Times New Roman" w:hAnsi="Times New Roman" w:cs="Times New Roman"/>
                <w:b/>
                <w:bCs/>
                <w:sz w:val="16"/>
                <w:szCs w:val="16"/>
                <w:lang w:eastAsia="en-GB"/>
              </w:rPr>
              <w:t> </w:t>
            </w:r>
          </w:p>
        </w:tc>
        <w:tc>
          <w:tcPr>
            <w:tcW w:w="940" w:type="dxa"/>
            <w:tcBorders>
              <w:top w:val="single" w:sz="8" w:space="0" w:color="auto"/>
              <w:left w:val="nil"/>
              <w:bottom w:val="single" w:sz="4" w:space="0" w:color="auto"/>
              <w:right w:val="nil"/>
            </w:tcBorders>
            <w:shd w:val="clear" w:color="auto" w:fill="auto"/>
            <w:noWrap/>
            <w:vAlign w:val="bottom"/>
            <w:hideMark/>
          </w:tcPr>
          <w:p w14:paraId="40E541F9" w14:textId="77777777" w:rsidR="002E2937" w:rsidRPr="00031EB4" w:rsidRDefault="002E2937" w:rsidP="00E22714">
            <w:pPr>
              <w:spacing w:after="0" w:line="240" w:lineRule="auto"/>
              <w:rPr>
                <w:rFonts w:ascii="Times New Roman" w:eastAsia="Times New Roman" w:hAnsi="Times New Roman" w:cs="Times New Roman"/>
                <w:b/>
                <w:bCs/>
                <w:sz w:val="16"/>
                <w:szCs w:val="16"/>
                <w:lang w:eastAsia="en-GB"/>
              </w:rPr>
            </w:pPr>
            <w:r w:rsidRPr="00031EB4">
              <w:rPr>
                <w:rFonts w:ascii="Times New Roman" w:eastAsia="Times New Roman" w:hAnsi="Times New Roman" w:cs="Times New Roman"/>
                <w:b/>
                <w:bCs/>
                <w:sz w:val="16"/>
                <w:szCs w:val="16"/>
                <w:lang w:eastAsia="en-GB"/>
              </w:rPr>
              <w:t> </w:t>
            </w:r>
          </w:p>
        </w:tc>
        <w:tc>
          <w:tcPr>
            <w:tcW w:w="283" w:type="dxa"/>
            <w:tcBorders>
              <w:top w:val="single" w:sz="8" w:space="0" w:color="auto"/>
              <w:left w:val="nil"/>
              <w:bottom w:val="single" w:sz="4" w:space="0" w:color="auto"/>
              <w:right w:val="nil"/>
            </w:tcBorders>
            <w:shd w:val="clear" w:color="auto" w:fill="auto"/>
            <w:noWrap/>
            <w:vAlign w:val="bottom"/>
            <w:hideMark/>
          </w:tcPr>
          <w:p w14:paraId="3620BBAF" w14:textId="77777777" w:rsidR="002E2937" w:rsidRPr="00031EB4" w:rsidRDefault="002E2937" w:rsidP="00E22714">
            <w:pPr>
              <w:spacing w:after="0" w:line="240" w:lineRule="auto"/>
              <w:rPr>
                <w:rFonts w:ascii="Times New Roman" w:eastAsia="Times New Roman" w:hAnsi="Times New Roman" w:cs="Times New Roman"/>
                <w:b/>
                <w:bCs/>
                <w:sz w:val="16"/>
                <w:szCs w:val="16"/>
                <w:lang w:eastAsia="en-GB"/>
              </w:rPr>
            </w:pPr>
            <w:r w:rsidRPr="00031EB4">
              <w:rPr>
                <w:rFonts w:ascii="Times New Roman" w:eastAsia="Times New Roman" w:hAnsi="Times New Roman" w:cs="Times New Roman"/>
                <w:b/>
                <w:bCs/>
                <w:sz w:val="16"/>
                <w:szCs w:val="16"/>
                <w:lang w:eastAsia="en-GB"/>
              </w:rPr>
              <w:t> </w:t>
            </w:r>
          </w:p>
        </w:tc>
        <w:tc>
          <w:tcPr>
            <w:tcW w:w="1172" w:type="dxa"/>
            <w:gridSpan w:val="2"/>
            <w:tcBorders>
              <w:top w:val="single" w:sz="8" w:space="0" w:color="auto"/>
              <w:left w:val="nil"/>
              <w:bottom w:val="single" w:sz="4" w:space="0" w:color="auto"/>
              <w:right w:val="nil"/>
            </w:tcBorders>
            <w:shd w:val="clear" w:color="auto" w:fill="auto"/>
            <w:noWrap/>
            <w:vAlign w:val="bottom"/>
            <w:hideMark/>
          </w:tcPr>
          <w:p w14:paraId="20CCF454" w14:textId="77777777" w:rsidR="002E2937" w:rsidRPr="00031EB4" w:rsidRDefault="002E2937" w:rsidP="00E22714">
            <w:pPr>
              <w:spacing w:after="0" w:line="240" w:lineRule="auto"/>
              <w:rPr>
                <w:rFonts w:ascii="Times New Roman" w:eastAsia="Times New Roman" w:hAnsi="Times New Roman" w:cs="Times New Roman"/>
                <w:b/>
                <w:bCs/>
                <w:sz w:val="16"/>
                <w:szCs w:val="16"/>
                <w:lang w:eastAsia="en-GB"/>
              </w:rPr>
            </w:pPr>
            <w:r w:rsidRPr="00031EB4">
              <w:rPr>
                <w:rFonts w:ascii="Times New Roman" w:eastAsia="Times New Roman" w:hAnsi="Times New Roman" w:cs="Times New Roman"/>
                <w:b/>
                <w:bCs/>
                <w:sz w:val="16"/>
                <w:szCs w:val="16"/>
                <w:lang w:eastAsia="en-GB"/>
              </w:rPr>
              <w:t>Females</w:t>
            </w:r>
          </w:p>
        </w:tc>
        <w:tc>
          <w:tcPr>
            <w:tcW w:w="940" w:type="dxa"/>
            <w:tcBorders>
              <w:top w:val="single" w:sz="8" w:space="0" w:color="auto"/>
              <w:left w:val="nil"/>
              <w:bottom w:val="single" w:sz="4" w:space="0" w:color="auto"/>
              <w:right w:val="nil"/>
            </w:tcBorders>
            <w:shd w:val="clear" w:color="auto" w:fill="auto"/>
            <w:noWrap/>
            <w:vAlign w:val="bottom"/>
            <w:hideMark/>
          </w:tcPr>
          <w:p w14:paraId="71C6067D" w14:textId="77777777" w:rsidR="002E2937" w:rsidRPr="00031EB4" w:rsidRDefault="002E2937" w:rsidP="00E22714">
            <w:pPr>
              <w:spacing w:after="0" w:line="240" w:lineRule="auto"/>
              <w:rPr>
                <w:rFonts w:ascii="Times New Roman" w:eastAsia="Times New Roman" w:hAnsi="Times New Roman" w:cs="Times New Roman"/>
                <w:b/>
                <w:bCs/>
                <w:sz w:val="16"/>
                <w:szCs w:val="16"/>
                <w:lang w:eastAsia="en-GB"/>
              </w:rPr>
            </w:pPr>
            <w:r w:rsidRPr="00031EB4">
              <w:rPr>
                <w:rFonts w:ascii="Times New Roman" w:eastAsia="Times New Roman" w:hAnsi="Times New Roman" w:cs="Times New Roman"/>
                <w:b/>
                <w:bCs/>
                <w:sz w:val="16"/>
                <w:szCs w:val="16"/>
                <w:lang w:eastAsia="en-GB"/>
              </w:rPr>
              <w:t> </w:t>
            </w:r>
          </w:p>
        </w:tc>
        <w:tc>
          <w:tcPr>
            <w:tcW w:w="284" w:type="dxa"/>
            <w:tcBorders>
              <w:top w:val="single" w:sz="8" w:space="0" w:color="auto"/>
              <w:left w:val="nil"/>
              <w:bottom w:val="single" w:sz="4" w:space="0" w:color="auto"/>
              <w:right w:val="nil"/>
            </w:tcBorders>
            <w:shd w:val="clear" w:color="auto" w:fill="auto"/>
            <w:noWrap/>
            <w:vAlign w:val="bottom"/>
            <w:hideMark/>
          </w:tcPr>
          <w:p w14:paraId="54F3F0A8" w14:textId="77777777" w:rsidR="002E2937" w:rsidRPr="00031EB4" w:rsidRDefault="002E2937" w:rsidP="00E22714">
            <w:pPr>
              <w:spacing w:after="0" w:line="240" w:lineRule="auto"/>
              <w:rPr>
                <w:rFonts w:ascii="Times New Roman" w:eastAsia="Times New Roman" w:hAnsi="Times New Roman" w:cs="Times New Roman"/>
                <w:b/>
                <w:bCs/>
                <w:sz w:val="16"/>
                <w:szCs w:val="16"/>
                <w:lang w:eastAsia="en-GB"/>
              </w:rPr>
            </w:pPr>
            <w:r w:rsidRPr="00031EB4">
              <w:rPr>
                <w:rFonts w:ascii="Times New Roman" w:eastAsia="Times New Roman" w:hAnsi="Times New Roman" w:cs="Times New Roman"/>
                <w:b/>
                <w:bCs/>
                <w:sz w:val="16"/>
                <w:szCs w:val="16"/>
                <w:lang w:eastAsia="en-GB"/>
              </w:rPr>
              <w:t> </w:t>
            </w:r>
          </w:p>
        </w:tc>
        <w:tc>
          <w:tcPr>
            <w:tcW w:w="940" w:type="dxa"/>
            <w:tcBorders>
              <w:top w:val="single" w:sz="8" w:space="0" w:color="auto"/>
              <w:left w:val="nil"/>
              <w:bottom w:val="single" w:sz="4" w:space="0" w:color="auto"/>
              <w:right w:val="nil"/>
            </w:tcBorders>
            <w:shd w:val="clear" w:color="auto" w:fill="auto"/>
            <w:noWrap/>
            <w:vAlign w:val="bottom"/>
            <w:hideMark/>
          </w:tcPr>
          <w:p w14:paraId="2D6431A0" w14:textId="77777777" w:rsidR="002E2937" w:rsidRPr="00031EB4" w:rsidRDefault="002E2937" w:rsidP="00E22714">
            <w:pPr>
              <w:spacing w:after="0" w:line="240" w:lineRule="auto"/>
              <w:rPr>
                <w:rFonts w:ascii="Times New Roman" w:eastAsia="Times New Roman" w:hAnsi="Times New Roman" w:cs="Times New Roman"/>
                <w:b/>
                <w:bCs/>
                <w:sz w:val="16"/>
                <w:szCs w:val="16"/>
                <w:lang w:eastAsia="en-GB"/>
              </w:rPr>
            </w:pPr>
            <w:r w:rsidRPr="00031EB4">
              <w:rPr>
                <w:rFonts w:ascii="Times New Roman" w:eastAsia="Times New Roman" w:hAnsi="Times New Roman" w:cs="Times New Roman"/>
                <w:b/>
                <w:bCs/>
                <w:sz w:val="16"/>
                <w:szCs w:val="16"/>
                <w:lang w:eastAsia="en-GB"/>
              </w:rPr>
              <w:t> </w:t>
            </w:r>
          </w:p>
        </w:tc>
        <w:tc>
          <w:tcPr>
            <w:tcW w:w="283" w:type="dxa"/>
            <w:tcBorders>
              <w:top w:val="single" w:sz="8" w:space="0" w:color="auto"/>
              <w:left w:val="nil"/>
              <w:bottom w:val="single" w:sz="4" w:space="0" w:color="auto"/>
              <w:right w:val="nil"/>
            </w:tcBorders>
            <w:shd w:val="clear" w:color="auto" w:fill="auto"/>
            <w:noWrap/>
            <w:vAlign w:val="bottom"/>
            <w:hideMark/>
          </w:tcPr>
          <w:p w14:paraId="77D0A3BC" w14:textId="77777777" w:rsidR="002E2937" w:rsidRPr="00031EB4" w:rsidRDefault="002E2937" w:rsidP="00E22714">
            <w:pPr>
              <w:spacing w:after="0" w:line="240" w:lineRule="auto"/>
              <w:rPr>
                <w:rFonts w:ascii="Times New Roman" w:eastAsia="Times New Roman" w:hAnsi="Times New Roman" w:cs="Times New Roman"/>
                <w:b/>
                <w:bCs/>
                <w:sz w:val="16"/>
                <w:szCs w:val="16"/>
                <w:lang w:eastAsia="en-GB"/>
              </w:rPr>
            </w:pPr>
            <w:r w:rsidRPr="00031EB4">
              <w:rPr>
                <w:rFonts w:ascii="Times New Roman" w:eastAsia="Times New Roman" w:hAnsi="Times New Roman" w:cs="Times New Roman"/>
                <w:b/>
                <w:bCs/>
                <w:sz w:val="16"/>
                <w:szCs w:val="16"/>
                <w:lang w:eastAsia="en-GB"/>
              </w:rPr>
              <w:t> </w:t>
            </w:r>
          </w:p>
        </w:tc>
        <w:tc>
          <w:tcPr>
            <w:tcW w:w="2054" w:type="dxa"/>
            <w:gridSpan w:val="3"/>
            <w:tcBorders>
              <w:top w:val="single" w:sz="8" w:space="0" w:color="auto"/>
              <w:left w:val="nil"/>
              <w:bottom w:val="single" w:sz="4" w:space="0" w:color="auto"/>
              <w:right w:val="nil"/>
            </w:tcBorders>
            <w:shd w:val="clear" w:color="auto" w:fill="auto"/>
            <w:noWrap/>
            <w:vAlign w:val="bottom"/>
            <w:hideMark/>
          </w:tcPr>
          <w:p w14:paraId="1A26509F" w14:textId="77777777" w:rsidR="002E2937" w:rsidRPr="00031EB4" w:rsidRDefault="002E2937" w:rsidP="00E22714">
            <w:pPr>
              <w:spacing w:after="0" w:line="240" w:lineRule="auto"/>
              <w:rPr>
                <w:rFonts w:ascii="Times New Roman" w:eastAsia="Times New Roman" w:hAnsi="Times New Roman" w:cs="Times New Roman"/>
                <w:b/>
                <w:bCs/>
                <w:sz w:val="16"/>
                <w:szCs w:val="16"/>
                <w:lang w:eastAsia="en-GB"/>
              </w:rPr>
            </w:pPr>
            <w:r w:rsidRPr="00031EB4">
              <w:rPr>
                <w:rFonts w:ascii="Times New Roman" w:eastAsia="Times New Roman" w:hAnsi="Times New Roman" w:cs="Times New Roman"/>
                <w:b/>
                <w:bCs/>
                <w:sz w:val="16"/>
                <w:szCs w:val="16"/>
                <w:lang w:eastAsia="en-GB"/>
              </w:rPr>
              <w:t>Combined</w:t>
            </w:r>
          </w:p>
        </w:tc>
        <w:tc>
          <w:tcPr>
            <w:tcW w:w="284" w:type="dxa"/>
            <w:tcBorders>
              <w:top w:val="single" w:sz="8" w:space="0" w:color="auto"/>
              <w:left w:val="nil"/>
              <w:bottom w:val="single" w:sz="4" w:space="0" w:color="auto"/>
              <w:right w:val="nil"/>
            </w:tcBorders>
            <w:shd w:val="clear" w:color="auto" w:fill="auto"/>
            <w:noWrap/>
            <w:vAlign w:val="bottom"/>
            <w:hideMark/>
          </w:tcPr>
          <w:p w14:paraId="4AEF97D6" w14:textId="77777777" w:rsidR="002E2937" w:rsidRPr="00031EB4" w:rsidRDefault="002E2937" w:rsidP="00E22714">
            <w:pPr>
              <w:spacing w:after="0" w:line="240" w:lineRule="auto"/>
              <w:rPr>
                <w:rFonts w:ascii="Times New Roman" w:eastAsia="Times New Roman" w:hAnsi="Times New Roman" w:cs="Times New Roman"/>
                <w:b/>
                <w:bCs/>
                <w:sz w:val="16"/>
                <w:szCs w:val="16"/>
                <w:lang w:eastAsia="en-GB"/>
              </w:rPr>
            </w:pPr>
            <w:r w:rsidRPr="00031EB4">
              <w:rPr>
                <w:rFonts w:ascii="Times New Roman" w:eastAsia="Times New Roman" w:hAnsi="Times New Roman" w:cs="Times New Roman"/>
                <w:b/>
                <w:bCs/>
                <w:sz w:val="16"/>
                <w:szCs w:val="16"/>
                <w:lang w:eastAsia="en-GB"/>
              </w:rPr>
              <w:t> </w:t>
            </w:r>
          </w:p>
        </w:tc>
        <w:tc>
          <w:tcPr>
            <w:tcW w:w="940" w:type="dxa"/>
            <w:tcBorders>
              <w:top w:val="single" w:sz="8" w:space="0" w:color="auto"/>
              <w:left w:val="nil"/>
              <w:bottom w:val="single" w:sz="4" w:space="0" w:color="auto"/>
              <w:right w:val="nil"/>
            </w:tcBorders>
            <w:shd w:val="clear" w:color="auto" w:fill="auto"/>
            <w:noWrap/>
            <w:vAlign w:val="bottom"/>
            <w:hideMark/>
          </w:tcPr>
          <w:p w14:paraId="64A0CFCC" w14:textId="77777777" w:rsidR="002E2937" w:rsidRPr="00031EB4" w:rsidRDefault="002E2937" w:rsidP="00E22714">
            <w:pPr>
              <w:spacing w:after="0" w:line="240" w:lineRule="auto"/>
              <w:rPr>
                <w:rFonts w:ascii="Times New Roman" w:eastAsia="Times New Roman" w:hAnsi="Times New Roman" w:cs="Times New Roman"/>
                <w:b/>
                <w:bCs/>
                <w:sz w:val="16"/>
                <w:szCs w:val="16"/>
                <w:lang w:eastAsia="en-GB"/>
              </w:rPr>
            </w:pPr>
            <w:r w:rsidRPr="00031EB4">
              <w:rPr>
                <w:rFonts w:ascii="Times New Roman" w:eastAsia="Times New Roman" w:hAnsi="Times New Roman" w:cs="Times New Roman"/>
                <w:b/>
                <w:bCs/>
                <w:sz w:val="16"/>
                <w:szCs w:val="16"/>
                <w:lang w:eastAsia="en-GB"/>
              </w:rPr>
              <w:t> </w:t>
            </w:r>
          </w:p>
        </w:tc>
        <w:tc>
          <w:tcPr>
            <w:tcW w:w="283" w:type="dxa"/>
            <w:tcBorders>
              <w:top w:val="single" w:sz="8" w:space="0" w:color="auto"/>
              <w:left w:val="nil"/>
              <w:bottom w:val="single" w:sz="4" w:space="0" w:color="auto"/>
              <w:right w:val="single" w:sz="8" w:space="0" w:color="auto"/>
            </w:tcBorders>
            <w:shd w:val="clear" w:color="auto" w:fill="auto"/>
            <w:noWrap/>
            <w:vAlign w:val="bottom"/>
            <w:hideMark/>
          </w:tcPr>
          <w:p w14:paraId="0850A3E6"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 </w:t>
            </w:r>
          </w:p>
        </w:tc>
      </w:tr>
      <w:tr w:rsidR="007405AE" w:rsidRPr="00031EB4" w14:paraId="3B241AA8" w14:textId="77777777" w:rsidTr="00E22714">
        <w:trPr>
          <w:trHeight w:val="288"/>
          <w:jc w:val="center"/>
        </w:trPr>
        <w:tc>
          <w:tcPr>
            <w:tcW w:w="960" w:type="dxa"/>
            <w:tcBorders>
              <w:top w:val="nil"/>
              <w:left w:val="single" w:sz="8" w:space="0" w:color="auto"/>
              <w:bottom w:val="nil"/>
              <w:right w:val="nil"/>
            </w:tcBorders>
            <w:shd w:val="clear" w:color="auto" w:fill="auto"/>
            <w:noWrap/>
            <w:vAlign w:val="bottom"/>
            <w:hideMark/>
          </w:tcPr>
          <w:p w14:paraId="26EF0D74"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2010</w:t>
            </w:r>
          </w:p>
        </w:tc>
        <w:tc>
          <w:tcPr>
            <w:tcW w:w="960" w:type="dxa"/>
            <w:tcBorders>
              <w:top w:val="nil"/>
              <w:left w:val="nil"/>
              <w:bottom w:val="nil"/>
              <w:right w:val="nil"/>
            </w:tcBorders>
            <w:shd w:val="clear" w:color="auto" w:fill="auto"/>
            <w:noWrap/>
            <w:vAlign w:val="bottom"/>
            <w:hideMark/>
          </w:tcPr>
          <w:p w14:paraId="3BE3DBBB"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50</w:t>
            </w:r>
          </w:p>
        </w:tc>
        <w:tc>
          <w:tcPr>
            <w:tcW w:w="831" w:type="dxa"/>
            <w:tcBorders>
              <w:top w:val="nil"/>
              <w:left w:val="nil"/>
              <w:bottom w:val="nil"/>
              <w:right w:val="nil"/>
            </w:tcBorders>
            <w:shd w:val="clear" w:color="auto" w:fill="auto"/>
            <w:noWrap/>
            <w:vAlign w:val="bottom"/>
            <w:hideMark/>
          </w:tcPr>
          <w:p w14:paraId="2F715E71"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-554</w:t>
            </w:r>
          </w:p>
        </w:tc>
        <w:tc>
          <w:tcPr>
            <w:tcW w:w="283" w:type="dxa"/>
            <w:tcBorders>
              <w:top w:val="nil"/>
              <w:left w:val="nil"/>
              <w:bottom w:val="nil"/>
              <w:right w:val="nil"/>
            </w:tcBorders>
            <w:shd w:val="clear" w:color="auto" w:fill="auto"/>
            <w:noWrap/>
            <w:vAlign w:val="bottom"/>
            <w:hideMark/>
          </w:tcPr>
          <w:p w14:paraId="2B40CFCC"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7070882B"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19,094</w:t>
            </w:r>
          </w:p>
        </w:tc>
        <w:tc>
          <w:tcPr>
            <w:tcW w:w="284" w:type="dxa"/>
            <w:tcBorders>
              <w:top w:val="nil"/>
              <w:left w:val="nil"/>
              <w:bottom w:val="nil"/>
              <w:right w:val="nil"/>
            </w:tcBorders>
            <w:shd w:val="clear" w:color="auto" w:fill="auto"/>
            <w:noWrap/>
            <w:vAlign w:val="bottom"/>
            <w:hideMark/>
          </w:tcPr>
          <w:p w14:paraId="2824C944"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264A020F"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19,648</w:t>
            </w:r>
          </w:p>
        </w:tc>
        <w:tc>
          <w:tcPr>
            <w:tcW w:w="283" w:type="dxa"/>
            <w:tcBorders>
              <w:top w:val="nil"/>
              <w:left w:val="nil"/>
              <w:bottom w:val="nil"/>
              <w:right w:val="nil"/>
            </w:tcBorders>
            <w:shd w:val="clear" w:color="auto" w:fill="auto"/>
            <w:noWrap/>
            <w:vAlign w:val="bottom"/>
            <w:hideMark/>
          </w:tcPr>
          <w:p w14:paraId="003DB073"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888" w:type="dxa"/>
            <w:tcBorders>
              <w:top w:val="nil"/>
              <w:left w:val="nil"/>
              <w:bottom w:val="nil"/>
              <w:right w:val="nil"/>
            </w:tcBorders>
            <w:shd w:val="clear" w:color="auto" w:fill="auto"/>
            <w:noWrap/>
            <w:vAlign w:val="bottom"/>
            <w:hideMark/>
          </w:tcPr>
          <w:p w14:paraId="59A6EBB1"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-206</w:t>
            </w:r>
          </w:p>
        </w:tc>
        <w:tc>
          <w:tcPr>
            <w:tcW w:w="284" w:type="dxa"/>
            <w:tcBorders>
              <w:top w:val="nil"/>
              <w:left w:val="nil"/>
              <w:bottom w:val="nil"/>
              <w:right w:val="nil"/>
            </w:tcBorders>
            <w:shd w:val="clear" w:color="auto" w:fill="auto"/>
            <w:noWrap/>
            <w:vAlign w:val="bottom"/>
            <w:hideMark/>
          </w:tcPr>
          <w:p w14:paraId="73ACBCD1"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44D48C25"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11,786</w:t>
            </w:r>
          </w:p>
        </w:tc>
        <w:tc>
          <w:tcPr>
            <w:tcW w:w="284" w:type="dxa"/>
            <w:tcBorders>
              <w:top w:val="nil"/>
              <w:left w:val="nil"/>
              <w:bottom w:val="nil"/>
              <w:right w:val="nil"/>
            </w:tcBorders>
            <w:shd w:val="clear" w:color="auto" w:fill="auto"/>
            <w:noWrap/>
            <w:vAlign w:val="bottom"/>
            <w:hideMark/>
          </w:tcPr>
          <w:p w14:paraId="291148C6"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1721ABE6"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11,992</w:t>
            </w:r>
          </w:p>
        </w:tc>
        <w:tc>
          <w:tcPr>
            <w:tcW w:w="283" w:type="dxa"/>
            <w:tcBorders>
              <w:top w:val="nil"/>
              <w:left w:val="nil"/>
              <w:bottom w:val="nil"/>
              <w:right w:val="nil"/>
            </w:tcBorders>
            <w:shd w:val="clear" w:color="auto" w:fill="auto"/>
            <w:noWrap/>
            <w:vAlign w:val="bottom"/>
            <w:hideMark/>
          </w:tcPr>
          <w:p w14:paraId="01CC537A"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831" w:type="dxa"/>
            <w:tcBorders>
              <w:top w:val="nil"/>
              <w:left w:val="nil"/>
              <w:bottom w:val="nil"/>
              <w:right w:val="nil"/>
            </w:tcBorders>
            <w:shd w:val="clear" w:color="auto" w:fill="auto"/>
            <w:noWrap/>
            <w:vAlign w:val="bottom"/>
            <w:hideMark/>
          </w:tcPr>
          <w:p w14:paraId="16AB1649"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-760</w:t>
            </w:r>
          </w:p>
        </w:tc>
        <w:tc>
          <w:tcPr>
            <w:tcW w:w="283" w:type="dxa"/>
            <w:tcBorders>
              <w:top w:val="nil"/>
              <w:left w:val="nil"/>
              <w:bottom w:val="nil"/>
              <w:right w:val="nil"/>
            </w:tcBorders>
            <w:shd w:val="clear" w:color="auto" w:fill="auto"/>
            <w:noWrap/>
            <w:vAlign w:val="bottom"/>
            <w:hideMark/>
          </w:tcPr>
          <w:p w14:paraId="3C82B362"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7D287E4E"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30,880</w:t>
            </w:r>
          </w:p>
        </w:tc>
        <w:tc>
          <w:tcPr>
            <w:tcW w:w="284" w:type="dxa"/>
            <w:tcBorders>
              <w:top w:val="nil"/>
              <w:left w:val="nil"/>
              <w:bottom w:val="nil"/>
              <w:right w:val="nil"/>
            </w:tcBorders>
            <w:shd w:val="clear" w:color="auto" w:fill="auto"/>
            <w:noWrap/>
            <w:vAlign w:val="bottom"/>
            <w:hideMark/>
          </w:tcPr>
          <w:p w14:paraId="15827006"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4810490E"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31,640</w:t>
            </w:r>
          </w:p>
        </w:tc>
        <w:tc>
          <w:tcPr>
            <w:tcW w:w="283" w:type="dxa"/>
            <w:tcBorders>
              <w:top w:val="nil"/>
              <w:left w:val="nil"/>
              <w:bottom w:val="nil"/>
              <w:right w:val="single" w:sz="8" w:space="0" w:color="auto"/>
            </w:tcBorders>
            <w:shd w:val="clear" w:color="auto" w:fill="auto"/>
            <w:noWrap/>
            <w:vAlign w:val="bottom"/>
            <w:hideMark/>
          </w:tcPr>
          <w:p w14:paraId="33CF84BD"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r>
      <w:tr w:rsidR="007405AE" w:rsidRPr="00031EB4" w14:paraId="6F900FF5" w14:textId="77777777" w:rsidTr="00E22714">
        <w:trPr>
          <w:trHeight w:val="288"/>
          <w:jc w:val="center"/>
        </w:trPr>
        <w:tc>
          <w:tcPr>
            <w:tcW w:w="960" w:type="dxa"/>
            <w:tcBorders>
              <w:top w:val="nil"/>
              <w:left w:val="single" w:sz="8" w:space="0" w:color="auto"/>
              <w:bottom w:val="nil"/>
              <w:right w:val="nil"/>
            </w:tcBorders>
            <w:shd w:val="clear" w:color="auto" w:fill="auto"/>
            <w:noWrap/>
            <w:vAlign w:val="bottom"/>
            <w:hideMark/>
          </w:tcPr>
          <w:p w14:paraId="731F6A42"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 </w:t>
            </w:r>
          </w:p>
        </w:tc>
        <w:tc>
          <w:tcPr>
            <w:tcW w:w="960" w:type="dxa"/>
            <w:tcBorders>
              <w:top w:val="nil"/>
              <w:left w:val="nil"/>
              <w:bottom w:val="nil"/>
              <w:right w:val="nil"/>
            </w:tcBorders>
            <w:shd w:val="clear" w:color="auto" w:fill="auto"/>
            <w:noWrap/>
            <w:vAlign w:val="bottom"/>
            <w:hideMark/>
          </w:tcPr>
          <w:p w14:paraId="173C4DE8"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70</w:t>
            </w:r>
          </w:p>
        </w:tc>
        <w:tc>
          <w:tcPr>
            <w:tcW w:w="831" w:type="dxa"/>
            <w:tcBorders>
              <w:top w:val="nil"/>
              <w:left w:val="nil"/>
              <w:bottom w:val="nil"/>
              <w:right w:val="nil"/>
            </w:tcBorders>
            <w:shd w:val="clear" w:color="auto" w:fill="auto"/>
            <w:noWrap/>
            <w:vAlign w:val="bottom"/>
            <w:hideMark/>
          </w:tcPr>
          <w:p w14:paraId="7F856E5B" w14:textId="77777777" w:rsidR="002E2937" w:rsidRPr="00031EB4" w:rsidRDefault="002E2937" w:rsidP="00E22714">
            <w:pPr>
              <w:spacing w:after="0" w:line="240" w:lineRule="auto"/>
              <w:jc w:val="right"/>
              <w:rPr>
                <w:rFonts w:ascii="Times New Roman" w:eastAsia="Times New Roman" w:hAnsi="Times New Roman" w:cs="Times New Roman"/>
                <w:b/>
                <w:bCs/>
                <w:sz w:val="16"/>
                <w:szCs w:val="16"/>
                <w:lang w:eastAsia="en-GB"/>
              </w:rPr>
            </w:pPr>
            <w:r w:rsidRPr="00031EB4">
              <w:rPr>
                <w:rFonts w:ascii="Times New Roman" w:eastAsia="Times New Roman" w:hAnsi="Times New Roman" w:cs="Times New Roman"/>
                <w:b/>
                <w:bCs/>
                <w:sz w:val="16"/>
                <w:szCs w:val="16"/>
                <w:lang w:eastAsia="en-GB"/>
              </w:rPr>
              <w:t>111</w:t>
            </w:r>
          </w:p>
        </w:tc>
        <w:tc>
          <w:tcPr>
            <w:tcW w:w="283" w:type="dxa"/>
            <w:tcBorders>
              <w:top w:val="nil"/>
              <w:left w:val="nil"/>
              <w:bottom w:val="nil"/>
              <w:right w:val="nil"/>
            </w:tcBorders>
            <w:shd w:val="clear" w:color="auto" w:fill="auto"/>
            <w:noWrap/>
            <w:vAlign w:val="bottom"/>
            <w:hideMark/>
          </w:tcPr>
          <w:p w14:paraId="3CE7984A"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1BCA12D8"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75,811</w:t>
            </w:r>
          </w:p>
        </w:tc>
        <w:tc>
          <w:tcPr>
            <w:tcW w:w="284" w:type="dxa"/>
            <w:tcBorders>
              <w:top w:val="nil"/>
              <w:left w:val="nil"/>
              <w:bottom w:val="nil"/>
              <w:right w:val="nil"/>
            </w:tcBorders>
            <w:shd w:val="clear" w:color="auto" w:fill="auto"/>
            <w:noWrap/>
            <w:vAlign w:val="bottom"/>
            <w:hideMark/>
          </w:tcPr>
          <w:p w14:paraId="3241B8A5"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1E55530E"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75,700</w:t>
            </w:r>
          </w:p>
        </w:tc>
        <w:tc>
          <w:tcPr>
            <w:tcW w:w="283" w:type="dxa"/>
            <w:tcBorders>
              <w:top w:val="nil"/>
              <w:left w:val="nil"/>
              <w:bottom w:val="nil"/>
              <w:right w:val="nil"/>
            </w:tcBorders>
            <w:shd w:val="clear" w:color="auto" w:fill="auto"/>
            <w:noWrap/>
            <w:vAlign w:val="bottom"/>
            <w:hideMark/>
          </w:tcPr>
          <w:p w14:paraId="4A601401"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888" w:type="dxa"/>
            <w:tcBorders>
              <w:top w:val="nil"/>
              <w:left w:val="nil"/>
              <w:bottom w:val="nil"/>
              <w:right w:val="nil"/>
            </w:tcBorders>
            <w:shd w:val="clear" w:color="auto" w:fill="auto"/>
            <w:noWrap/>
            <w:vAlign w:val="bottom"/>
            <w:hideMark/>
          </w:tcPr>
          <w:p w14:paraId="62EC54FC" w14:textId="77777777" w:rsidR="002E2937" w:rsidRPr="00031EB4" w:rsidRDefault="002E2937" w:rsidP="00E22714">
            <w:pPr>
              <w:spacing w:after="0" w:line="240" w:lineRule="auto"/>
              <w:jc w:val="right"/>
              <w:rPr>
                <w:rFonts w:ascii="Times New Roman" w:eastAsia="Times New Roman" w:hAnsi="Times New Roman" w:cs="Times New Roman"/>
                <w:b/>
                <w:bCs/>
                <w:sz w:val="16"/>
                <w:szCs w:val="16"/>
                <w:lang w:eastAsia="en-GB"/>
              </w:rPr>
            </w:pPr>
            <w:r w:rsidRPr="00031EB4">
              <w:rPr>
                <w:rFonts w:ascii="Times New Roman" w:eastAsia="Times New Roman" w:hAnsi="Times New Roman" w:cs="Times New Roman"/>
                <w:b/>
                <w:bCs/>
                <w:sz w:val="16"/>
                <w:szCs w:val="16"/>
                <w:lang w:eastAsia="en-GB"/>
              </w:rPr>
              <w:t>210</w:t>
            </w:r>
          </w:p>
        </w:tc>
        <w:tc>
          <w:tcPr>
            <w:tcW w:w="284" w:type="dxa"/>
            <w:tcBorders>
              <w:top w:val="nil"/>
              <w:left w:val="nil"/>
              <w:bottom w:val="nil"/>
              <w:right w:val="nil"/>
            </w:tcBorders>
            <w:shd w:val="clear" w:color="auto" w:fill="auto"/>
            <w:noWrap/>
            <w:vAlign w:val="bottom"/>
            <w:hideMark/>
          </w:tcPr>
          <w:p w14:paraId="1F853399"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54192536"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49,994</w:t>
            </w:r>
          </w:p>
        </w:tc>
        <w:tc>
          <w:tcPr>
            <w:tcW w:w="284" w:type="dxa"/>
            <w:tcBorders>
              <w:top w:val="nil"/>
              <w:left w:val="nil"/>
              <w:bottom w:val="nil"/>
              <w:right w:val="nil"/>
            </w:tcBorders>
            <w:shd w:val="clear" w:color="auto" w:fill="auto"/>
            <w:noWrap/>
            <w:vAlign w:val="bottom"/>
            <w:hideMark/>
          </w:tcPr>
          <w:p w14:paraId="63B55E09"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3FE55BCE"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49,784</w:t>
            </w:r>
          </w:p>
        </w:tc>
        <w:tc>
          <w:tcPr>
            <w:tcW w:w="283" w:type="dxa"/>
            <w:tcBorders>
              <w:top w:val="nil"/>
              <w:left w:val="nil"/>
              <w:bottom w:val="nil"/>
              <w:right w:val="nil"/>
            </w:tcBorders>
            <w:shd w:val="clear" w:color="auto" w:fill="auto"/>
            <w:noWrap/>
            <w:vAlign w:val="bottom"/>
            <w:hideMark/>
          </w:tcPr>
          <w:p w14:paraId="5CFFD430"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831" w:type="dxa"/>
            <w:tcBorders>
              <w:top w:val="nil"/>
              <w:left w:val="nil"/>
              <w:bottom w:val="nil"/>
              <w:right w:val="nil"/>
            </w:tcBorders>
            <w:shd w:val="clear" w:color="auto" w:fill="auto"/>
            <w:noWrap/>
            <w:vAlign w:val="bottom"/>
            <w:hideMark/>
          </w:tcPr>
          <w:p w14:paraId="5D7C13EC" w14:textId="77777777" w:rsidR="002E2937" w:rsidRPr="00031EB4" w:rsidRDefault="002E2937" w:rsidP="00E22714">
            <w:pPr>
              <w:spacing w:after="0" w:line="240" w:lineRule="auto"/>
              <w:jc w:val="right"/>
              <w:rPr>
                <w:rFonts w:ascii="Times New Roman" w:eastAsia="Times New Roman" w:hAnsi="Times New Roman" w:cs="Times New Roman"/>
                <w:b/>
                <w:bCs/>
                <w:sz w:val="16"/>
                <w:szCs w:val="16"/>
                <w:lang w:eastAsia="en-GB"/>
              </w:rPr>
            </w:pPr>
            <w:r w:rsidRPr="00031EB4">
              <w:rPr>
                <w:rFonts w:ascii="Times New Roman" w:eastAsia="Times New Roman" w:hAnsi="Times New Roman" w:cs="Times New Roman"/>
                <w:b/>
                <w:bCs/>
                <w:sz w:val="16"/>
                <w:szCs w:val="16"/>
                <w:lang w:eastAsia="en-GB"/>
              </w:rPr>
              <w:t>321</w:t>
            </w:r>
          </w:p>
        </w:tc>
        <w:tc>
          <w:tcPr>
            <w:tcW w:w="283" w:type="dxa"/>
            <w:tcBorders>
              <w:top w:val="nil"/>
              <w:left w:val="nil"/>
              <w:bottom w:val="nil"/>
              <w:right w:val="nil"/>
            </w:tcBorders>
            <w:shd w:val="clear" w:color="auto" w:fill="auto"/>
            <w:noWrap/>
            <w:vAlign w:val="bottom"/>
            <w:hideMark/>
          </w:tcPr>
          <w:p w14:paraId="7C152071"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518A9BD7"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125,805</w:t>
            </w:r>
          </w:p>
        </w:tc>
        <w:tc>
          <w:tcPr>
            <w:tcW w:w="284" w:type="dxa"/>
            <w:tcBorders>
              <w:top w:val="nil"/>
              <w:left w:val="nil"/>
              <w:bottom w:val="nil"/>
              <w:right w:val="nil"/>
            </w:tcBorders>
            <w:shd w:val="clear" w:color="auto" w:fill="auto"/>
            <w:noWrap/>
            <w:vAlign w:val="bottom"/>
            <w:hideMark/>
          </w:tcPr>
          <w:p w14:paraId="4D896CA2"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2C19616A"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125,484</w:t>
            </w:r>
          </w:p>
        </w:tc>
        <w:tc>
          <w:tcPr>
            <w:tcW w:w="283" w:type="dxa"/>
            <w:tcBorders>
              <w:top w:val="nil"/>
              <w:left w:val="nil"/>
              <w:bottom w:val="nil"/>
              <w:right w:val="single" w:sz="8" w:space="0" w:color="auto"/>
            </w:tcBorders>
            <w:shd w:val="clear" w:color="auto" w:fill="auto"/>
            <w:noWrap/>
            <w:vAlign w:val="bottom"/>
            <w:hideMark/>
          </w:tcPr>
          <w:p w14:paraId="64BADBD3"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r>
      <w:tr w:rsidR="007405AE" w:rsidRPr="00031EB4" w14:paraId="33A5A60F" w14:textId="77777777" w:rsidTr="00E22714">
        <w:trPr>
          <w:trHeight w:val="300"/>
          <w:jc w:val="center"/>
        </w:trPr>
        <w:tc>
          <w:tcPr>
            <w:tcW w:w="960" w:type="dxa"/>
            <w:tcBorders>
              <w:top w:val="nil"/>
              <w:left w:val="single" w:sz="8" w:space="0" w:color="auto"/>
              <w:bottom w:val="single" w:sz="4" w:space="0" w:color="auto"/>
              <w:right w:val="nil"/>
            </w:tcBorders>
            <w:shd w:val="clear" w:color="auto" w:fill="auto"/>
            <w:noWrap/>
            <w:vAlign w:val="bottom"/>
            <w:hideMark/>
          </w:tcPr>
          <w:p w14:paraId="04C10FD6" w14:textId="5D86E60E" w:rsidR="002E2937" w:rsidRPr="00031EB4" w:rsidRDefault="002E2937" w:rsidP="00E22714">
            <w:pPr>
              <w:spacing w:after="0" w:line="240" w:lineRule="auto"/>
              <w:rPr>
                <w:rFonts w:ascii="Times New Roman" w:eastAsia="Times New Roman" w:hAnsi="Times New Roman" w:cs="Times New Roman"/>
                <w:sz w:val="16"/>
                <w:szCs w:val="16"/>
                <w:lang w:eastAsia="en-GB"/>
              </w:rPr>
            </w:pPr>
          </w:p>
        </w:tc>
        <w:tc>
          <w:tcPr>
            <w:tcW w:w="960" w:type="dxa"/>
            <w:tcBorders>
              <w:top w:val="nil"/>
              <w:left w:val="nil"/>
              <w:bottom w:val="single" w:sz="4" w:space="0" w:color="auto"/>
              <w:right w:val="nil"/>
            </w:tcBorders>
            <w:shd w:val="clear" w:color="auto" w:fill="auto"/>
            <w:noWrap/>
            <w:vAlign w:val="bottom"/>
            <w:hideMark/>
          </w:tcPr>
          <w:p w14:paraId="7D893285"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89</w:t>
            </w:r>
          </w:p>
        </w:tc>
        <w:tc>
          <w:tcPr>
            <w:tcW w:w="831" w:type="dxa"/>
            <w:tcBorders>
              <w:top w:val="nil"/>
              <w:left w:val="nil"/>
              <w:bottom w:val="single" w:sz="4" w:space="0" w:color="auto"/>
              <w:right w:val="nil"/>
            </w:tcBorders>
            <w:shd w:val="clear" w:color="auto" w:fill="auto"/>
            <w:noWrap/>
            <w:vAlign w:val="bottom"/>
            <w:hideMark/>
          </w:tcPr>
          <w:p w14:paraId="136417D9"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-113</w:t>
            </w:r>
          </w:p>
        </w:tc>
        <w:tc>
          <w:tcPr>
            <w:tcW w:w="283" w:type="dxa"/>
            <w:tcBorders>
              <w:top w:val="nil"/>
              <w:left w:val="nil"/>
              <w:bottom w:val="single" w:sz="4" w:space="0" w:color="auto"/>
              <w:right w:val="nil"/>
            </w:tcBorders>
            <w:shd w:val="clear" w:color="auto" w:fill="auto"/>
            <w:noWrap/>
            <w:vAlign w:val="bottom"/>
            <w:hideMark/>
          </w:tcPr>
          <w:p w14:paraId="01F3994E"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single" w:sz="4" w:space="0" w:color="auto"/>
              <w:right w:val="nil"/>
            </w:tcBorders>
            <w:shd w:val="clear" w:color="auto" w:fill="auto"/>
            <w:noWrap/>
            <w:vAlign w:val="bottom"/>
            <w:hideMark/>
          </w:tcPr>
          <w:p w14:paraId="794D0506"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212,724</w:t>
            </w:r>
          </w:p>
        </w:tc>
        <w:tc>
          <w:tcPr>
            <w:tcW w:w="284" w:type="dxa"/>
            <w:tcBorders>
              <w:top w:val="nil"/>
              <w:left w:val="nil"/>
              <w:bottom w:val="single" w:sz="4" w:space="0" w:color="auto"/>
              <w:right w:val="nil"/>
            </w:tcBorders>
            <w:shd w:val="clear" w:color="auto" w:fill="auto"/>
            <w:noWrap/>
            <w:vAlign w:val="bottom"/>
            <w:hideMark/>
          </w:tcPr>
          <w:p w14:paraId="1AC6A029"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single" w:sz="4" w:space="0" w:color="auto"/>
              <w:right w:val="nil"/>
            </w:tcBorders>
            <w:shd w:val="clear" w:color="auto" w:fill="auto"/>
            <w:noWrap/>
            <w:vAlign w:val="bottom"/>
            <w:hideMark/>
          </w:tcPr>
          <w:p w14:paraId="50FAFB5E"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212,837</w:t>
            </w:r>
          </w:p>
        </w:tc>
        <w:tc>
          <w:tcPr>
            <w:tcW w:w="283" w:type="dxa"/>
            <w:tcBorders>
              <w:top w:val="nil"/>
              <w:left w:val="nil"/>
              <w:bottom w:val="single" w:sz="4" w:space="0" w:color="auto"/>
              <w:right w:val="nil"/>
            </w:tcBorders>
            <w:shd w:val="clear" w:color="auto" w:fill="auto"/>
            <w:noWrap/>
            <w:vAlign w:val="bottom"/>
            <w:hideMark/>
          </w:tcPr>
          <w:p w14:paraId="478A2103"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888" w:type="dxa"/>
            <w:tcBorders>
              <w:top w:val="nil"/>
              <w:left w:val="nil"/>
              <w:bottom w:val="single" w:sz="4" w:space="0" w:color="auto"/>
              <w:right w:val="nil"/>
            </w:tcBorders>
            <w:shd w:val="clear" w:color="auto" w:fill="auto"/>
            <w:noWrap/>
            <w:vAlign w:val="bottom"/>
            <w:hideMark/>
          </w:tcPr>
          <w:p w14:paraId="19213E18"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-1,795</w:t>
            </w:r>
          </w:p>
        </w:tc>
        <w:tc>
          <w:tcPr>
            <w:tcW w:w="284" w:type="dxa"/>
            <w:tcBorders>
              <w:top w:val="nil"/>
              <w:left w:val="nil"/>
              <w:bottom w:val="single" w:sz="4" w:space="0" w:color="auto"/>
              <w:right w:val="nil"/>
            </w:tcBorders>
            <w:shd w:val="clear" w:color="auto" w:fill="auto"/>
            <w:noWrap/>
            <w:vAlign w:val="bottom"/>
            <w:hideMark/>
          </w:tcPr>
          <w:p w14:paraId="2B57D591"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single" w:sz="4" w:space="0" w:color="auto"/>
              <w:right w:val="nil"/>
            </w:tcBorders>
            <w:shd w:val="clear" w:color="auto" w:fill="auto"/>
            <w:noWrap/>
            <w:vAlign w:val="bottom"/>
            <w:hideMark/>
          </w:tcPr>
          <w:p w14:paraId="63A8F404"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192,910</w:t>
            </w:r>
          </w:p>
        </w:tc>
        <w:tc>
          <w:tcPr>
            <w:tcW w:w="284" w:type="dxa"/>
            <w:tcBorders>
              <w:top w:val="nil"/>
              <w:left w:val="nil"/>
              <w:bottom w:val="single" w:sz="4" w:space="0" w:color="auto"/>
              <w:right w:val="nil"/>
            </w:tcBorders>
            <w:shd w:val="clear" w:color="auto" w:fill="auto"/>
            <w:noWrap/>
            <w:vAlign w:val="bottom"/>
            <w:hideMark/>
          </w:tcPr>
          <w:p w14:paraId="63A61D36"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single" w:sz="4" w:space="0" w:color="auto"/>
              <w:right w:val="nil"/>
            </w:tcBorders>
            <w:shd w:val="clear" w:color="auto" w:fill="auto"/>
            <w:noWrap/>
            <w:vAlign w:val="bottom"/>
            <w:hideMark/>
          </w:tcPr>
          <w:p w14:paraId="76BB7FB3"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194,705</w:t>
            </w:r>
          </w:p>
        </w:tc>
        <w:tc>
          <w:tcPr>
            <w:tcW w:w="283" w:type="dxa"/>
            <w:tcBorders>
              <w:top w:val="nil"/>
              <w:left w:val="nil"/>
              <w:bottom w:val="single" w:sz="4" w:space="0" w:color="auto"/>
              <w:right w:val="nil"/>
            </w:tcBorders>
            <w:shd w:val="clear" w:color="auto" w:fill="auto"/>
            <w:noWrap/>
            <w:vAlign w:val="bottom"/>
            <w:hideMark/>
          </w:tcPr>
          <w:p w14:paraId="121EE320"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831" w:type="dxa"/>
            <w:tcBorders>
              <w:top w:val="nil"/>
              <w:left w:val="nil"/>
              <w:bottom w:val="single" w:sz="4" w:space="0" w:color="auto"/>
              <w:right w:val="nil"/>
            </w:tcBorders>
            <w:shd w:val="clear" w:color="auto" w:fill="auto"/>
            <w:noWrap/>
            <w:vAlign w:val="bottom"/>
            <w:hideMark/>
          </w:tcPr>
          <w:p w14:paraId="45FC0815"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-1,908</w:t>
            </w:r>
          </w:p>
        </w:tc>
        <w:tc>
          <w:tcPr>
            <w:tcW w:w="283" w:type="dxa"/>
            <w:tcBorders>
              <w:top w:val="nil"/>
              <w:left w:val="nil"/>
              <w:bottom w:val="single" w:sz="4" w:space="0" w:color="auto"/>
              <w:right w:val="nil"/>
            </w:tcBorders>
            <w:shd w:val="clear" w:color="auto" w:fill="auto"/>
            <w:noWrap/>
            <w:vAlign w:val="bottom"/>
            <w:hideMark/>
          </w:tcPr>
          <w:p w14:paraId="70CEF614"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single" w:sz="4" w:space="0" w:color="auto"/>
              <w:right w:val="nil"/>
            </w:tcBorders>
            <w:shd w:val="clear" w:color="auto" w:fill="auto"/>
            <w:noWrap/>
            <w:vAlign w:val="bottom"/>
            <w:hideMark/>
          </w:tcPr>
          <w:p w14:paraId="4EC33F0C"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405,634</w:t>
            </w:r>
          </w:p>
        </w:tc>
        <w:tc>
          <w:tcPr>
            <w:tcW w:w="284" w:type="dxa"/>
            <w:tcBorders>
              <w:top w:val="nil"/>
              <w:left w:val="nil"/>
              <w:bottom w:val="single" w:sz="4" w:space="0" w:color="auto"/>
              <w:right w:val="nil"/>
            </w:tcBorders>
            <w:shd w:val="clear" w:color="auto" w:fill="auto"/>
            <w:noWrap/>
            <w:vAlign w:val="bottom"/>
            <w:hideMark/>
          </w:tcPr>
          <w:p w14:paraId="33568AD9"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single" w:sz="4" w:space="0" w:color="auto"/>
              <w:right w:val="nil"/>
            </w:tcBorders>
            <w:shd w:val="clear" w:color="auto" w:fill="auto"/>
            <w:noWrap/>
            <w:vAlign w:val="bottom"/>
            <w:hideMark/>
          </w:tcPr>
          <w:p w14:paraId="1A19785B"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407,542</w:t>
            </w:r>
          </w:p>
        </w:tc>
        <w:tc>
          <w:tcPr>
            <w:tcW w:w="283" w:type="dxa"/>
            <w:tcBorders>
              <w:top w:val="nil"/>
              <w:left w:val="nil"/>
              <w:bottom w:val="single" w:sz="4" w:space="0" w:color="auto"/>
              <w:right w:val="single" w:sz="8" w:space="0" w:color="auto"/>
            </w:tcBorders>
            <w:shd w:val="clear" w:color="auto" w:fill="auto"/>
            <w:noWrap/>
            <w:vAlign w:val="bottom"/>
            <w:hideMark/>
          </w:tcPr>
          <w:p w14:paraId="5E2B0683"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r>
      <w:tr w:rsidR="007405AE" w:rsidRPr="00031EB4" w14:paraId="53AB16D3" w14:textId="77777777" w:rsidTr="00E22714">
        <w:trPr>
          <w:trHeight w:val="288"/>
          <w:jc w:val="center"/>
        </w:trPr>
        <w:tc>
          <w:tcPr>
            <w:tcW w:w="960" w:type="dxa"/>
            <w:tcBorders>
              <w:top w:val="nil"/>
              <w:left w:val="single" w:sz="8" w:space="0" w:color="auto"/>
              <w:bottom w:val="nil"/>
              <w:right w:val="nil"/>
            </w:tcBorders>
            <w:shd w:val="clear" w:color="auto" w:fill="auto"/>
            <w:noWrap/>
            <w:vAlign w:val="bottom"/>
            <w:hideMark/>
          </w:tcPr>
          <w:p w14:paraId="74E05873"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2011</w:t>
            </w:r>
          </w:p>
        </w:tc>
        <w:tc>
          <w:tcPr>
            <w:tcW w:w="960" w:type="dxa"/>
            <w:tcBorders>
              <w:top w:val="nil"/>
              <w:left w:val="nil"/>
              <w:bottom w:val="nil"/>
              <w:right w:val="nil"/>
            </w:tcBorders>
            <w:shd w:val="clear" w:color="auto" w:fill="auto"/>
            <w:noWrap/>
            <w:vAlign w:val="bottom"/>
            <w:hideMark/>
          </w:tcPr>
          <w:p w14:paraId="5DAE2D29"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50</w:t>
            </w:r>
          </w:p>
        </w:tc>
        <w:tc>
          <w:tcPr>
            <w:tcW w:w="831" w:type="dxa"/>
            <w:tcBorders>
              <w:top w:val="nil"/>
              <w:left w:val="nil"/>
              <w:bottom w:val="nil"/>
              <w:right w:val="nil"/>
            </w:tcBorders>
            <w:shd w:val="clear" w:color="auto" w:fill="auto"/>
            <w:noWrap/>
            <w:vAlign w:val="bottom"/>
            <w:hideMark/>
          </w:tcPr>
          <w:p w14:paraId="7E07619F"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-998</w:t>
            </w:r>
          </w:p>
        </w:tc>
        <w:tc>
          <w:tcPr>
            <w:tcW w:w="283" w:type="dxa"/>
            <w:tcBorders>
              <w:top w:val="nil"/>
              <w:left w:val="nil"/>
              <w:bottom w:val="nil"/>
              <w:right w:val="nil"/>
            </w:tcBorders>
            <w:shd w:val="clear" w:color="auto" w:fill="auto"/>
            <w:noWrap/>
            <w:vAlign w:val="bottom"/>
            <w:hideMark/>
          </w:tcPr>
          <w:p w14:paraId="7C3907E5"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32F0D534"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18,455</w:t>
            </w:r>
          </w:p>
        </w:tc>
        <w:tc>
          <w:tcPr>
            <w:tcW w:w="284" w:type="dxa"/>
            <w:tcBorders>
              <w:top w:val="nil"/>
              <w:left w:val="nil"/>
              <w:bottom w:val="nil"/>
              <w:right w:val="nil"/>
            </w:tcBorders>
            <w:shd w:val="clear" w:color="auto" w:fill="auto"/>
            <w:noWrap/>
            <w:vAlign w:val="bottom"/>
            <w:hideMark/>
          </w:tcPr>
          <w:p w14:paraId="5C2FECDA"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359E538B"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19,453</w:t>
            </w:r>
          </w:p>
        </w:tc>
        <w:tc>
          <w:tcPr>
            <w:tcW w:w="283" w:type="dxa"/>
            <w:tcBorders>
              <w:top w:val="nil"/>
              <w:left w:val="nil"/>
              <w:bottom w:val="nil"/>
              <w:right w:val="nil"/>
            </w:tcBorders>
            <w:shd w:val="clear" w:color="auto" w:fill="auto"/>
            <w:noWrap/>
            <w:vAlign w:val="bottom"/>
            <w:hideMark/>
          </w:tcPr>
          <w:p w14:paraId="15F7C800"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888" w:type="dxa"/>
            <w:tcBorders>
              <w:top w:val="nil"/>
              <w:left w:val="nil"/>
              <w:bottom w:val="nil"/>
              <w:right w:val="nil"/>
            </w:tcBorders>
            <w:shd w:val="clear" w:color="auto" w:fill="auto"/>
            <w:noWrap/>
            <w:vAlign w:val="bottom"/>
            <w:hideMark/>
          </w:tcPr>
          <w:p w14:paraId="5DC06CEF"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-423</w:t>
            </w:r>
          </w:p>
        </w:tc>
        <w:tc>
          <w:tcPr>
            <w:tcW w:w="284" w:type="dxa"/>
            <w:tcBorders>
              <w:top w:val="nil"/>
              <w:left w:val="nil"/>
              <w:bottom w:val="nil"/>
              <w:right w:val="nil"/>
            </w:tcBorders>
            <w:shd w:val="clear" w:color="auto" w:fill="auto"/>
            <w:noWrap/>
            <w:vAlign w:val="bottom"/>
            <w:hideMark/>
          </w:tcPr>
          <w:p w14:paraId="3A1FEADC"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7581D22F"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11,460</w:t>
            </w:r>
          </w:p>
        </w:tc>
        <w:tc>
          <w:tcPr>
            <w:tcW w:w="284" w:type="dxa"/>
            <w:tcBorders>
              <w:top w:val="nil"/>
              <w:left w:val="nil"/>
              <w:bottom w:val="nil"/>
              <w:right w:val="nil"/>
            </w:tcBorders>
            <w:shd w:val="clear" w:color="auto" w:fill="auto"/>
            <w:noWrap/>
            <w:vAlign w:val="bottom"/>
            <w:hideMark/>
          </w:tcPr>
          <w:p w14:paraId="1069543B"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33D1185A"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11,883</w:t>
            </w:r>
          </w:p>
        </w:tc>
        <w:tc>
          <w:tcPr>
            <w:tcW w:w="283" w:type="dxa"/>
            <w:tcBorders>
              <w:top w:val="nil"/>
              <w:left w:val="nil"/>
              <w:bottom w:val="nil"/>
              <w:right w:val="nil"/>
            </w:tcBorders>
            <w:shd w:val="clear" w:color="auto" w:fill="auto"/>
            <w:noWrap/>
            <w:vAlign w:val="bottom"/>
            <w:hideMark/>
          </w:tcPr>
          <w:p w14:paraId="77A00205"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831" w:type="dxa"/>
            <w:tcBorders>
              <w:top w:val="nil"/>
              <w:left w:val="nil"/>
              <w:bottom w:val="nil"/>
              <w:right w:val="nil"/>
            </w:tcBorders>
            <w:shd w:val="clear" w:color="auto" w:fill="auto"/>
            <w:noWrap/>
            <w:vAlign w:val="bottom"/>
            <w:hideMark/>
          </w:tcPr>
          <w:p w14:paraId="507A650A"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-1,421</w:t>
            </w:r>
          </w:p>
        </w:tc>
        <w:tc>
          <w:tcPr>
            <w:tcW w:w="283" w:type="dxa"/>
            <w:tcBorders>
              <w:top w:val="nil"/>
              <w:left w:val="nil"/>
              <w:bottom w:val="nil"/>
              <w:right w:val="nil"/>
            </w:tcBorders>
            <w:shd w:val="clear" w:color="auto" w:fill="auto"/>
            <w:noWrap/>
            <w:vAlign w:val="bottom"/>
            <w:hideMark/>
          </w:tcPr>
          <w:p w14:paraId="028307C7"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77CE1A48"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29,915</w:t>
            </w:r>
          </w:p>
        </w:tc>
        <w:tc>
          <w:tcPr>
            <w:tcW w:w="284" w:type="dxa"/>
            <w:tcBorders>
              <w:top w:val="nil"/>
              <w:left w:val="nil"/>
              <w:bottom w:val="nil"/>
              <w:right w:val="nil"/>
            </w:tcBorders>
            <w:shd w:val="clear" w:color="auto" w:fill="auto"/>
            <w:noWrap/>
            <w:vAlign w:val="bottom"/>
            <w:hideMark/>
          </w:tcPr>
          <w:p w14:paraId="38D336D1"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19EAC7AB"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31,336</w:t>
            </w:r>
          </w:p>
        </w:tc>
        <w:tc>
          <w:tcPr>
            <w:tcW w:w="283" w:type="dxa"/>
            <w:tcBorders>
              <w:top w:val="nil"/>
              <w:left w:val="nil"/>
              <w:bottom w:val="nil"/>
              <w:right w:val="single" w:sz="8" w:space="0" w:color="auto"/>
            </w:tcBorders>
            <w:shd w:val="clear" w:color="auto" w:fill="auto"/>
            <w:noWrap/>
            <w:vAlign w:val="bottom"/>
            <w:hideMark/>
          </w:tcPr>
          <w:p w14:paraId="5EFAB97F"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r>
      <w:tr w:rsidR="007405AE" w:rsidRPr="00031EB4" w14:paraId="6317D592" w14:textId="77777777" w:rsidTr="00E22714">
        <w:trPr>
          <w:trHeight w:val="288"/>
          <w:jc w:val="center"/>
        </w:trPr>
        <w:tc>
          <w:tcPr>
            <w:tcW w:w="960" w:type="dxa"/>
            <w:tcBorders>
              <w:top w:val="nil"/>
              <w:left w:val="single" w:sz="8" w:space="0" w:color="auto"/>
              <w:bottom w:val="nil"/>
              <w:right w:val="nil"/>
            </w:tcBorders>
            <w:shd w:val="clear" w:color="auto" w:fill="auto"/>
            <w:noWrap/>
            <w:vAlign w:val="bottom"/>
            <w:hideMark/>
          </w:tcPr>
          <w:p w14:paraId="659786C0"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 </w:t>
            </w:r>
          </w:p>
        </w:tc>
        <w:tc>
          <w:tcPr>
            <w:tcW w:w="960" w:type="dxa"/>
            <w:tcBorders>
              <w:top w:val="nil"/>
              <w:left w:val="nil"/>
              <w:bottom w:val="nil"/>
              <w:right w:val="nil"/>
            </w:tcBorders>
            <w:shd w:val="clear" w:color="auto" w:fill="auto"/>
            <w:noWrap/>
            <w:vAlign w:val="bottom"/>
            <w:hideMark/>
          </w:tcPr>
          <w:p w14:paraId="01195563"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70</w:t>
            </w:r>
          </w:p>
        </w:tc>
        <w:tc>
          <w:tcPr>
            <w:tcW w:w="831" w:type="dxa"/>
            <w:tcBorders>
              <w:top w:val="nil"/>
              <w:left w:val="nil"/>
              <w:bottom w:val="nil"/>
              <w:right w:val="nil"/>
            </w:tcBorders>
            <w:shd w:val="clear" w:color="auto" w:fill="auto"/>
            <w:noWrap/>
            <w:vAlign w:val="bottom"/>
            <w:hideMark/>
          </w:tcPr>
          <w:p w14:paraId="43ED5E14"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-950</w:t>
            </w:r>
          </w:p>
        </w:tc>
        <w:tc>
          <w:tcPr>
            <w:tcW w:w="283" w:type="dxa"/>
            <w:tcBorders>
              <w:top w:val="nil"/>
              <w:left w:val="nil"/>
              <w:bottom w:val="nil"/>
              <w:right w:val="nil"/>
            </w:tcBorders>
            <w:shd w:val="clear" w:color="auto" w:fill="auto"/>
            <w:noWrap/>
            <w:vAlign w:val="bottom"/>
            <w:hideMark/>
          </w:tcPr>
          <w:p w14:paraId="043EF811"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7EBF5819"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74,013</w:t>
            </w:r>
          </w:p>
        </w:tc>
        <w:tc>
          <w:tcPr>
            <w:tcW w:w="284" w:type="dxa"/>
            <w:tcBorders>
              <w:top w:val="nil"/>
              <w:left w:val="nil"/>
              <w:bottom w:val="nil"/>
              <w:right w:val="nil"/>
            </w:tcBorders>
            <w:shd w:val="clear" w:color="auto" w:fill="auto"/>
            <w:noWrap/>
            <w:vAlign w:val="bottom"/>
            <w:hideMark/>
          </w:tcPr>
          <w:p w14:paraId="0DA3B291"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5C062556"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74,963</w:t>
            </w:r>
          </w:p>
        </w:tc>
        <w:tc>
          <w:tcPr>
            <w:tcW w:w="283" w:type="dxa"/>
            <w:tcBorders>
              <w:top w:val="nil"/>
              <w:left w:val="nil"/>
              <w:bottom w:val="nil"/>
              <w:right w:val="nil"/>
            </w:tcBorders>
            <w:shd w:val="clear" w:color="auto" w:fill="auto"/>
            <w:noWrap/>
            <w:vAlign w:val="bottom"/>
            <w:hideMark/>
          </w:tcPr>
          <w:p w14:paraId="72D34B13"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888" w:type="dxa"/>
            <w:tcBorders>
              <w:top w:val="nil"/>
              <w:left w:val="nil"/>
              <w:bottom w:val="nil"/>
              <w:right w:val="nil"/>
            </w:tcBorders>
            <w:shd w:val="clear" w:color="auto" w:fill="auto"/>
            <w:noWrap/>
            <w:vAlign w:val="bottom"/>
            <w:hideMark/>
          </w:tcPr>
          <w:p w14:paraId="2EF41B41"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-110</w:t>
            </w:r>
          </w:p>
        </w:tc>
        <w:tc>
          <w:tcPr>
            <w:tcW w:w="284" w:type="dxa"/>
            <w:tcBorders>
              <w:top w:val="nil"/>
              <w:left w:val="nil"/>
              <w:bottom w:val="nil"/>
              <w:right w:val="nil"/>
            </w:tcBorders>
            <w:shd w:val="clear" w:color="auto" w:fill="auto"/>
            <w:noWrap/>
            <w:vAlign w:val="bottom"/>
            <w:hideMark/>
          </w:tcPr>
          <w:p w14:paraId="65C6501F"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03FCA85B"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49,391</w:t>
            </w:r>
          </w:p>
        </w:tc>
        <w:tc>
          <w:tcPr>
            <w:tcW w:w="284" w:type="dxa"/>
            <w:tcBorders>
              <w:top w:val="nil"/>
              <w:left w:val="nil"/>
              <w:bottom w:val="nil"/>
              <w:right w:val="nil"/>
            </w:tcBorders>
            <w:shd w:val="clear" w:color="auto" w:fill="auto"/>
            <w:noWrap/>
            <w:vAlign w:val="bottom"/>
            <w:hideMark/>
          </w:tcPr>
          <w:p w14:paraId="0ED35E8A"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5DDE7F71"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49,501</w:t>
            </w:r>
          </w:p>
        </w:tc>
        <w:tc>
          <w:tcPr>
            <w:tcW w:w="283" w:type="dxa"/>
            <w:tcBorders>
              <w:top w:val="nil"/>
              <w:left w:val="nil"/>
              <w:bottom w:val="nil"/>
              <w:right w:val="nil"/>
            </w:tcBorders>
            <w:shd w:val="clear" w:color="auto" w:fill="auto"/>
            <w:noWrap/>
            <w:vAlign w:val="bottom"/>
            <w:hideMark/>
          </w:tcPr>
          <w:p w14:paraId="3BCBEB71"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831" w:type="dxa"/>
            <w:tcBorders>
              <w:top w:val="nil"/>
              <w:left w:val="nil"/>
              <w:bottom w:val="nil"/>
              <w:right w:val="nil"/>
            </w:tcBorders>
            <w:shd w:val="clear" w:color="auto" w:fill="auto"/>
            <w:noWrap/>
            <w:vAlign w:val="bottom"/>
            <w:hideMark/>
          </w:tcPr>
          <w:p w14:paraId="19141C47"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-1,060</w:t>
            </w:r>
          </w:p>
        </w:tc>
        <w:tc>
          <w:tcPr>
            <w:tcW w:w="283" w:type="dxa"/>
            <w:tcBorders>
              <w:top w:val="nil"/>
              <w:left w:val="nil"/>
              <w:bottom w:val="nil"/>
              <w:right w:val="nil"/>
            </w:tcBorders>
            <w:shd w:val="clear" w:color="auto" w:fill="auto"/>
            <w:noWrap/>
            <w:vAlign w:val="bottom"/>
            <w:hideMark/>
          </w:tcPr>
          <w:p w14:paraId="338D9B8C"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5A9515D6"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123,404</w:t>
            </w:r>
          </w:p>
        </w:tc>
        <w:tc>
          <w:tcPr>
            <w:tcW w:w="284" w:type="dxa"/>
            <w:tcBorders>
              <w:top w:val="nil"/>
              <w:left w:val="nil"/>
              <w:bottom w:val="nil"/>
              <w:right w:val="nil"/>
            </w:tcBorders>
            <w:shd w:val="clear" w:color="auto" w:fill="auto"/>
            <w:noWrap/>
            <w:vAlign w:val="bottom"/>
            <w:hideMark/>
          </w:tcPr>
          <w:p w14:paraId="247393A0"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00F335A6"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124,464</w:t>
            </w:r>
          </w:p>
        </w:tc>
        <w:tc>
          <w:tcPr>
            <w:tcW w:w="283" w:type="dxa"/>
            <w:tcBorders>
              <w:top w:val="nil"/>
              <w:left w:val="nil"/>
              <w:bottom w:val="nil"/>
              <w:right w:val="single" w:sz="8" w:space="0" w:color="auto"/>
            </w:tcBorders>
            <w:shd w:val="clear" w:color="auto" w:fill="auto"/>
            <w:noWrap/>
            <w:vAlign w:val="bottom"/>
            <w:hideMark/>
          </w:tcPr>
          <w:p w14:paraId="0D5DD096"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r>
      <w:tr w:rsidR="007405AE" w:rsidRPr="00031EB4" w14:paraId="265D1624" w14:textId="77777777" w:rsidTr="00E22714">
        <w:trPr>
          <w:trHeight w:val="288"/>
          <w:jc w:val="center"/>
        </w:trPr>
        <w:tc>
          <w:tcPr>
            <w:tcW w:w="960" w:type="dxa"/>
            <w:tcBorders>
              <w:top w:val="nil"/>
              <w:left w:val="single" w:sz="8" w:space="0" w:color="auto"/>
              <w:bottom w:val="single" w:sz="4" w:space="0" w:color="auto"/>
              <w:right w:val="nil"/>
            </w:tcBorders>
            <w:shd w:val="clear" w:color="auto" w:fill="auto"/>
            <w:noWrap/>
            <w:vAlign w:val="bottom"/>
            <w:hideMark/>
          </w:tcPr>
          <w:p w14:paraId="24692788" w14:textId="52ECB274" w:rsidR="002E2937" w:rsidRPr="00031EB4" w:rsidRDefault="002E2937" w:rsidP="00E22714">
            <w:pPr>
              <w:spacing w:after="0" w:line="240" w:lineRule="auto"/>
              <w:rPr>
                <w:rFonts w:ascii="Times New Roman" w:eastAsia="Times New Roman" w:hAnsi="Times New Roman" w:cs="Times New Roman"/>
                <w:sz w:val="16"/>
                <w:szCs w:val="16"/>
                <w:lang w:eastAsia="en-GB"/>
              </w:rPr>
            </w:pPr>
          </w:p>
        </w:tc>
        <w:tc>
          <w:tcPr>
            <w:tcW w:w="960" w:type="dxa"/>
            <w:tcBorders>
              <w:top w:val="nil"/>
              <w:left w:val="nil"/>
              <w:bottom w:val="single" w:sz="4" w:space="0" w:color="auto"/>
              <w:right w:val="nil"/>
            </w:tcBorders>
            <w:shd w:val="clear" w:color="auto" w:fill="auto"/>
            <w:noWrap/>
            <w:vAlign w:val="bottom"/>
            <w:hideMark/>
          </w:tcPr>
          <w:p w14:paraId="711E5456"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89</w:t>
            </w:r>
          </w:p>
        </w:tc>
        <w:tc>
          <w:tcPr>
            <w:tcW w:w="831" w:type="dxa"/>
            <w:tcBorders>
              <w:top w:val="nil"/>
              <w:left w:val="nil"/>
              <w:bottom w:val="single" w:sz="4" w:space="0" w:color="auto"/>
              <w:right w:val="nil"/>
            </w:tcBorders>
            <w:shd w:val="clear" w:color="auto" w:fill="auto"/>
            <w:noWrap/>
            <w:vAlign w:val="bottom"/>
            <w:hideMark/>
          </w:tcPr>
          <w:p w14:paraId="33964F78"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-3,235</w:t>
            </w:r>
          </w:p>
        </w:tc>
        <w:tc>
          <w:tcPr>
            <w:tcW w:w="283" w:type="dxa"/>
            <w:tcBorders>
              <w:top w:val="nil"/>
              <w:left w:val="nil"/>
              <w:bottom w:val="single" w:sz="4" w:space="0" w:color="auto"/>
              <w:right w:val="nil"/>
            </w:tcBorders>
            <w:shd w:val="clear" w:color="auto" w:fill="auto"/>
            <w:noWrap/>
            <w:vAlign w:val="bottom"/>
            <w:hideMark/>
          </w:tcPr>
          <w:p w14:paraId="28737B8C"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single" w:sz="4" w:space="0" w:color="auto"/>
              <w:right w:val="nil"/>
            </w:tcBorders>
            <w:shd w:val="clear" w:color="auto" w:fill="auto"/>
            <w:noWrap/>
            <w:vAlign w:val="bottom"/>
            <w:hideMark/>
          </w:tcPr>
          <w:p w14:paraId="7157723D"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207,606</w:t>
            </w:r>
          </w:p>
        </w:tc>
        <w:tc>
          <w:tcPr>
            <w:tcW w:w="284" w:type="dxa"/>
            <w:tcBorders>
              <w:top w:val="nil"/>
              <w:left w:val="nil"/>
              <w:bottom w:val="single" w:sz="4" w:space="0" w:color="auto"/>
              <w:right w:val="nil"/>
            </w:tcBorders>
            <w:shd w:val="clear" w:color="auto" w:fill="auto"/>
            <w:noWrap/>
            <w:vAlign w:val="bottom"/>
            <w:hideMark/>
          </w:tcPr>
          <w:p w14:paraId="42C679D5"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single" w:sz="4" w:space="0" w:color="auto"/>
              <w:right w:val="nil"/>
            </w:tcBorders>
            <w:shd w:val="clear" w:color="auto" w:fill="auto"/>
            <w:noWrap/>
            <w:vAlign w:val="bottom"/>
            <w:hideMark/>
          </w:tcPr>
          <w:p w14:paraId="533CBAF7"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210,841</w:t>
            </w:r>
          </w:p>
        </w:tc>
        <w:tc>
          <w:tcPr>
            <w:tcW w:w="283" w:type="dxa"/>
            <w:tcBorders>
              <w:top w:val="nil"/>
              <w:left w:val="nil"/>
              <w:bottom w:val="single" w:sz="4" w:space="0" w:color="auto"/>
              <w:right w:val="nil"/>
            </w:tcBorders>
            <w:shd w:val="clear" w:color="auto" w:fill="auto"/>
            <w:noWrap/>
            <w:vAlign w:val="bottom"/>
            <w:hideMark/>
          </w:tcPr>
          <w:p w14:paraId="5BDD86B9"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888" w:type="dxa"/>
            <w:tcBorders>
              <w:top w:val="nil"/>
              <w:left w:val="nil"/>
              <w:bottom w:val="single" w:sz="4" w:space="0" w:color="auto"/>
              <w:right w:val="nil"/>
            </w:tcBorders>
            <w:shd w:val="clear" w:color="auto" w:fill="auto"/>
            <w:noWrap/>
            <w:vAlign w:val="bottom"/>
            <w:hideMark/>
          </w:tcPr>
          <w:p w14:paraId="5C863DBF"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-4,902</w:t>
            </w:r>
          </w:p>
        </w:tc>
        <w:tc>
          <w:tcPr>
            <w:tcW w:w="284" w:type="dxa"/>
            <w:tcBorders>
              <w:top w:val="nil"/>
              <w:left w:val="nil"/>
              <w:bottom w:val="single" w:sz="4" w:space="0" w:color="auto"/>
              <w:right w:val="nil"/>
            </w:tcBorders>
            <w:shd w:val="clear" w:color="auto" w:fill="auto"/>
            <w:noWrap/>
            <w:vAlign w:val="bottom"/>
            <w:hideMark/>
          </w:tcPr>
          <w:p w14:paraId="24FBC0B9"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single" w:sz="4" w:space="0" w:color="auto"/>
              <w:right w:val="nil"/>
            </w:tcBorders>
            <w:shd w:val="clear" w:color="auto" w:fill="auto"/>
            <w:noWrap/>
            <w:vAlign w:val="bottom"/>
            <w:hideMark/>
          </w:tcPr>
          <w:p w14:paraId="691D481B"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185,925</w:t>
            </w:r>
          </w:p>
        </w:tc>
        <w:tc>
          <w:tcPr>
            <w:tcW w:w="284" w:type="dxa"/>
            <w:tcBorders>
              <w:top w:val="nil"/>
              <w:left w:val="nil"/>
              <w:bottom w:val="single" w:sz="4" w:space="0" w:color="auto"/>
              <w:right w:val="nil"/>
            </w:tcBorders>
            <w:shd w:val="clear" w:color="auto" w:fill="auto"/>
            <w:noWrap/>
            <w:vAlign w:val="bottom"/>
            <w:hideMark/>
          </w:tcPr>
          <w:p w14:paraId="236417EA"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single" w:sz="4" w:space="0" w:color="auto"/>
              <w:right w:val="nil"/>
            </w:tcBorders>
            <w:shd w:val="clear" w:color="auto" w:fill="auto"/>
            <w:noWrap/>
            <w:vAlign w:val="bottom"/>
            <w:hideMark/>
          </w:tcPr>
          <w:p w14:paraId="51F63942"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190,827</w:t>
            </w:r>
          </w:p>
        </w:tc>
        <w:tc>
          <w:tcPr>
            <w:tcW w:w="283" w:type="dxa"/>
            <w:tcBorders>
              <w:top w:val="nil"/>
              <w:left w:val="nil"/>
              <w:bottom w:val="single" w:sz="4" w:space="0" w:color="auto"/>
              <w:right w:val="nil"/>
            </w:tcBorders>
            <w:shd w:val="clear" w:color="auto" w:fill="auto"/>
            <w:noWrap/>
            <w:vAlign w:val="bottom"/>
            <w:hideMark/>
          </w:tcPr>
          <w:p w14:paraId="6DFF7D3A"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831" w:type="dxa"/>
            <w:tcBorders>
              <w:top w:val="nil"/>
              <w:left w:val="nil"/>
              <w:bottom w:val="single" w:sz="4" w:space="0" w:color="auto"/>
              <w:right w:val="nil"/>
            </w:tcBorders>
            <w:shd w:val="clear" w:color="auto" w:fill="auto"/>
            <w:noWrap/>
            <w:vAlign w:val="bottom"/>
            <w:hideMark/>
          </w:tcPr>
          <w:p w14:paraId="7D741B9E"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-8,137</w:t>
            </w:r>
          </w:p>
        </w:tc>
        <w:tc>
          <w:tcPr>
            <w:tcW w:w="283" w:type="dxa"/>
            <w:tcBorders>
              <w:top w:val="nil"/>
              <w:left w:val="nil"/>
              <w:bottom w:val="single" w:sz="4" w:space="0" w:color="auto"/>
              <w:right w:val="nil"/>
            </w:tcBorders>
            <w:shd w:val="clear" w:color="auto" w:fill="auto"/>
            <w:noWrap/>
            <w:vAlign w:val="bottom"/>
            <w:hideMark/>
          </w:tcPr>
          <w:p w14:paraId="6A547ED9"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single" w:sz="4" w:space="0" w:color="auto"/>
              <w:right w:val="nil"/>
            </w:tcBorders>
            <w:shd w:val="clear" w:color="auto" w:fill="auto"/>
            <w:noWrap/>
            <w:vAlign w:val="bottom"/>
            <w:hideMark/>
          </w:tcPr>
          <w:p w14:paraId="46932DD0"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393,531</w:t>
            </w:r>
          </w:p>
        </w:tc>
        <w:tc>
          <w:tcPr>
            <w:tcW w:w="284" w:type="dxa"/>
            <w:tcBorders>
              <w:top w:val="nil"/>
              <w:left w:val="nil"/>
              <w:bottom w:val="single" w:sz="4" w:space="0" w:color="auto"/>
              <w:right w:val="nil"/>
            </w:tcBorders>
            <w:shd w:val="clear" w:color="auto" w:fill="auto"/>
            <w:noWrap/>
            <w:vAlign w:val="bottom"/>
            <w:hideMark/>
          </w:tcPr>
          <w:p w14:paraId="17515C62"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single" w:sz="4" w:space="0" w:color="auto"/>
              <w:right w:val="nil"/>
            </w:tcBorders>
            <w:shd w:val="clear" w:color="auto" w:fill="auto"/>
            <w:noWrap/>
            <w:vAlign w:val="bottom"/>
            <w:hideMark/>
          </w:tcPr>
          <w:p w14:paraId="2751CA95"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401,668</w:t>
            </w:r>
          </w:p>
        </w:tc>
        <w:tc>
          <w:tcPr>
            <w:tcW w:w="283" w:type="dxa"/>
            <w:tcBorders>
              <w:top w:val="nil"/>
              <w:left w:val="nil"/>
              <w:bottom w:val="single" w:sz="4" w:space="0" w:color="auto"/>
              <w:right w:val="single" w:sz="8" w:space="0" w:color="auto"/>
            </w:tcBorders>
            <w:shd w:val="clear" w:color="auto" w:fill="auto"/>
            <w:noWrap/>
            <w:vAlign w:val="bottom"/>
            <w:hideMark/>
          </w:tcPr>
          <w:p w14:paraId="07D58BB3"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r>
      <w:tr w:rsidR="007405AE" w:rsidRPr="00031EB4" w14:paraId="6010D0D3" w14:textId="77777777" w:rsidTr="00E22714">
        <w:trPr>
          <w:trHeight w:val="288"/>
          <w:jc w:val="center"/>
        </w:trPr>
        <w:tc>
          <w:tcPr>
            <w:tcW w:w="960" w:type="dxa"/>
            <w:tcBorders>
              <w:top w:val="nil"/>
              <w:left w:val="single" w:sz="8" w:space="0" w:color="auto"/>
              <w:bottom w:val="nil"/>
              <w:right w:val="nil"/>
            </w:tcBorders>
            <w:shd w:val="clear" w:color="auto" w:fill="auto"/>
            <w:noWrap/>
            <w:vAlign w:val="bottom"/>
            <w:hideMark/>
          </w:tcPr>
          <w:p w14:paraId="5C271AD3"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2012</w:t>
            </w:r>
          </w:p>
        </w:tc>
        <w:tc>
          <w:tcPr>
            <w:tcW w:w="960" w:type="dxa"/>
            <w:tcBorders>
              <w:top w:val="nil"/>
              <w:left w:val="nil"/>
              <w:bottom w:val="nil"/>
              <w:right w:val="nil"/>
            </w:tcBorders>
            <w:shd w:val="clear" w:color="auto" w:fill="auto"/>
            <w:noWrap/>
            <w:vAlign w:val="bottom"/>
            <w:hideMark/>
          </w:tcPr>
          <w:p w14:paraId="633CEFE2"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50</w:t>
            </w:r>
          </w:p>
        </w:tc>
        <w:tc>
          <w:tcPr>
            <w:tcW w:w="831" w:type="dxa"/>
            <w:tcBorders>
              <w:top w:val="nil"/>
              <w:left w:val="nil"/>
              <w:bottom w:val="nil"/>
              <w:right w:val="nil"/>
            </w:tcBorders>
            <w:shd w:val="clear" w:color="auto" w:fill="auto"/>
            <w:noWrap/>
            <w:vAlign w:val="bottom"/>
            <w:hideMark/>
          </w:tcPr>
          <w:p w14:paraId="33CBAC23"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-1,366</w:t>
            </w:r>
          </w:p>
        </w:tc>
        <w:tc>
          <w:tcPr>
            <w:tcW w:w="283" w:type="dxa"/>
            <w:tcBorders>
              <w:top w:val="nil"/>
              <w:left w:val="nil"/>
              <w:bottom w:val="nil"/>
              <w:right w:val="nil"/>
            </w:tcBorders>
            <w:shd w:val="clear" w:color="auto" w:fill="auto"/>
            <w:noWrap/>
            <w:vAlign w:val="bottom"/>
            <w:hideMark/>
          </w:tcPr>
          <w:p w14:paraId="279777EF"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78E0CEA8"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17,817</w:t>
            </w:r>
          </w:p>
        </w:tc>
        <w:tc>
          <w:tcPr>
            <w:tcW w:w="284" w:type="dxa"/>
            <w:tcBorders>
              <w:top w:val="nil"/>
              <w:left w:val="nil"/>
              <w:bottom w:val="nil"/>
              <w:right w:val="nil"/>
            </w:tcBorders>
            <w:shd w:val="clear" w:color="auto" w:fill="auto"/>
            <w:noWrap/>
            <w:vAlign w:val="bottom"/>
            <w:hideMark/>
          </w:tcPr>
          <w:p w14:paraId="63650422"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355C64FE"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19,183</w:t>
            </w:r>
          </w:p>
        </w:tc>
        <w:tc>
          <w:tcPr>
            <w:tcW w:w="283" w:type="dxa"/>
            <w:tcBorders>
              <w:top w:val="nil"/>
              <w:left w:val="nil"/>
              <w:bottom w:val="nil"/>
              <w:right w:val="nil"/>
            </w:tcBorders>
            <w:shd w:val="clear" w:color="auto" w:fill="auto"/>
            <w:noWrap/>
            <w:vAlign w:val="bottom"/>
            <w:hideMark/>
          </w:tcPr>
          <w:p w14:paraId="349B398B"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888" w:type="dxa"/>
            <w:tcBorders>
              <w:top w:val="nil"/>
              <w:left w:val="nil"/>
              <w:bottom w:val="nil"/>
              <w:right w:val="nil"/>
            </w:tcBorders>
            <w:shd w:val="clear" w:color="auto" w:fill="auto"/>
            <w:noWrap/>
            <w:vAlign w:val="bottom"/>
            <w:hideMark/>
          </w:tcPr>
          <w:p w14:paraId="41FB5819"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-658</w:t>
            </w:r>
          </w:p>
        </w:tc>
        <w:tc>
          <w:tcPr>
            <w:tcW w:w="284" w:type="dxa"/>
            <w:tcBorders>
              <w:top w:val="nil"/>
              <w:left w:val="nil"/>
              <w:bottom w:val="nil"/>
              <w:right w:val="nil"/>
            </w:tcBorders>
            <w:shd w:val="clear" w:color="auto" w:fill="auto"/>
            <w:noWrap/>
            <w:vAlign w:val="bottom"/>
            <w:hideMark/>
          </w:tcPr>
          <w:p w14:paraId="626F7F50"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6A73FDCC"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11,097</w:t>
            </w:r>
          </w:p>
        </w:tc>
        <w:tc>
          <w:tcPr>
            <w:tcW w:w="284" w:type="dxa"/>
            <w:tcBorders>
              <w:top w:val="nil"/>
              <w:left w:val="nil"/>
              <w:bottom w:val="nil"/>
              <w:right w:val="nil"/>
            </w:tcBorders>
            <w:shd w:val="clear" w:color="auto" w:fill="auto"/>
            <w:noWrap/>
            <w:vAlign w:val="bottom"/>
            <w:hideMark/>
          </w:tcPr>
          <w:p w14:paraId="7EDC5DDD"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6709D08F"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11,755</w:t>
            </w:r>
          </w:p>
        </w:tc>
        <w:tc>
          <w:tcPr>
            <w:tcW w:w="283" w:type="dxa"/>
            <w:tcBorders>
              <w:top w:val="nil"/>
              <w:left w:val="nil"/>
              <w:bottom w:val="nil"/>
              <w:right w:val="nil"/>
            </w:tcBorders>
            <w:shd w:val="clear" w:color="auto" w:fill="auto"/>
            <w:noWrap/>
            <w:vAlign w:val="bottom"/>
            <w:hideMark/>
          </w:tcPr>
          <w:p w14:paraId="7E92DFBA"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831" w:type="dxa"/>
            <w:tcBorders>
              <w:top w:val="nil"/>
              <w:left w:val="nil"/>
              <w:bottom w:val="nil"/>
              <w:right w:val="nil"/>
            </w:tcBorders>
            <w:shd w:val="clear" w:color="auto" w:fill="auto"/>
            <w:noWrap/>
            <w:vAlign w:val="bottom"/>
            <w:hideMark/>
          </w:tcPr>
          <w:p w14:paraId="639DE458"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-2,024</w:t>
            </w:r>
          </w:p>
        </w:tc>
        <w:tc>
          <w:tcPr>
            <w:tcW w:w="283" w:type="dxa"/>
            <w:tcBorders>
              <w:top w:val="nil"/>
              <w:left w:val="nil"/>
              <w:bottom w:val="nil"/>
              <w:right w:val="nil"/>
            </w:tcBorders>
            <w:shd w:val="clear" w:color="auto" w:fill="auto"/>
            <w:noWrap/>
            <w:vAlign w:val="bottom"/>
            <w:hideMark/>
          </w:tcPr>
          <w:p w14:paraId="3B4DF4E3"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38B8780A"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28,914</w:t>
            </w:r>
          </w:p>
        </w:tc>
        <w:tc>
          <w:tcPr>
            <w:tcW w:w="284" w:type="dxa"/>
            <w:tcBorders>
              <w:top w:val="nil"/>
              <w:left w:val="nil"/>
              <w:bottom w:val="nil"/>
              <w:right w:val="nil"/>
            </w:tcBorders>
            <w:shd w:val="clear" w:color="auto" w:fill="auto"/>
            <w:noWrap/>
            <w:vAlign w:val="bottom"/>
            <w:hideMark/>
          </w:tcPr>
          <w:p w14:paraId="17E1EDBA"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5169C718"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30,938</w:t>
            </w:r>
          </w:p>
        </w:tc>
        <w:tc>
          <w:tcPr>
            <w:tcW w:w="283" w:type="dxa"/>
            <w:tcBorders>
              <w:top w:val="nil"/>
              <w:left w:val="nil"/>
              <w:bottom w:val="nil"/>
              <w:right w:val="single" w:sz="8" w:space="0" w:color="auto"/>
            </w:tcBorders>
            <w:shd w:val="clear" w:color="auto" w:fill="auto"/>
            <w:noWrap/>
            <w:vAlign w:val="bottom"/>
            <w:hideMark/>
          </w:tcPr>
          <w:p w14:paraId="6207CB58"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r>
      <w:tr w:rsidR="007405AE" w:rsidRPr="00031EB4" w14:paraId="2608E44D" w14:textId="77777777" w:rsidTr="00E22714">
        <w:trPr>
          <w:trHeight w:val="288"/>
          <w:jc w:val="center"/>
        </w:trPr>
        <w:tc>
          <w:tcPr>
            <w:tcW w:w="960" w:type="dxa"/>
            <w:tcBorders>
              <w:top w:val="nil"/>
              <w:left w:val="single" w:sz="8" w:space="0" w:color="auto"/>
              <w:bottom w:val="nil"/>
              <w:right w:val="nil"/>
            </w:tcBorders>
            <w:shd w:val="clear" w:color="auto" w:fill="auto"/>
            <w:noWrap/>
            <w:vAlign w:val="bottom"/>
            <w:hideMark/>
          </w:tcPr>
          <w:p w14:paraId="0028110A"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 </w:t>
            </w:r>
          </w:p>
        </w:tc>
        <w:tc>
          <w:tcPr>
            <w:tcW w:w="960" w:type="dxa"/>
            <w:tcBorders>
              <w:top w:val="nil"/>
              <w:left w:val="nil"/>
              <w:bottom w:val="nil"/>
              <w:right w:val="nil"/>
            </w:tcBorders>
            <w:shd w:val="clear" w:color="auto" w:fill="auto"/>
            <w:noWrap/>
            <w:vAlign w:val="bottom"/>
            <w:hideMark/>
          </w:tcPr>
          <w:p w14:paraId="1C224CB4"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70</w:t>
            </w:r>
          </w:p>
        </w:tc>
        <w:tc>
          <w:tcPr>
            <w:tcW w:w="831" w:type="dxa"/>
            <w:tcBorders>
              <w:top w:val="nil"/>
              <w:left w:val="nil"/>
              <w:bottom w:val="nil"/>
              <w:right w:val="nil"/>
            </w:tcBorders>
            <w:shd w:val="clear" w:color="auto" w:fill="auto"/>
            <w:noWrap/>
            <w:vAlign w:val="bottom"/>
            <w:hideMark/>
          </w:tcPr>
          <w:p w14:paraId="6AE56557"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-1,392</w:t>
            </w:r>
          </w:p>
        </w:tc>
        <w:tc>
          <w:tcPr>
            <w:tcW w:w="283" w:type="dxa"/>
            <w:tcBorders>
              <w:top w:val="nil"/>
              <w:left w:val="nil"/>
              <w:bottom w:val="nil"/>
              <w:right w:val="nil"/>
            </w:tcBorders>
            <w:shd w:val="clear" w:color="auto" w:fill="auto"/>
            <w:noWrap/>
            <w:vAlign w:val="bottom"/>
            <w:hideMark/>
          </w:tcPr>
          <w:p w14:paraId="7D6D9B8F"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70F5BEF2"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73,161</w:t>
            </w:r>
          </w:p>
        </w:tc>
        <w:tc>
          <w:tcPr>
            <w:tcW w:w="284" w:type="dxa"/>
            <w:tcBorders>
              <w:top w:val="nil"/>
              <w:left w:val="nil"/>
              <w:bottom w:val="nil"/>
              <w:right w:val="nil"/>
            </w:tcBorders>
            <w:shd w:val="clear" w:color="auto" w:fill="auto"/>
            <w:noWrap/>
            <w:vAlign w:val="bottom"/>
            <w:hideMark/>
          </w:tcPr>
          <w:p w14:paraId="1EAB4FD0"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2D21A8D1"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74,553</w:t>
            </w:r>
          </w:p>
        </w:tc>
        <w:tc>
          <w:tcPr>
            <w:tcW w:w="283" w:type="dxa"/>
            <w:tcBorders>
              <w:top w:val="nil"/>
              <w:left w:val="nil"/>
              <w:bottom w:val="nil"/>
              <w:right w:val="nil"/>
            </w:tcBorders>
            <w:shd w:val="clear" w:color="auto" w:fill="auto"/>
            <w:noWrap/>
            <w:vAlign w:val="bottom"/>
            <w:hideMark/>
          </w:tcPr>
          <w:p w14:paraId="7F5633FC"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888" w:type="dxa"/>
            <w:tcBorders>
              <w:top w:val="nil"/>
              <w:left w:val="nil"/>
              <w:bottom w:val="nil"/>
              <w:right w:val="nil"/>
            </w:tcBorders>
            <w:shd w:val="clear" w:color="auto" w:fill="auto"/>
            <w:noWrap/>
            <w:vAlign w:val="bottom"/>
            <w:hideMark/>
          </w:tcPr>
          <w:p w14:paraId="2915577D" w14:textId="77777777" w:rsidR="002E2937" w:rsidRPr="00031EB4" w:rsidRDefault="002E2937" w:rsidP="00E22714">
            <w:pPr>
              <w:spacing w:after="0" w:line="240" w:lineRule="auto"/>
              <w:jc w:val="right"/>
              <w:rPr>
                <w:rFonts w:ascii="Times New Roman" w:eastAsia="Times New Roman" w:hAnsi="Times New Roman" w:cs="Times New Roman"/>
                <w:b/>
                <w:bCs/>
                <w:sz w:val="16"/>
                <w:szCs w:val="16"/>
                <w:lang w:eastAsia="en-GB"/>
              </w:rPr>
            </w:pPr>
            <w:r w:rsidRPr="00031EB4">
              <w:rPr>
                <w:rFonts w:ascii="Times New Roman" w:eastAsia="Times New Roman" w:hAnsi="Times New Roman" w:cs="Times New Roman"/>
                <w:b/>
                <w:bCs/>
                <w:sz w:val="16"/>
                <w:szCs w:val="16"/>
                <w:lang w:eastAsia="en-GB"/>
              </w:rPr>
              <w:t>170</w:t>
            </w:r>
          </w:p>
        </w:tc>
        <w:tc>
          <w:tcPr>
            <w:tcW w:w="284" w:type="dxa"/>
            <w:tcBorders>
              <w:top w:val="nil"/>
              <w:left w:val="nil"/>
              <w:bottom w:val="nil"/>
              <w:right w:val="nil"/>
            </w:tcBorders>
            <w:shd w:val="clear" w:color="auto" w:fill="auto"/>
            <w:noWrap/>
            <w:vAlign w:val="bottom"/>
            <w:hideMark/>
          </w:tcPr>
          <w:p w14:paraId="32CA2383"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0FC12EE9"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49,648</w:t>
            </w:r>
          </w:p>
        </w:tc>
        <w:tc>
          <w:tcPr>
            <w:tcW w:w="284" w:type="dxa"/>
            <w:tcBorders>
              <w:top w:val="nil"/>
              <w:left w:val="nil"/>
              <w:bottom w:val="nil"/>
              <w:right w:val="nil"/>
            </w:tcBorders>
            <w:shd w:val="clear" w:color="auto" w:fill="auto"/>
            <w:noWrap/>
            <w:vAlign w:val="bottom"/>
            <w:hideMark/>
          </w:tcPr>
          <w:p w14:paraId="01315DB7"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5DE4EA61"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49,478</w:t>
            </w:r>
          </w:p>
        </w:tc>
        <w:tc>
          <w:tcPr>
            <w:tcW w:w="283" w:type="dxa"/>
            <w:tcBorders>
              <w:top w:val="nil"/>
              <w:left w:val="nil"/>
              <w:bottom w:val="nil"/>
              <w:right w:val="nil"/>
            </w:tcBorders>
            <w:shd w:val="clear" w:color="auto" w:fill="auto"/>
            <w:noWrap/>
            <w:vAlign w:val="bottom"/>
            <w:hideMark/>
          </w:tcPr>
          <w:p w14:paraId="32006E39"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831" w:type="dxa"/>
            <w:tcBorders>
              <w:top w:val="nil"/>
              <w:left w:val="nil"/>
              <w:bottom w:val="nil"/>
              <w:right w:val="nil"/>
            </w:tcBorders>
            <w:shd w:val="clear" w:color="auto" w:fill="auto"/>
            <w:noWrap/>
            <w:vAlign w:val="bottom"/>
            <w:hideMark/>
          </w:tcPr>
          <w:p w14:paraId="55913D9F"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-1,222</w:t>
            </w:r>
          </w:p>
        </w:tc>
        <w:tc>
          <w:tcPr>
            <w:tcW w:w="283" w:type="dxa"/>
            <w:tcBorders>
              <w:top w:val="nil"/>
              <w:left w:val="nil"/>
              <w:bottom w:val="nil"/>
              <w:right w:val="nil"/>
            </w:tcBorders>
            <w:shd w:val="clear" w:color="auto" w:fill="auto"/>
            <w:noWrap/>
            <w:vAlign w:val="bottom"/>
            <w:hideMark/>
          </w:tcPr>
          <w:p w14:paraId="3FF5F074"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59165700"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122,809</w:t>
            </w:r>
          </w:p>
        </w:tc>
        <w:tc>
          <w:tcPr>
            <w:tcW w:w="284" w:type="dxa"/>
            <w:tcBorders>
              <w:top w:val="nil"/>
              <w:left w:val="nil"/>
              <w:bottom w:val="nil"/>
              <w:right w:val="nil"/>
            </w:tcBorders>
            <w:shd w:val="clear" w:color="auto" w:fill="auto"/>
            <w:noWrap/>
            <w:vAlign w:val="bottom"/>
            <w:hideMark/>
          </w:tcPr>
          <w:p w14:paraId="49147211"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3068D290"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124,031</w:t>
            </w:r>
          </w:p>
        </w:tc>
        <w:tc>
          <w:tcPr>
            <w:tcW w:w="283" w:type="dxa"/>
            <w:tcBorders>
              <w:top w:val="nil"/>
              <w:left w:val="nil"/>
              <w:bottom w:val="nil"/>
              <w:right w:val="single" w:sz="8" w:space="0" w:color="auto"/>
            </w:tcBorders>
            <w:shd w:val="clear" w:color="auto" w:fill="auto"/>
            <w:noWrap/>
            <w:vAlign w:val="bottom"/>
            <w:hideMark/>
          </w:tcPr>
          <w:p w14:paraId="4062B6BA"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r>
      <w:tr w:rsidR="007405AE" w:rsidRPr="00031EB4" w14:paraId="2DE83068" w14:textId="77777777" w:rsidTr="00E22714">
        <w:trPr>
          <w:trHeight w:val="288"/>
          <w:jc w:val="center"/>
        </w:trPr>
        <w:tc>
          <w:tcPr>
            <w:tcW w:w="960" w:type="dxa"/>
            <w:tcBorders>
              <w:top w:val="nil"/>
              <w:left w:val="single" w:sz="8" w:space="0" w:color="auto"/>
              <w:bottom w:val="single" w:sz="4" w:space="0" w:color="auto"/>
              <w:right w:val="nil"/>
            </w:tcBorders>
            <w:shd w:val="clear" w:color="auto" w:fill="auto"/>
            <w:noWrap/>
            <w:vAlign w:val="bottom"/>
            <w:hideMark/>
          </w:tcPr>
          <w:p w14:paraId="3E2B1293"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 </w:t>
            </w:r>
          </w:p>
        </w:tc>
        <w:tc>
          <w:tcPr>
            <w:tcW w:w="960" w:type="dxa"/>
            <w:tcBorders>
              <w:top w:val="nil"/>
              <w:left w:val="nil"/>
              <w:bottom w:val="single" w:sz="4" w:space="0" w:color="auto"/>
              <w:right w:val="nil"/>
            </w:tcBorders>
            <w:shd w:val="clear" w:color="auto" w:fill="auto"/>
            <w:noWrap/>
            <w:vAlign w:val="bottom"/>
            <w:hideMark/>
          </w:tcPr>
          <w:p w14:paraId="15745883"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89</w:t>
            </w:r>
          </w:p>
        </w:tc>
        <w:tc>
          <w:tcPr>
            <w:tcW w:w="831" w:type="dxa"/>
            <w:tcBorders>
              <w:top w:val="nil"/>
              <w:left w:val="nil"/>
              <w:bottom w:val="single" w:sz="4" w:space="0" w:color="auto"/>
              <w:right w:val="nil"/>
            </w:tcBorders>
            <w:shd w:val="clear" w:color="auto" w:fill="auto"/>
            <w:noWrap/>
            <w:vAlign w:val="bottom"/>
            <w:hideMark/>
          </w:tcPr>
          <w:p w14:paraId="2B745B87" w14:textId="77777777" w:rsidR="002E2937" w:rsidRPr="00031EB4" w:rsidRDefault="002E2937" w:rsidP="00E22714">
            <w:pPr>
              <w:spacing w:after="0" w:line="240" w:lineRule="auto"/>
              <w:jc w:val="right"/>
              <w:rPr>
                <w:rFonts w:ascii="Times New Roman" w:eastAsia="Times New Roman" w:hAnsi="Times New Roman" w:cs="Times New Roman"/>
                <w:b/>
                <w:bCs/>
                <w:sz w:val="16"/>
                <w:szCs w:val="16"/>
                <w:lang w:eastAsia="en-GB"/>
              </w:rPr>
            </w:pPr>
            <w:r w:rsidRPr="00031EB4">
              <w:rPr>
                <w:rFonts w:ascii="Times New Roman" w:eastAsia="Times New Roman" w:hAnsi="Times New Roman" w:cs="Times New Roman"/>
                <w:b/>
                <w:bCs/>
                <w:sz w:val="16"/>
                <w:szCs w:val="16"/>
                <w:lang w:eastAsia="en-GB"/>
              </w:rPr>
              <w:t>1,002</w:t>
            </w:r>
          </w:p>
        </w:tc>
        <w:tc>
          <w:tcPr>
            <w:tcW w:w="283" w:type="dxa"/>
            <w:tcBorders>
              <w:top w:val="nil"/>
              <w:left w:val="nil"/>
              <w:bottom w:val="single" w:sz="4" w:space="0" w:color="auto"/>
              <w:right w:val="nil"/>
            </w:tcBorders>
            <w:shd w:val="clear" w:color="auto" w:fill="auto"/>
            <w:noWrap/>
            <w:vAlign w:val="bottom"/>
            <w:hideMark/>
          </w:tcPr>
          <w:p w14:paraId="29E81DE4"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single" w:sz="4" w:space="0" w:color="auto"/>
              <w:right w:val="nil"/>
            </w:tcBorders>
            <w:shd w:val="clear" w:color="auto" w:fill="auto"/>
            <w:noWrap/>
            <w:vAlign w:val="bottom"/>
            <w:hideMark/>
          </w:tcPr>
          <w:p w14:paraId="48CF711F"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209,909</w:t>
            </w:r>
          </w:p>
        </w:tc>
        <w:tc>
          <w:tcPr>
            <w:tcW w:w="284" w:type="dxa"/>
            <w:tcBorders>
              <w:top w:val="nil"/>
              <w:left w:val="nil"/>
              <w:bottom w:val="single" w:sz="4" w:space="0" w:color="auto"/>
              <w:right w:val="nil"/>
            </w:tcBorders>
            <w:shd w:val="clear" w:color="auto" w:fill="auto"/>
            <w:noWrap/>
            <w:vAlign w:val="bottom"/>
            <w:hideMark/>
          </w:tcPr>
          <w:p w14:paraId="59337C11"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single" w:sz="4" w:space="0" w:color="auto"/>
              <w:right w:val="nil"/>
            </w:tcBorders>
            <w:shd w:val="clear" w:color="auto" w:fill="auto"/>
            <w:noWrap/>
            <w:vAlign w:val="bottom"/>
            <w:hideMark/>
          </w:tcPr>
          <w:p w14:paraId="272B6ECB"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208,907</w:t>
            </w:r>
          </w:p>
        </w:tc>
        <w:tc>
          <w:tcPr>
            <w:tcW w:w="283" w:type="dxa"/>
            <w:tcBorders>
              <w:top w:val="nil"/>
              <w:left w:val="nil"/>
              <w:bottom w:val="single" w:sz="4" w:space="0" w:color="auto"/>
              <w:right w:val="nil"/>
            </w:tcBorders>
            <w:shd w:val="clear" w:color="auto" w:fill="auto"/>
            <w:noWrap/>
            <w:vAlign w:val="bottom"/>
            <w:hideMark/>
          </w:tcPr>
          <w:p w14:paraId="48463AB0"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888" w:type="dxa"/>
            <w:tcBorders>
              <w:top w:val="nil"/>
              <w:left w:val="nil"/>
              <w:bottom w:val="single" w:sz="4" w:space="0" w:color="auto"/>
              <w:right w:val="nil"/>
            </w:tcBorders>
            <w:shd w:val="clear" w:color="auto" w:fill="auto"/>
            <w:noWrap/>
            <w:vAlign w:val="bottom"/>
            <w:hideMark/>
          </w:tcPr>
          <w:p w14:paraId="49463CB7" w14:textId="77777777" w:rsidR="002E2937" w:rsidRPr="00031EB4" w:rsidRDefault="002E2937" w:rsidP="00E22714">
            <w:pPr>
              <w:spacing w:after="0" w:line="240" w:lineRule="auto"/>
              <w:jc w:val="right"/>
              <w:rPr>
                <w:rFonts w:ascii="Times New Roman" w:eastAsia="Times New Roman" w:hAnsi="Times New Roman" w:cs="Times New Roman"/>
                <w:b/>
                <w:bCs/>
                <w:sz w:val="16"/>
                <w:szCs w:val="16"/>
                <w:lang w:eastAsia="en-GB"/>
              </w:rPr>
            </w:pPr>
            <w:r w:rsidRPr="00031EB4">
              <w:rPr>
                <w:rFonts w:ascii="Times New Roman" w:eastAsia="Times New Roman" w:hAnsi="Times New Roman" w:cs="Times New Roman"/>
                <w:b/>
                <w:bCs/>
                <w:sz w:val="16"/>
                <w:szCs w:val="16"/>
                <w:lang w:eastAsia="en-GB"/>
              </w:rPr>
              <w:t>1,301</w:t>
            </w:r>
          </w:p>
        </w:tc>
        <w:tc>
          <w:tcPr>
            <w:tcW w:w="284" w:type="dxa"/>
            <w:tcBorders>
              <w:top w:val="nil"/>
              <w:left w:val="nil"/>
              <w:bottom w:val="single" w:sz="4" w:space="0" w:color="auto"/>
              <w:right w:val="nil"/>
            </w:tcBorders>
            <w:shd w:val="clear" w:color="auto" w:fill="auto"/>
            <w:noWrap/>
            <w:vAlign w:val="bottom"/>
            <w:hideMark/>
          </w:tcPr>
          <w:p w14:paraId="26941CF6"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single" w:sz="4" w:space="0" w:color="auto"/>
              <w:right w:val="nil"/>
            </w:tcBorders>
            <w:shd w:val="clear" w:color="auto" w:fill="auto"/>
            <w:noWrap/>
            <w:vAlign w:val="bottom"/>
            <w:hideMark/>
          </w:tcPr>
          <w:p w14:paraId="1B27D319"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189,135</w:t>
            </w:r>
          </w:p>
        </w:tc>
        <w:tc>
          <w:tcPr>
            <w:tcW w:w="284" w:type="dxa"/>
            <w:tcBorders>
              <w:top w:val="nil"/>
              <w:left w:val="nil"/>
              <w:bottom w:val="single" w:sz="4" w:space="0" w:color="auto"/>
              <w:right w:val="nil"/>
            </w:tcBorders>
            <w:shd w:val="clear" w:color="auto" w:fill="auto"/>
            <w:noWrap/>
            <w:vAlign w:val="bottom"/>
            <w:hideMark/>
          </w:tcPr>
          <w:p w14:paraId="61DA35BB"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single" w:sz="4" w:space="0" w:color="auto"/>
              <w:right w:val="nil"/>
            </w:tcBorders>
            <w:shd w:val="clear" w:color="auto" w:fill="auto"/>
            <w:noWrap/>
            <w:vAlign w:val="bottom"/>
            <w:hideMark/>
          </w:tcPr>
          <w:p w14:paraId="0B4C2400"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187,834</w:t>
            </w:r>
          </w:p>
        </w:tc>
        <w:tc>
          <w:tcPr>
            <w:tcW w:w="283" w:type="dxa"/>
            <w:tcBorders>
              <w:top w:val="nil"/>
              <w:left w:val="nil"/>
              <w:bottom w:val="single" w:sz="4" w:space="0" w:color="auto"/>
              <w:right w:val="nil"/>
            </w:tcBorders>
            <w:shd w:val="clear" w:color="auto" w:fill="auto"/>
            <w:noWrap/>
            <w:vAlign w:val="bottom"/>
            <w:hideMark/>
          </w:tcPr>
          <w:p w14:paraId="030DB80B"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831" w:type="dxa"/>
            <w:tcBorders>
              <w:top w:val="nil"/>
              <w:left w:val="nil"/>
              <w:bottom w:val="single" w:sz="4" w:space="0" w:color="auto"/>
              <w:right w:val="nil"/>
            </w:tcBorders>
            <w:shd w:val="clear" w:color="auto" w:fill="auto"/>
            <w:noWrap/>
            <w:vAlign w:val="bottom"/>
            <w:hideMark/>
          </w:tcPr>
          <w:p w14:paraId="405A3FA2" w14:textId="77777777" w:rsidR="002E2937" w:rsidRPr="00031EB4" w:rsidRDefault="002E2937" w:rsidP="00E22714">
            <w:pPr>
              <w:spacing w:after="0" w:line="240" w:lineRule="auto"/>
              <w:jc w:val="right"/>
              <w:rPr>
                <w:rFonts w:ascii="Times New Roman" w:eastAsia="Times New Roman" w:hAnsi="Times New Roman" w:cs="Times New Roman"/>
                <w:b/>
                <w:bCs/>
                <w:sz w:val="16"/>
                <w:szCs w:val="16"/>
                <w:lang w:eastAsia="en-GB"/>
              </w:rPr>
            </w:pPr>
            <w:r w:rsidRPr="00031EB4">
              <w:rPr>
                <w:rFonts w:ascii="Times New Roman" w:eastAsia="Times New Roman" w:hAnsi="Times New Roman" w:cs="Times New Roman"/>
                <w:b/>
                <w:bCs/>
                <w:sz w:val="16"/>
                <w:szCs w:val="16"/>
                <w:lang w:eastAsia="en-GB"/>
              </w:rPr>
              <w:t>2,303</w:t>
            </w:r>
          </w:p>
        </w:tc>
        <w:tc>
          <w:tcPr>
            <w:tcW w:w="283" w:type="dxa"/>
            <w:tcBorders>
              <w:top w:val="nil"/>
              <w:left w:val="nil"/>
              <w:bottom w:val="single" w:sz="4" w:space="0" w:color="auto"/>
              <w:right w:val="nil"/>
            </w:tcBorders>
            <w:shd w:val="clear" w:color="auto" w:fill="auto"/>
            <w:noWrap/>
            <w:vAlign w:val="bottom"/>
            <w:hideMark/>
          </w:tcPr>
          <w:p w14:paraId="61480830"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single" w:sz="4" w:space="0" w:color="auto"/>
              <w:right w:val="nil"/>
            </w:tcBorders>
            <w:shd w:val="clear" w:color="auto" w:fill="auto"/>
            <w:noWrap/>
            <w:vAlign w:val="bottom"/>
            <w:hideMark/>
          </w:tcPr>
          <w:p w14:paraId="236EFE38"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399,044</w:t>
            </w:r>
          </w:p>
        </w:tc>
        <w:tc>
          <w:tcPr>
            <w:tcW w:w="284" w:type="dxa"/>
            <w:tcBorders>
              <w:top w:val="nil"/>
              <w:left w:val="nil"/>
              <w:bottom w:val="single" w:sz="4" w:space="0" w:color="auto"/>
              <w:right w:val="nil"/>
            </w:tcBorders>
            <w:shd w:val="clear" w:color="auto" w:fill="auto"/>
            <w:noWrap/>
            <w:vAlign w:val="bottom"/>
            <w:hideMark/>
          </w:tcPr>
          <w:p w14:paraId="741B6995"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single" w:sz="4" w:space="0" w:color="auto"/>
              <w:right w:val="nil"/>
            </w:tcBorders>
            <w:shd w:val="clear" w:color="auto" w:fill="auto"/>
            <w:noWrap/>
            <w:vAlign w:val="bottom"/>
            <w:hideMark/>
          </w:tcPr>
          <w:p w14:paraId="5AAE5EA8"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396,741</w:t>
            </w:r>
          </w:p>
        </w:tc>
        <w:tc>
          <w:tcPr>
            <w:tcW w:w="283" w:type="dxa"/>
            <w:tcBorders>
              <w:top w:val="nil"/>
              <w:left w:val="nil"/>
              <w:bottom w:val="single" w:sz="4" w:space="0" w:color="auto"/>
              <w:right w:val="single" w:sz="8" w:space="0" w:color="auto"/>
            </w:tcBorders>
            <w:shd w:val="clear" w:color="auto" w:fill="auto"/>
            <w:noWrap/>
            <w:vAlign w:val="bottom"/>
            <w:hideMark/>
          </w:tcPr>
          <w:p w14:paraId="6E7231AA"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r>
      <w:tr w:rsidR="007405AE" w:rsidRPr="00031EB4" w14:paraId="19F2B513" w14:textId="77777777" w:rsidTr="00E22714">
        <w:trPr>
          <w:trHeight w:val="288"/>
          <w:jc w:val="center"/>
        </w:trPr>
        <w:tc>
          <w:tcPr>
            <w:tcW w:w="960" w:type="dxa"/>
            <w:tcBorders>
              <w:top w:val="nil"/>
              <w:left w:val="single" w:sz="8" w:space="0" w:color="auto"/>
              <w:bottom w:val="nil"/>
              <w:right w:val="nil"/>
            </w:tcBorders>
            <w:shd w:val="clear" w:color="auto" w:fill="auto"/>
            <w:noWrap/>
            <w:vAlign w:val="bottom"/>
            <w:hideMark/>
          </w:tcPr>
          <w:p w14:paraId="3F95E41E"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2013</w:t>
            </w:r>
          </w:p>
        </w:tc>
        <w:tc>
          <w:tcPr>
            <w:tcW w:w="960" w:type="dxa"/>
            <w:tcBorders>
              <w:top w:val="nil"/>
              <w:left w:val="nil"/>
              <w:bottom w:val="nil"/>
              <w:right w:val="nil"/>
            </w:tcBorders>
            <w:shd w:val="clear" w:color="auto" w:fill="auto"/>
            <w:noWrap/>
            <w:vAlign w:val="bottom"/>
            <w:hideMark/>
          </w:tcPr>
          <w:p w14:paraId="745D20AC"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50</w:t>
            </w:r>
          </w:p>
        </w:tc>
        <w:tc>
          <w:tcPr>
            <w:tcW w:w="831" w:type="dxa"/>
            <w:tcBorders>
              <w:top w:val="nil"/>
              <w:left w:val="nil"/>
              <w:bottom w:val="nil"/>
              <w:right w:val="nil"/>
            </w:tcBorders>
            <w:shd w:val="clear" w:color="auto" w:fill="auto"/>
            <w:noWrap/>
            <w:vAlign w:val="bottom"/>
            <w:hideMark/>
          </w:tcPr>
          <w:p w14:paraId="33BB5528"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-786</w:t>
            </w:r>
          </w:p>
        </w:tc>
        <w:tc>
          <w:tcPr>
            <w:tcW w:w="283" w:type="dxa"/>
            <w:tcBorders>
              <w:top w:val="nil"/>
              <w:left w:val="nil"/>
              <w:bottom w:val="nil"/>
              <w:right w:val="nil"/>
            </w:tcBorders>
            <w:shd w:val="clear" w:color="auto" w:fill="auto"/>
            <w:noWrap/>
            <w:vAlign w:val="bottom"/>
            <w:hideMark/>
          </w:tcPr>
          <w:p w14:paraId="34BE9DF3"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0FBE3285"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18,025</w:t>
            </w:r>
          </w:p>
        </w:tc>
        <w:tc>
          <w:tcPr>
            <w:tcW w:w="284" w:type="dxa"/>
            <w:tcBorders>
              <w:top w:val="nil"/>
              <w:left w:val="nil"/>
              <w:bottom w:val="nil"/>
              <w:right w:val="nil"/>
            </w:tcBorders>
            <w:shd w:val="clear" w:color="auto" w:fill="auto"/>
            <w:noWrap/>
            <w:vAlign w:val="bottom"/>
            <w:hideMark/>
          </w:tcPr>
          <w:p w14:paraId="0EA4D77C"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64EB683E"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18,811</w:t>
            </w:r>
          </w:p>
        </w:tc>
        <w:tc>
          <w:tcPr>
            <w:tcW w:w="283" w:type="dxa"/>
            <w:tcBorders>
              <w:top w:val="nil"/>
              <w:left w:val="nil"/>
              <w:bottom w:val="nil"/>
              <w:right w:val="nil"/>
            </w:tcBorders>
            <w:shd w:val="clear" w:color="auto" w:fill="auto"/>
            <w:noWrap/>
            <w:vAlign w:val="bottom"/>
            <w:hideMark/>
          </w:tcPr>
          <w:p w14:paraId="360AF534"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888" w:type="dxa"/>
            <w:tcBorders>
              <w:top w:val="nil"/>
              <w:left w:val="nil"/>
              <w:bottom w:val="nil"/>
              <w:right w:val="nil"/>
            </w:tcBorders>
            <w:shd w:val="clear" w:color="auto" w:fill="auto"/>
            <w:noWrap/>
            <w:vAlign w:val="bottom"/>
            <w:hideMark/>
          </w:tcPr>
          <w:p w14:paraId="5D6DAE32"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-465</w:t>
            </w:r>
          </w:p>
        </w:tc>
        <w:tc>
          <w:tcPr>
            <w:tcW w:w="284" w:type="dxa"/>
            <w:tcBorders>
              <w:top w:val="nil"/>
              <w:left w:val="nil"/>
              <w:bottom w:val="nil"/>
              <w:right w:val="nil"/>
            </w:tcBorders>
            <w:shd w:val="clear" w:color="auto" w:fill="auto"/>
            <w:noWrap/>
            <w:vAlign w:val="bottom"/>
            <w:hideMark/>
          </w:tcPr>
          <w:p w14:paraId="53C099FE"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1EE07958"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11,062</w:t>
            </w:r>
          </w:p>
        </w:tc>
        <w:tc>
          <w:tcPr>
            <w:tcW w:w="284" w:type="dxa"/>
            <w:tcBorders>
              <w:top w:val="nil"/>
              <w:left w:val="nil"/>
              <w:bottom w:val="nil"/>
              <w:right w:val="nil"/>
            </w:tcBorders>
            <w:shd w:val="clear" w:color="auto" w:fill="auto"/>
            <w:noWrap/>
            <w:vAlign w:val="bottom"/>
            <w:hideMark/>
          </w:tcPr>
          <w:p w14:paraId="249BF72B"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0E65EA11"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11,527</w:t>
            </w:r>
          </w:p>
        </w:tc>
        <w:tc>
          <w:tcPr>
            <w:tcW w:w="283" w:type="dxa"/>
            <w:tcBorders>
              <w:top w:val="nil"/>
              <w:left w:val="nil"/>
              <w:bottom w:val="nil"/>
              <w:right w:val="nil"/>
            </w:tcBorders>
            <w:shd w:val="clear" w:color="auto" w:fill="auto"/>
            <w:noWrap/>
            <w:vAlign w:val="bottom"/>
            <w:hideMark/>
          </w:tcPr>
          <w:p w14:paraId="76D13F8D"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831" w:type="dxa"/>
            <w:tcBorders>
              <w:top w:val="nil"/>
              <w:left w:val="nil"/>
              <w:bottom w:val="nil"/>
              <w:right w:val="nil"/>
            </w:tcBorders>
            <w:shd w:val="clear" w:color="auto" w:fill="auto"/>
            <w:noWrap/>
            <w:vAlign w:val="bottom"/>
            <w:hideMark/>
          </w:tcPr>
          <w:p w14:paraId="547FF8F6"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-1,251</w:t>
            </w:r>
          </w:p>
        </w:tc>
        <w:tc>
          <w:tcPr>
            <w:tcW w:w="283" w:type="dxa"/>
            <w:tcBorders>
              <w:top w:val="nil"/>
              <w:left w:val="nil"/>
              <w:bottom w:val="nil"/>
              <w:right w:val="nil"/>
            </w:tcBorders>
            <w:shd w:val="clear" w:color="auto" w:fill="auto"/>
            <w:noWrap/>
            <w:vAlign w:val="bottom"/>
            <w:hideMark/>
          </w:tcPr>
          <w:p w14:paraId="4C7ECF35"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37DFF5ED"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29,087</w:t>
            </w:r>
          </w:p>
        </w:tc>
        <w:tc>
          <w:tcPr>
            <w:tcW w:w="284" w:type="dxa"/>
            <w:tcBorders>
              <w:top w:val="nil"/>
              <w:left w:val="nil"/>
              <w:bottom w:val="nil"/>
              <w:right w:val="nil"/>
            </w:tcBorders>
            <w:shd w:val="clear" w:color="auto" w:fill="auto"/>
            <w:noWrap/>
            <w:vAlign w:val="bottom"/>
            <w:hideMark/>
          </w:tcPr>
          <w:p w14:paraId="25EA5E7D"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2B37AFA3"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30,338</w:t>
            </w:r>
          </w:p>
        </w:tc>
        <w:tc>
          <w:tcPr>
            <w:tcW w:w="283" w:type="dxa"/>
            <w:tcBorders>
              <w:top w:val="nil"/>
              <w:left w:val="nil"/>
              <w:bottom w:val="nil"/>
              <w:right w:val="single" w:sz="8" w:space="0" w:color="auto"/>
            </w:tcBorders>
            <w:shd w:val="clear" w:color="auto" w:fill="auto"/>
            <w:noWrap/>
            <w:vAlign w:val="bottom"/>
            <w:hideMark/>
          </w:tcPr>
          <w:p w14:paraId="1259CBF8"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r>
      <w:tr w:rsidR="007405AE" w:rsidRPr="00031EB4" w14:paraId="30DCEEAC" w14:textId="77777777" w:rsidTr="00E22714">
        <w:trPr>
          <w:trHeight w:val="288"/>
          <w:jc w:val="center"/>
        </w:trPr>
        <w:tc>
          <w:tcPr>
            <w:tcW w:w="960" w:type="dxa"/>
            <w:tcBorders>
              <w:top w:val="nil"/>
              <w:left w:val="single" w:sz="8" w:space="0" w:color="auto"/>
              <w:bottom w:val="nil"/>
              <w:right w:val="nil"/>
            </w:tcBorders>
            <w:shd w:val="clear" w:color="auto" w:fill="auto"/>
            <w:noWrap/>
            <w:vAlign w:val="bottom"/>
            <w:hideMark/>
          </w:tcPr>
          <w:p w14:paraId="0F19546D"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 </w:t>
            </w:r>
          </w:p>
        </w:tc>
        <w:tc>
          <w:tcPr>
            <w:tcW w:w="960" w:type="dxa"/>
            <w:tcBorders>
              <w:top w:val="nil"/>
              <w:left w:val="nil"/>
              <w:bottom w:val="nil"/>
              <w:right w:val="nil"/>
            </w:tcBorders>
            <w:shd w:val="clear" w:color="auto" w:fill="auto"/>
            <w:noWrap/>
            <w:vAlign w:val="bottom"/>
            <w:hideMark/>
          </w:tcPr>
          <w:p w14:paraId="59C887C1"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70</w:t>
            </w:r>
          </w:p>
        </w:tc>
        <w:tc>
          <w:tcPr>
            <w:tcW w:w="831" w:type="dxa"/>
            <w:tcBorders>
              <w:top w:val="nil"/>
              <w:left w:val="nil"/>
              <w:bottom w:val="nil"/>
              <w:right w:val="nil"/>
            </w:tcBorders>
            <w:shd w:val="clear" w:color="auto" w:fill="auto"/>
            <w:noWrap/>
            <w:vAlign w:val="bottom"/>
            <w:hideMark/>
          </w:tcPr>
          <w:p w14:paraId="7D0CCCC1" w14:textId="77777777" w:rsidR="002E2937" w:rsidRPr="00031EB4" w:rsidRDefault="002E2937" w:rsidP="00E22714">
            <w:pPr>
              <w:spacing w:after="0" w:line="240" w:lineRule="auto"/>
              <w:jc w:val="right"/>
              <w:rPr>
                <w:rFonts w:ascii="Times New Roman" w:eastAsia="Times New Roman" w:hAnsi="Times New Roman" w:cs="Times New Roman"/>
                <w:b/>
                <w:bCs/>
                <w:sz w:val="16"/>
                <w:szCs w:val="16"/>
                <w:lang w:eastAsia="en-GB"/>
              </w:rPr>
            </w:pPr>
            <w:r w:rsidRPr="00031EB4">
              <w:rPr>
                <w:rFonts w:ascii="Times New Roman" w:eastAsia="Times New Roman" w:hAnsi="Times New Roman" w:cs="Times New Roman"/>
                <w:b/>
                <w:bCs/>
                <w:sz w:val="16"/>
                <w:szCs w:val="16"/>
                <w:lang w:eastAsia="en-GB"/>
              </w:rPr>
              <w:t>973</w:t>
            </w:r>
          </w:p>
        </w:tc>
        <w:tc>
          <w:tcPr>
            <w:tcW w:w="283" w:type="dxa"/>
            <w:tcBorders>
              <w:top w:val="nil"/>
              <w:left w:val="nil"/>
              <w:bottom w:val="nil"/>
              <w:right w:val="nil"/>
            </w:tcBorders>
            <w:shd w:val="clear" w:color="auto" w:fill="auto"/>
            <w:noWrap/>
            <w:vAlign w:val="bottom"/>
            <w:hideMark/>
          </w:tcPr>
          <w:p w14:paraId="6F17F98D"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05CD96BB"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74,741</w:t>
            </w:r>
          </w:p>
        </w:tc>
        <w:tc>
          <w:tcPr>
            <w:tcW w:w="284" w:type="dxa"/>
            <w:tcBorders>
              <w:top w:val="nil"/>
              <w:left w:val="nil"/>
              <w:bottom w:val="nil"/>
              <w:right w:val="nil"/>
            </w:tcBorders>
            <w:shd w:val="clear" w:color="auto" w:fill="auto"/>
            <w:noWrap/>
            <w:vAlign w:val="bottom"/>
            <w:hideMark/>
          </w:tcPr>
          <w:p w14:paraId="3B1C24D4"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41BDA8E4"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73,768</w:t>
            </w:r>
          </w:p>
        </w:tc>
        <w:tc>
          <w:tcPr>
            <w:tcW w:w="283" w:type="dxa"/>
            <w:tcBorders>
              <w:top w:val="nil"/>
              <w:left w:val="nil"/>
              <w:bottom w:val="nil"/>
              <w:right w:val="nil"/>
            </w:tcBorders>
            <w:shd w:val="clear" w:color="auto" w:fill="auto"/>
            <w:noWrap/>
            <w:vAlign w:val="bottom"/>
            <w:hideMark/>
          </w:tcPr>
          <w:p w14:paraId="2404FE6F"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888" w:type="dxa"/>
            <w:tcBorders>
              <w:top w:val="nil"/>
              <w:left w:val="nil"/>
              <w:bottom w:val="nil"/>
              <w:right w:val="nil"/>
            </w:tcBorders>
            <w:shd w:val="clear" w:color="auto" w:fill="auto"/>
            <w:noWrap/>
            <w:vAlign w:val="bottom"/>
            <w:hideMark/>
          </w:tcPr>
          <w:p w14:paraId="6EA1A65D" w14:textId="77777777" w:rsidR="002E2937" w:rsidRPr="00031EB4" w:rsidRDefault="002E2937" w:rsidP="00E22714">
            <w:pPr>
              <w:spacing w:after="0" w:line="240" w:lineRule="auto"/>
              <w:jc w:val="right"/>
              <w:rPr>
                <w:rFonts w:ascii="Times New Roman" w:eastAsia="Times New Roman" w:hAnsi="Times New Roman" w:cs="Times New Roman"/>
                <w:b/>
                <w:bCs/>
                <w:sz w:val="16"/>
                <w:szCs w:val="16"/>
                <w:lang w:eastAsia="en-GB"/>
              </w:rPr>
            </w:pPr>
            <w:r w:rsidRPr="00031EB4">
              <w:rPr>
                <w:rFonts w:ascii="Times New Roman" w:eastAsia="Times New Roman" w:hAnsi="Times New Roman" w:cs="Times New Roman"/>
                <w:b/>
                <w:bCs/>
                <w:sz w:val="16"/>
                <w:szCs w:val="16"/>
                <w:lang w:eastAsia="en-GB"/>
              </w:rPr>
              <w:t>652</w:t>
            </w:r>
          </w:p>
        </w:tc>
        <w:tc>
          <w:tcPr>
            <w:tcW w:w="284" w:type="dxa"/>
            <w:tcBorders>
              <w:top w:val="nil"/>
              <w:left w:val="nil"/>
              <w:bottom w:val="nil"/>
              <w:right w:val="nil"/>
            </w:tcBorders>
            <w:shd w:val="clear" w:color="auto" w:fill="auto"/>
            <w:noWrap/>
            <w:vAlign w:val="bottom"/>
            <w:hideMark/>
          </w:tcPr>
          <w:p w14:paraId="4A7826E9"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7E798C7C"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49,853</w:t>
            </w:r>
          </w:p>
        </w:tc>
        <w:tc>
          <w:tcPr>
            <w:tcW w:w="284" w:type="dxa"/>
            <w:tcBorders>
              <w:top w:val="nil"/>
              <w:left w:val="nil"/>
              <w:bottom w:val="nil"/>
              <w:right w:val="nil"/>
            </w:tcBorders>
            <w:shd w:val="clear" w:color="auto" w:fill="auto"/>
            <w:noWrap/>
            <w:vAlign w:val="bottom"/>
            <w:hideMark/>
          </w:tcPr>
          <w:p w14:paraId="180F7B11"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24F10522"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49,201</w:t>
            </w:r>
          </w:p>
        </w:tc>
        <w:tc>
          <w:tcPr>
            <w:tcW w:w="283" w:type="dxa"/>
            <w:tcBorders>
              <w:top w:val="nil"/>
              <w:left w:val="nil"/>
              <w:bottom w:val="nil"/>
              <w:right w:val="nil"/>
            </w:tcBorders>
            <w:shd w:val="clear" w:color="auto" w:fill="auto"/>
            <w:noWrap/>
            <w:vAlign w:val="bottom"/>
            <w:hideMark/>
          </w:tcPr>
          <w:p w14:paraId="4D5EA78B"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831" w:type="dxa"/>
            <w:tcBorders>
              <w:top w:val="nil"/>
              <w:left w:val="nil"/>
              <w:bottom w:val="nil"/>
              <w:right w:val="nil"/>
            </w:tcBorders>
            <w:shd w:val="clear" w:color="auto" w:fill="auto"/>
            <w:noWrap/>
            <w:vAlign w:val="bottom"/>
            <w:hideMark/>
          </w:tcPr>
          <w:p w14:paraId="434E5032" w14:textId="77777777" w:rsidR="002E2937" w:rsidRPr="00031EB4" w:rsidRDefault="002E2937" w:rsidP="00E22714">
            <w:pPr>
              <w:spacing w:after="0" w:line="240" w:lineRule="auto"/>
              <w:jc w:val="right"/>
              <w:rPr>
                <w:rFonts w:ascii="Times New Roman" w:eastAsia="Times New Roman" w:hAnsi="Times New Roman" w:cs="Times New Roman"/>
                <w:b/>
                <w:bCs/>
                <w:sz w:val="16"/>
                <w:szCs w:val="16"/>
                <w:lang w:eastAsia="en-GB"/>
              </w:rPr>
            </w:pPr>
            <w:r w:rsidRPr="00031EB4">
              <w:rPr>
                <w:rFonts w:ascii="Times New Roman" w:eastAsia="Times New Roman" w:hAnsi="Times New Roman" w:cs="Times New Roman"/>
                <w:b/>
                <w:bCs/>
                <w:sz w:val="16"/>
                <w:szCs w:val="16"/>
                <w:lang w:eastAsia="en-GB"/>
              </w:rPr>
              <w:t>1,625</w:t>
            </w:r>
          </w:p>
        </w:tc>
        <w:tc>
          <w:tcPr>
            <w:tcW w:w="283" w:type="dxa"/>
            <w:tcBorders>
              <w:top w:val="nil"/>
              <w:left w:val="nil"/>
              <w:bottom w:val="nil"/>
              <w:right w:val="nil"/>
            </w:tcBorders>
            <w:shd w:val="clear" w:color="auto" w:fill="auto"/>
            <w:noWrap/>
            <w:vAlign w:val="bottom"/>
            <w:hideMark/>
          </w:tcPr>
          <w:p w14:paraId="2E6759B1"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4DE8B8BC"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124,594</w:t>
            </w:r>
          </w:p>
        </w:tc>
        <w:tc>
          <w:tcPr>
            <w:tcW w:w="284" w:type="dxa"/>
            <w:tcBorders>
              <w:top w:val="nil"/>
              <w:left w:val="nil"/>
              <w:bottom w:val="nil"/>
              <w:right w:val="nil"/>
            </w:tcBorders>
            <w:shd w:val="clear" w:color="auto" w:fill="auto"/>
            <w:noWrap/>
            <w:vAlign w:val="bottom"/>
            <w:hideMark/>
          </w:tcPr>
          <w:p w14:paraId="7403F18A"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565634E4"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122,969</w:t>
            </w:r>
          </w:p>
        </w:tc>
        <w:tc>
          <w:tcPr>
            <w:tcW w:w="283" w:type="dxa"/>
            <w:tcBorders>
              <w:top w:val="nil"/>
              <w:left w:val="nil"/>
              <w:bottom w:val="nil"/>
              <w:right w:val="single" w:sz="8" w:space="0" w:color="auto"/>
            </w:tcBorders>
            <w:shd w:val="clear" w:color="auto" w:fill="auto"/>
            <w:noWrap/>
            <w:vAlign w:val="bottom"/>
            <w:hideMark/>
          </w:tcPr>
          <w:p w14:paraId="4437EF1C"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r>
      <w:tr w:rsidR="007405AE" w:rsidRPr="00031EB4" w14:paraId="50FB3A46" w14:textId="77777777" w:rsidTr="00E22714">
        <w:trPr>
          <w:trHeight w:val="288"/>
          <w:jc w:val="center"/>
        </w:trPr>
        <w:tc>
          <w:tcPr>
            <w:tcW w:w="960" w:type="dxa"/>
            <w:tcBorders>
              <w:top w:val="nil"/>
              <w:left w:val="single" w:sz="8" w:space="0" w:color="auto"/>
              <w:bottom w:val="single" w:sz="4" w:space="0" w:color="auto"/>
              <w:right w:val="nil"/>
            </w:tcBorders>
            <w:shd w:val="clear" w:color="auto" w:fill="auto"/>
            <w:noWrap/>
            <w:vAlign w:val="bottom"/>
            <w:hideMark/>
          </w:tcPr>
          <w:p w14:paraId="26BD0CBC"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 </w:t>
            </w:r>
          </w:p>
        </w:tc>
        <w:tc>
          <w:tcPr>
            <w:tcW w:w="960" w:type="dxa"/>
            <w:tcBorders>
              <w:top w:val="nil"/>
              <w:left w:val="nil"/>
              <w:bottom w:val="single" w:sz="4" w:space="0" w:color="auto"/>
              <w:right w:val="nil"/>
            </w:tcBorders>
            <w:shd w:val="clear" w:color="auto" w:fill="auto"/>
            <w:noWrap/>
            <w:vAlign w:val="bottom"/>
            <w:hideMark/>
          </w:tcPr>
          <w:p w14:paraId="3D9E5061"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89</w:t>
            </w:r>
          </w:p>
        </w:tc>
        <w:tc>
          <w:tcPr>
            <w:tcW w:w="831" w:type="dxa"/>
            <w:tcBorders>
              <w:top w:val="nil"/>
              <w:left w:val="nil"/>
              <w:bottom w:val="single" w:sz="4" w:space="0" w:color="auto"/>
              <w:right w:val="nil"/>
            </w:tcBorders>
            <w:shd w:val="clear" w:color="auto" w:fill="auto"/>
            <w:noWrap/>
            <w:vAlign w:val="bottom"/>
            <w:hideMark/>
          </w:tcPr>
          <w:p w14:paraId="7D7E6909" w14:textId="77777777" w:rsidR="002E2937" w:rsidRPr="00031EB4" w:rsidRDefault="002E2937" w:rsidP="00E22714">
            <w:pPr>
              <w:spacing w:after="0" w:line="240" w:lineRule="auto"/>
              <w:jc w:val="right"/>
              <w:rPr>
                <w:rFonts w:ascii="Times New Roman" w:eastAsia="Times New Roman" w:hAnsi="Times New Roman" w:cs="Times New Roman"/>
                <w:b/>
                <w:bCs/>
                <w:sz w:val="16"/>
                <w:szCs w:val="16"/>
                <w:lang w:eastAsia="en-GB"/>
              </w:rPr>
            </w:pPr>
            <w:r w:rsidRPr="00031EB4">
              <w:rPr>
                <w:rFonts w:ascii="Times New Roman" w:eastAsia="Times New Roman" w:hAnsi="Times New Roman" w:cs="Times New Roman"/>
                <w:b/>
                <w:bCs/>
                <w:sz w:val="16"/>
                <w:szCs w:val="16"/>
                <w:lang w:eastAsia="en-GB"/>
              </w:rPr>
              <w:t>6,505</w:t>
            </w:r>
          </w:p>
        </w:tc>
        <w:tc>
          <w:tcPr>
            <w:tcW w:w="283" w:type="dxa"/>
            <w:tcBorders>
              <w:top w:val="nil"/>
              <w:left w:val="nil"/>
              <w:bottom w:val="single" w:sz="4" w:space="0" w:color="auto"/>
              <w:right w:val="nil"/>
            </w:tcBorders>
            <w:shd w:val="clear" w:color="auto" w:fill="auto"/>
            <w:noWrap/>
            <w:vAlign w:val="bottom"/>
            <w:hideMark/>
          </w:tcPr>
          <w:p w14:paraId="75906944"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single" w:sz="4" w:space="0" w:color="auto"/>
              <w:right w:val="nil"/>
            </w:tcBorders>
            <w:shd w:val="clear" w:color="auto" w:fill="auto"/>
            <w:noWrap/>
            <w:vAlign w:val="bottom"/>
            <w:hideMark/>
          </w:tcPr>
          <w:p w14:paraId="40233E3A"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213,466</w:t>
            </w:r>
          </w:p>
        </w:tc>
        <w:tc>
          <w:tcPr>
            <w:tcW w:w="284" w:type="dxa"/>
            <w:tcBorders>
              <w:top w:val="nil"/>
              <w:left w:val="nil"/>
              <w:bottom w:val="single" w:sz="4" w:space="0" w:color="auto"/>
              <w:right w:val="nil"/>
            </w:tcBorders>
            <w:shd w:val="clear" w:color="auto" w:fill="auto"/>
            <w:noWrap/>
            <w:vAlign w:val="bottom"/>
            <w:hideMark/>
          </w:tcPr>
          <w:p w14:paraId="23171FE6"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single" w:sz="4" w:space="0" w:color="auto"/>
              <w:right w:val="nil"/>
            </w:tcBorders>
            <w:shd w:val="clear" w:color="auto" w:fill="auto"/>
            <w:noWrap/>
            <w:vAlign w:val="bottom"/>
            <w:hideMark/>
          </w:tcPr>
          <w:p w14:paraId="492F7273"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206,961</w:t>
            </w:r>
          </w:p>
        </w:tc>
        <w:tc>
          <w:tcPr>
            <w:tcW w:w="283" w:type="dxa"/>
            <w:tcBorders>
              <w:top w:val="nil"/>
              <w:left w:val="nil"/>
              <w:bottom w:val="single" w:sz="4" w:space="0" w:color="auto"/>
              <w:right w:val="nil"/>
            </w:tcBorders>
            <w:shd w:val="clear" w:color="auto" w:fill="auto"/>
            <w:noWrap/>
            <w:vAlign w:val="bottom"/>
            <w:hideMark/>
          </w:tcPr>
          <w:p w14:paraId="3C4692F3"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888" w:type="dxa"/>
            <w:tcBorders>
              <w:top w:val="nil"/>
              <w:left w:val="nil"/>
              <w:bottom w:val="single" w:sz="4" w:space="0" w:color="auto"/>
              <w:right w:val="nil"/>
            </w:tcBorders>
            <w:shd w:val="clear" w:color="auto" w:fill="auto"/>
            <w:noWrap/>
            <w:vAlign w:val="bottom"/>
            <w:hideMark/>
          </w:tcPr>
          <w:p w14:paraId="7A8040B3" w14:textId="77777777" w:rsidR="002E2937" w:rsidRPr="00031EB4" w:rsidRDefault="002E2937" w:rsidP="00E22714">
            <w:pPr>
              <w:spacing w:after="0" w:line="240" w:lineRule="auto"/>
              <w:jc w:val="right"/>
              <w:rPr>
                <w:rFonts w:ascii="Times New Roman" w:eastAsia="Times New Roman" w:hAnsi="Times New Roman" w:cs="Times New Roman"/>
                <w:b/>
                <w:bCs/>
                <w:sz w:val="16"/>
                <w:szCs w:val="16"/>
                <w:lang w:eastAsia="en-GB"/>
              </w:rPr>
            </w:pPr>
            <w:r w:rsidRPr="00031EB4">
              <w:rPr>
                <w:rFonts w:ascii="Times New Roman" w:eastAsia="Times New Roman" w:hAnsi="Times New Roman" w:cs="Times New Roman"/>
                <w:b/>
                <w:bCs/>
                <w:sz w:val="16"/>
                <w:szCs w:val="16"/>
                <w:lang w:eastAsia="en-GB"/>
              </w:rPr>
              <w:t>3,925</w:t>
            </w:r>
          </w:p>
        </w:tc>
        <w:tc>
          <w:tcPr>
            <w:tcW w:w="284" w:type="dxa"/>
            <w:tcBorders>
              <w:top w:val="nil"/>
              <w:left w:val="nil"/>
              <w:bottom w:val="single" w:sz="4" w:space="0" w:color="auto"/>
              <w:right w:val="nil"/>
            </w:tcBorders>
            <w:shd w:val="clear" w:color="auto" w:fill="auto"/>
            <w:noWrap/>
            <w:vAlign w:val="bottom"/>
            <w:hideMark/>
          </w:tcPr>
          <w:p w14:paraId="253F1DB9"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single" w:sz="4" w:space="0" w:color="auto"/>
              <w:right w:val="nil"/>
            </w:tcBorders>
            <w:shd w:val="clear" w:color="auto" w:fill="auto"/>
            <w:noWrap/>
            <w:vAlign w:val="bottom"/>
            <w:hideMark/>
          </w:tcPr>
          <w:p w14:paraId="0163FE14"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189,046</w:t>
            </w:r>
          </w:p>
        </w:tc>
        <w:tc>
          <w:tcPr>
            <w:tcW w:w="284" w:type="dxa"/>
            <w:tcBorders>
              <w:top w:val="nil"/>
              <w:left w:val="nil"/>
              <w:bottom w:val="single" w:sz="4" w:space="0" w:color="auto"/>
              <w:right w:val="nil"/>
            </w:tcBorders>
            <w:shd w:val="clear" w:color="auto" w:fill="auto"/>
            <w:noWrap/>
            <w:vAlign w:val="bottom"/>
            <w:hideMark/>
          </w:tcPr>
          <w:p w14:paraId="7416FDC2"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single" w:sz="4" w:space="0" w:color="auto"/>
              <w:right w:val="nil"/>
            </w:tcBorders>
            <w:shd w:val="clear" w:color="auto" w:fill="auto"/>
            <w:noWrap/>
            <w:vAlign w:val="bottom"/>
            <w:hideMark/>
          </w:tcPr>
          <w:p w14:paraId="3111FA08"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185,121</w:t>
            </w:r>
          </w:p>
        </w:tc>
        <w:tc>
          <w:tcPr>
            <w:tcW w:w="283" w:type="dxa"/>
            <w:tcBorders>
              <w:top w:val="nil"/>
              <w:left w:val="nil"/>
              <w:bottom w:val="single" w:sz="4" w:space="0" w:color="auto"/>
              <w:right w:val="nil"/>
            </w:tcBorders>
            <w:shd w:val="clear" w:color="auto" w:fill="auto"/>
            <w:noWrap/>
            <w:vAlign w:val="bottom"/>
            <w:hideMark/>
          </w:tcPr>
          <w:p w14:paraId="19B1E258"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831" w:type="dxa"/>
            <w:tcBorders>
              <w:top w:val="nil"/>
              <w:left w:val="nil"/>
              <w:bottom w:val="single" w:sz="4" w:space="0" w:color="auto"/>
              <w:right w:val="nil"/>
            </w:tcBorders>
            <w:shd w:val="clear" w:color="auto" w:fill="auto"/>
            <w:noWrap/>
            <w:vAlign w:val="bottom"/>
            <w:hideMark/>
          </w:tcPr>
          <w:p w14:paraId="584510DA" w14:textId="77777777" w:rsidR="002E2937" w:rsidRPr="00031EB4" w:rsidRDefault="002E2937" w:rsidP="00E22714">
            <w:pPr>
              <w:spacing w:after="0" w:line="240" w:lineRule="auto"/>
              <w:jc w:val="right"/>
              <w:rPr>
                <w:rFonts w:ascii="Times New Roman" w:eastAsia="Times New Roman" w:hAnsi="Times New Roman" w:cs="Times New Roman"/>
                <w:b/>
                <w:bCs/>
                <w:sz w:val="16"/>
                <w:szCs w:val="16"/>
                <w:lang w:eastAsia="en-GB"/>
              </w:rPr>
            </w:pPr>
            <w:r w:rsidRPr="00031EB4">
              <w:rPr>
                <w:rFonts w:ascii="Times New Roman" w:eastAsia="Times New Roman" w:hAnsi="Times New Roman" w:cs="Times New Roman"/>
                <w:b/>
                <w:bCs/>
                <w:sz w:val="16"/>
                <w:szCs w:val="16"/>
                <w:lang w:eastAsia="en-GB"/>
              </w:rPr>
              <w:t>10,430</w:t>
            </w:r>
          </w:p>
        </w:tc>
        <w:tc>
          <w:tcPr>
            <w:tcW w:w="283" w:type="dxa"/>
            <w:tcBorders>
              <w:top w:val="nil"/>
              <w:left w:val="nil"/>
              <w:bottom w:val="single" w:sz="4" w:space="0" w:color="auto"/>
              <w:right w:val="nil"/>
            </w:tcBorders>
            <w:shd w:val="clear" w:color="auto" w:fill="auto"/>
            <w:noWrap/>
            <w:vAlign w:val="bottom"/>
            <w:hideMark/>
          </w:tcPr>
          <w:p w14:paraId="6CA44E97"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single" w:sz="4" w:space="0" w:color="auto"/>
              <w:right w:val="nil"/>
            </w:tcBorders>
            <w:shd w:val="clear" w:color="auto" w:fill="auto"/>
            <w:noWrap/>
            <w:vAlign w:val="bottom"/>
            <w:hideMark/>
          </w:tcPr>
          <w:p w14:paraId="7667D70F"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402,512</w:t>
            </w:r>
          </w:p>
        </w:tc>
        <w:tc>
          <w:tcPr>
            <w:tcW w:w="284" w:type="dxa"/>
            <w:tcBorders>
              <w:top w:val="nil"/>
              <w:left w:val="nil"/>
              <w:bottom w:val="single" w:sz="4" w:space="0" w:color="auto"/>
              <w:right w:val="nil"/>
            </w:tcBorders>
            <w:shd w:val="clear" w:color="auto" w:fill="auto"/>
            <w:noWrap/>
            <w:vAlign w:val="bottom"/>
            <w:hideMark/>
          </w:tcPr>
          <w:p w14:paraId="08B26359"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single" w:sz="4" w:space="0" w:color="auto"/>
              <w:right w:val="nil"/>
            </w:tcBorders>
            <w:shd w:val="clear" w:color="auto" w:fill="auto"/>
            <w:noWrap/>
            <w:vAlign w:val="bottom"/>
            <w:hideMark/>
          </w:tcPr>
          <w:p w14:paraId="3E99FB6A"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392,082</w:t>
            </w:r>
          </w:p>
        </w:tc>
        <w:tc>
          <w:tcPr>
            <w:tcW w:w="283" w:type="dxa"/>
            <w:tcBorders>
              <w:top w:val="nil"/>
              <w:left w:val="nil"/>
              <w:bottom w:val="single" w:sz="4" w:space="0" w:color="auto"/>
              <w:right w:val="single" w:sz="8" w:space="0" w:color="auto"/>
            </w:tcBorders>
            <w:shd w:val="clear" w:color="auto" w:fill="auto"/>
            <w:noWrap/>
            <w:vAlign w:val="bottom"/>
            <w:hideMark/>
          </w:tcPr>
          <w:p w14:paraId="344EE02F"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r>
      <w:tr w:rsidR="007405AE" w:rsidRPr="00031EB4" w14:paraId="0D3C47CF" w14:textId="77777777" w:rsidTr="00E22714">
        <w:trPr>
          <w:trHeight w:val="288"/>
          <w:jc w:val="center"/>
        </w:trPr>
        <w:tc>
          <w:tcPr>
            <w:tcW w:w="960" w:type="dxa"/>
            <w:tcBorders>
              <w:top w:val="nil"/>
              <w:left w:val="single" w:sz="8" w:space="0" w:color="auto"/>
              <w:bottom w:val="nil"/>
              <w:right w:val="nil"/>
            </w:tcBorders>
            <w:shd w:val="clear" w:color="auto" w:fill="auto"/>
            <w:noWrap/>
            <w:vAlign w:val="bottom"/>
            <w:hideMark/>
          </w:tcPr>
          <w:p w14:paraId="50F7690B"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2014</w:t>
            </w:r>
          </w:p>
        </w:tc>
        <w:tc>
          <w:tcPr>
            <w:tcW w:w="960" w:type="dxa"/>
            <w:tcBorders>
              <w:top w:val="nil"/>
              <w:left w:val="nil"/>
              <w:bottom w:val="nil"/>
              <w:right w:val="nil"/>
            </w:tcBorders>
            <w:shd w:val="clear" w:color="auto" w:fill="auto"/>
            <w:noWrap/>
            <w:vAlign w:val="bottom"/>
            <w:hideMark/>
          </w:tcPr>
          <w:p w14:paraId="3E85AE20"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50</w:t>
            </w:r>
          </w:p>
        </w:tc>
        <w:tc>
          <w:tcPr>
            <w:tcW w:w="831" w:type="dxa"/>
            <w:tcBorders>
              <w:top w:val="nil"/>
              <w:left w:val="nil"/>
              <w:bottom w:val="nil"/>
              <w:right w:val="nil"/>
            </w:tcBorders>
            <w:shd w:val="clear" w:color="auto" w:fill="auto"/>
            <w:noWrap/>
            <w:vAlign w:val="bottom"/>
            <w:hideMark/>
          </w:tcPr>
          <w:p w14:paraId="2975E761"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-546</w:t>
            </w:r>
          </w:p>
        </w:tc>
        <w:tc>
          <w:tcPr>
            <w:tcW w:w="283" w:type="dxa"/>
            <w:tcBorders>
              <w:top w:val="nil"/>
              <w:left w:val="nil"/>
              <w:bottom w:val="nil"/>
              <w:right w:val="nil"/>
            </w:tcBorders>
            <w:shd w:val="clear" w:color="auto" w:fill="auto"/>
            <w:noWrap/>
            <w:vAlign w:val="bottom"/>
            <w:hideMark/>
          </w:tcPr>
          <w:p w14:paraId="2B3A4157"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74E97CEC"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17,908</w:t>
            </w:r>
          </w:p>
        </w:tc>
        <w:tc>
          <w:tcPr>
            <w:tcW w:w="284" w:type="dxa"/>
            <w:tcBorders>
              <w:top w:val="nil"/>
              <w:left w:val="nil"/>
              <w:bottom w:val="nil"/>
              <w:right w:val="nil"/>
            </w:tcBorders>
            <w:shd w:val="clear" w:color="auto" w:fill="auto"/>
            <w:noWrap/>
            <w:vAlign w:val="bottom"/>
            <w:hideMark/>
          </w:tcPr>
          <w:p w14:paraId="3C6A4D2A"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551F1F98"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18,454</w:t>
            </w:r>
          </w:p>
        </w:tc>
        <w:tc>
          <w:tcPr>
            <w:tcW w:w="283" w:type="dxa"/>
            <w:tcBorders>
              <w:top w:val="nil"/>
              <w:left w:val="nil"/>
              <w:bottom w:val="nil"/>
              <w:right w:val="nil"/>
            </w:tcBorders>
            <w:shd w:val="clear" w:color="auto" w:fill="auto"/>
            <w:noWrap/>
            <w:vAlign w:val="bottom"/>
            <w:hideMark/>
          </w:tcPr>
          <w:p w14:paraId="260BF42B"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888" w:type="dxa"/>
            <w:tcBorders>
              <w:top w:val="nil"/>
              <w:left w:val="nil"/>
              <w:bottom w:val="nil"/>
              <w:right w:val="nil"/>
            </w:tcBorders>
            <w:shd w:val="clear" w:color="auto" w:fill="auto"/>
            <w:noWrap/>
            <w:vAlign w:val="bottom"/>
            <w:hideMark/>
          </w:tcPr>
          <w:p w14:paraId="33A2E951"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-15</w:t>
            </w:r>
          </w:p>
        </w:tc>
        <w:tc>
          <w:tcPr>
            <w:tcW w:w="284" w:type="dxa"/>
            <w:tcBorders>
              <w:top w:val="nil"/>
              <w:left w:val="nil"/>
              <w:bottom w:val="nil"/>
              <w:right w:val="nil"/>
            </w:tcBorders>
            <w:shd w:val="clear" w:color="auto" w:fill="auto"/>
            <w:noWrap/>
            <w:vAlign w:val="bottom"/>
            <w:hideMark/>
          </w:tcPr>
          <w:p w14:paraId="0BDD9E26"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5008C37D"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11,291</w:t>
            </w:r>
          </w:p>
        </w:tc>
        <w:tc>
          <w:tcPr>
            <w:tcW w:w="284" w:type="dxa"/>
            <w:tcBorders>
              <w:top w:val="nil"/>
              <w:left w:val="nil"/>
              <w:bottom w:val="nil"/>
              <w:right w:val="nil"/>
            </w:tcBorders>
            <w:shd w:val="clear" w:color="auto" w:fill="auto"/>
            <w:noWrap/>
            <w:vAlign w:val="bottom"/>
            <w:hideMark/>
          </w:tcPr>
          <w:p w14:paraId="7B406846"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70ED4BC6"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11,306</w:t>
            </w:r>
          </w:p>
        </w:tc>
        <w:tc>
          <w:tcPr>
            <w:tcW w:w="283" w:type="dxa"/>
            <w:tcBorders>
              <w:top w:val="nil"/>
              <w:left w:val="nil"/>
              <w:bottom w:val="nil"/>
              <w:right w:val="nil"/>
            </w:tcBorders>
            <w:shd w:val="clear" w:color="auto" w:fill="auto"/>
            <w:noWrap/>
            <w:vAlign w:val="bottom"/>
            <w:hideMark/>
          </w:tcPr>
          <w:p w14:paraId="5A80DEFE"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831" w:type="dxa"/>
            <w:tcBorders>
              <w:top w:val="nil"/>
              <w:left w:val="nil"/>
              <w:bottom w:val="nil"/>
              <w:right w:val="nil"/>
            </w:tcBorders>
            <w:shd w:val="clear" w:color="auto" w:fill="auto"/>
            <w:noWrap/>
            <w:vAlign w:val="bottom"/>
            <w:hideMark/>
          </w:tcPr>
          <w:p w14:paraId="1CF79E0D"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-561</w:t>
            </w:r>
          </w:p>
        </w:tc>
        <w:tc>
          <w:tcPr>
            <w:tcW w:w="283" w:type="dxa"/>
            <w:tcBorders>
              <w:top w:val="nil"/>
              <w:left w:val="nil"/>
              <w:bottom w:val="nil"/>
              <w:right w:val="nil"/>
            </w:tcBorders>
            <w:shd w:val="clear" w:color="auto" w:fill="auto"/>
            <w:noWrap/>
            <w:vAlign w:val="bottom"/>
            <w:hideMark/>
          </w:tcPr>
          <w:p w14:paraId="62772227"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0F660C4F"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29,199</w:t>
            </w:r>
          </w:p>
        </w:tc>
        <w:tc>
          <w:tcPr>
            <w:tcW w:w="284" w:type="dxa"/>
            <w:tcBorders>
              <w:top w:val="nil"/>
              <w:left w:val="nil"/>
              <w:bottom w:val="nil"/>
              <w:right w:val="nil"/>
            </w:tcBorders>
            <w:shd w:val="clear" w:color="auto" w:fill="auto"/>
            <w:noWrap/>
            <w:vAlign w:val="bottom"/>
            <w:hideMark/>
          </w:tcPr>
          <w:p w14:paraId="58F2F9E1"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7C691C01"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29,760</w:t>
            </w:r>
          </w:p>
        </w:tc>
        <w:tc>
          <w:tcPr>
            <w:tcW w:w="283" w:type="dxa"/>
            <w:tcBorders>
              <w:top w:val="nil"/>
              <w:left w:val="nil"/>
              <w:bottom w:val="nil"/>
              <w:right w:val="single" w:sz="8" w:space="0" w:color="auto"/>
            </w:tcBorders>
            <w:shd w:val="clear" w:color="auto" w:fill="auto"/>
            <w:noWrap/>
            <w:vAlign w:val="bottom"/>
            <w:hideMark/>
          </w:tcPr>
          <w:p w14:paraId="67644873"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r>
      <w:tr w:rsidR="007405AE" w:rsidRPr="00031EB4" w14:paraId="6AD9FE84" w14:textId="77777777" w:rsidTr="00E22714">
        <w:trPr>
          <w:trHeight w:val="288"/>
          <w:jc w:val="center"/>
        </w:trPr>
        <w:tc>
          <w:tcPr>
            <w:tcW w:w="960" w:type="dxa"/>
            <w:tcBorders>
              <w:top w:val="nil"/>
              <w:left w:val="single" w:sz="8" w:space="0" w:color="auto"/>
              <w:bottom w:val="nil"/>
              <w:right w:val="nil"/>
            </w:tcBorders>
            <w:shd w:val="clear" w:color="auto" w:fill="auto"/>
            <w:noWrap/>
            <w:vAlign w:val="bottom"/>
            <w:hideMark/>
          </w:tcPr>
          <w:p w14:paraId="5C9B967B"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 </w:t>
            </w:r>
          </w:p>
        </w:tc>
        <w:tc>
          <w:tcPr>
            <w:tcW w:w="960" w:type="dxa"/>
            <w:tcBorders>
              <w:top w:val="nil"/>
              <w:left w:val="nil"/>
              <w:bottom w:val="nil"/>
              <w:right w:val="nil"/>
            </w:tcBorders>
            <w:shd w:val="clear" w:color="auto" w:fill="auto"/>
            <w:noWrap/>
            <w:vAlign w:val="bottom"/>
            <w:hideMark/>
          </w:tcPr>
          <w:p w14:paraId="57E8D50F"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70</w:t>
            </w:r>
          </w:p>
        </w:tc>
        <w:tc>
          <w:tcPr>
            <w:tcW w:w="831" w:type="dxa"/>
            <w:tcBorders>
              <w:top w:val="nil"/>
              <w:left w:val="nil"/>
              <w:bottom w:val="nil"/>
              <w:right w:val="nil"/>
            </w:tcBorders>
            <w:shd w:val="clear" w:color="auto" w:fill="auto"/>
            <w:noWrap/>
            <w:vAlign w:val="bottom"/>
            <w:hideMark/>
          </w:tcPr>
          <w:p w14:paraId="1A427B44" w14:textId="77777777" w:rsidR="002E2937" w:rsidRPr="00031EB4" w:rsidRDefault="002E2937" w:rsidP="00E22714">
            <w:pPr>
              <w:spacing w:after="0" w:line="240" w:lineRule="auto"/>
              <w:jc w:val="right"/>
              <w:rPr>
                <w:rFonts w:ascii="Times New Roman" w:eastAsia="Times New Roman" w:hAnsi="Times New Roman" w:cs="Times New Roman"/>
                <w:b/>
                <w:bCs/>
                <w:sz w:val="16"/>
                <w:szCs w:val="16"/>
                <w:lang w:eastAsia="en-GB"/>
              </w:rPr>
            </w:pPr>
            <w:r w:rsidRPr="00031EB4">
              <w:rPr>
                <w:rFonts w:ascii="Times New Roman" w:eastAsia="Times New Roman" w:hAnsi="Times New Roman" w:cs="Times New Roman"/>
                <w:b/>
                <w:bCs/>
                <w:sz w:val="16"/>
                <w:szCs w:val="16"/>
                <w:lang w:eastAsia="en-GB"/>
              </w:rPr>
              <w:t>1,963</w:t>
            </w:r>
          </w:p>
        </w:tc>
        <w:tc>
          <w:tcPr>
            <w:tcW w:w="283" w:type="dxa"/>
            <w:tcBorders>
              <w:top w:val="nil"/>
              <w:left w:val="nil"/>
              <w:bottom w:val="nil"/>
              <w:right w:val="nil"/>
            </w:tcBorders>
            <w:shd w:val="clear" w:color="auto" w:fill="auto"/>
            <w:noWrap/>
            <w:vAlign w:val="bottom"/>
            <w:hideMark/>
          </w:tcPr>
          <w:p w14:paraId="037F98E1"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5118938E"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74,625</w:t>
            </w:r>
          </w:p>
        </w:tc>
        <w:tc>
          <w:tcPr>
            <w:tcW w:w="284" w:type="dxa"/>
            <w:tcBorders>
              <w:top w:val="nil"/>
              <w:left w:val="nil"/>
              <w:bottom w:val="nil"/>
              <w:right w:val="nil"/>
            </w:tcBorders>
            <w:shd w:val="clear" w:color="auto" w:fill="auto"/>
            <w:noWrap/>
            <w:vAlign w:val="bottom"/>
            <w:hideMark/>
          </w:tcPr>
          <w:p w14:paraId="36E181AF"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0438DAEA"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72,662</w:t>
            </w:r>
          </w:p>
        </w:tc>
        <w:tc>
          <w:tcPr>
            <w:tcW w:w="283" w:type="dxa"/>
            <w:tcBorders>
              <w:top w:val="nil"/>
              <w:left w:val="nil"/>
              <w:bottom w:val="nil"/>
              <w:right w:val="nil"/>
            </w:tcBorders>
            <w:shd w:val="clear" w:color="auto" w:fill="auto"/>
            <w:noWrap/>
            <w:vAlign w:val="bottom"/>
            <w:hideMark/>
          </w:tcPr>
          <w:p w14:paraId="1432E94D"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888" w:type="dxa"/>
            <w:tcBorders>
              <w:top w:val="nil"/>
              <w:left w:val="nil"/>
              <w:bottom w:val="nil"/>
              <w:right w:val="nil"/>
            </w:tcBorders>
            <w:shd w:val="clear" w:color="auto" w:fill="auto"/>
            <w:noWrap/>
            <w:vAlign w:val="bottom"/>
            <w:hideMark/>
          </w:tcPr>
          <w:p w14:paraId="002CDB7C" w14:textId="77777777" w:rsidR="002E2937" w:rsidRPr="00031EB4" w:rsidRDefault="002E2937" w:rsidP="00E22714">
            <w:pPr>
              <w:spacing w:after="0" w:line="240" w:lineRule="auto"/>
              <w:jc w:val="right"/>
              <w:rPr>
                <w:rFonts w:ascii="Times New Roman" w:eastAsia="Times New Roman" w:hAnsi="Times New Roman" w:cs="Times New Roman"/>
                <w:b/>
                <w:bCs/>
                <w:sz w:val="16"/>
                <w:szCs w:val="16"/>
                <w:lang w:eastAsia="en-GB"/>
              </w:rPr>
            </w:pPr>
            <w:r w:rsidRPr="00031EB4">
              <w:rPr>
                <w:rFonts w:ascii="Times New Roman" w:eastAsia="Times New Roman" w:hAnsi="Times New Roman" w:cs="Times New Roman"/>
                <w:b/>
                <w:bCs/>
                <w:sz w:val="16"/>
                <w:szCs w:val="16"/>
                <w:lang w:eastAsia="en-GB"/>
              </w:rPr>
              <w:t>1,257</w:t>
            </w:r>
          </w:p>
        </w:tc>
        <w:tc>
          <w:tcPr>
            <w:tcW w:w="284" w:type="dxa"/>
            <w:tcBorders>
              <w:top w:val="nil"/>
              <w:left w:val="nil"/>
              <w:bottom w:val="nil"/>
              <w:right w:val="nil"/>
            </w:tcBorders>
            <w:shd w:val="clear" w:color="auto" w:fill="auto"/>
            <w:noWrap/>
            <w:vAlign w:val="bottom"/>
            <w:hideMark/>
          </w:tcPr>
          <w:p w14:paraId="53ECD37A"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3F79C856"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49,967</w:t>
            </w:r>
          </w:p>
        </w:tc>
        <w:tc>
          <w:tcPr>
            <w:tcW w:w="284" w:type="dxa"/>
            <w:tcBorders>
              <w:top w:val="nil"/>
              <w:left w:val="nil"/>
              <w:bottom w:val="nil"/>
              <w:right w:val="nil"/>
            </w:tcBorders>
            <w:shd w:val="clear" w:color="auto" w:fill="auto"/>
            <w:noWrap/>
            <w:vAlign w:val="bottom"/>
            <w:hideMark/>
          </w:tcPr>
          <w:p w14:paraId="3E076B60"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3DAF1D70"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48,710</w:t>
            </w:r>
          </w:p>
        </w:tc>
        <w:tc>
          <w:tcPr>
            <w:tcW w:w="283" w:type="dxa"/>
            <w:tcBorders>
              <w:top w:val="nil"/>
              <w:left w:val="nil"/>
              <w:bottom w:val="nil"/>
              <w:right w:val="nil"/>
            </w:tcBorders>
            <w:shd w:val="clear" w:color="auto" w:fill="auto"/>
            <w:noWrap/>
            <w:vAlign w:val="bottom"/>
            <w:hideMark/>
          </w:tcPr>
          <w:p w14:paraId="02092A2F"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831" w:type="dxa"/>
            <w:tcBorders>
              <w:top w:val="nil"/>
              <w:left w:val="nil"/>
              <w:bottom w:val="nil"/>
              <w:right w:val="nil"/>
            </w:tcBorders>
            <w:shd w:val="clear" w:color="auto" w:fill="auto"/>
            <w:noWrap/>
            <w:vAlign w:val="bottom"/>
            <w:hideMark/>
          </w:tcPr>
          <w:p w14:paraId="34A3EE0B" w14:textId="77777777" w:rsidR="002E2937" w:rsidRPr="00031EB4" w:rsidRDefault="002E2937" w:rsidP="00E22714">
            <w:pPr>
              <w:spacing w:after="0" w:line="240" w:lineRule="auto"/>
              <w:jc w:val="right"/>
              <w:rPr>
                <w:rFonts w:ascii="Times New Roman" w:eastAsia="Times New Roman" w:hAnsi="Times New Roman" w:cs="Times New Roman"/>
                <w:b/>
                <w:bCs/>
                <w:sz w:val="16"/>
                <w:szCs w:val="16"/>
                <w:lang w:eastAsia="en-GB"/>
              </w:rPr>
            </w:pPr>
            <w:r w:rsidRPr="00031EB4">
              <w:rPr>
                <w:rFonts w:ascii="Times New Roman" w:eastAsia="Times New Roman" w:hAnsi="Times New Roman" w:cs="Times New Roman"/>
                <w:b/>
                <w:bCs/>
                <w:sz w:val="16"/>
                <w:szCs w:val="16"/>
                <w:lang w:eastAsia="en-GB"/>
              </w:rPr>
              <w:t>3,220</w:t>
            </w:r>
          </w:p>
        </w:tc>
        <w:tc>
          <w:tcPr>
            <w:tcW w:w="283" w:type="dxa"/>
            <w:tcBorders>
              <w:top w:val="nil"/>
              <w:left w:val="nil"/>
              <w:bottom w:val="nil"/>
              <w:right w:val="nil"/>
            </w:tcBorders>
            <w:shd w:val="clear" w:color="auto" w:fill="auto"/>
            <w:noWrap/>
            <w:vAlign w:val="bottom"/>
            <w:hideMark/>
          </w:tcPr>
          <w:p w14:paraId="0FEFF2D8"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03440098"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124,592</w:t>
            </w:r>
          </w:p>
        </w:tc>
        <w:tc>
          <w:tcPr>
            <w:tcW w:w="284" w:type="dxa"/>
            <w:tcBorders>
              <w:top w:val="nil"/>
              <w:left w:val="nil"/>
              <w:bottom w:val="nil"/>
              <w:right w:val="nil"/>
            </w:tcBorders>
            <w:shd w:val="clear" w:color="auto" w:fill="auto"/>
            <w:noWrap/>
            <w:vAlign w:val="bottom"/>
            <w:hideMark/>
          </w:tcPr>
          <w:p w14:paraId="62D77C91"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7FD2AD1A"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121,372</w:t>
            </w:r>
          </w:p>
        </w:tc>
        <w:tc>
          <w:tcPr>
            <w:tcW w:w="283" w:type="dxa"/>
            <w:tcBorders>
              <w:top w:val="nil"/>
              <w:left w:val="nil"/>
              <w:bottom w:val="nil"/>
              <w:right w:val="single" w:sz="8" w:space="0" w:color="auto"/>
            </w:tcBorders>
            <w:shd w:val="clear" w:color="auto" w:fill="auto"/>
            <w:noWrap/>
            <w:vAlign w:val="bottom"/>
            <w:hideMark/>
          </w:tcPr>
          <w:p w14:paraId="5047BAE7"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r>
      <w:tr w:rsidR="007405AE" w:rsidRPr="00031EB4" w14:paraId="3F2FD471" w14:textId="77777777" w:rsidTr="00E22714">
        <w:trPr>
          <w:trHeight w:val="288"/>
          <w:jc w:val="center"/>
        </w:trPr>
        <w:tc>
          <w:tcPr>
            <w:tcW w:w="960" w:type="dxa"/>
            <w:tcBorders>
              <w:top w:val="nil"/>
              <w:left w:val="single" w:sz="8" w:space="0" w:color="auto"/>
              <w:bottom w:val="single" w:sz="4" w:space="0" w:color="auto"/>
              <w:right w:val="nil"/>
            </w:tcBorders>
            <w:shd w:val="clear" w:color="auto" w:fill="auto"/>
            <w:noWrap/>
            <w:vAlign w:val="bottom"/>
            <w:hideMark/>
          </w:tcPr>
          <w:p w14:paraId="4805FC8C"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 </w:t>
            </w:r>
          </w:p>
        </w:tc>
        <w:tc>
          <w:tcPr>
            <w:tcW w:w="960" w:type="dxa"/>
            <w:tcBorders>
              <w:top w:val="nil"/>
              <w:left w:val="nil"/>
              <w:bottom w:val="single" w:sz="4" w:space="0" w:color="auto"/>
              <w:right w:val="nil"/>
            </w:tcBorders>
            <w:shd w:val="clear" w:color="auto" w:fill="auto"/>
            <w:noWrap/>
            <w:vAlign w:val="bottom"/>
            <w:hideMark/>
          </w:tcPr>
          <w:p w14:paraId="28B66499"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89</w:t>
            </w:r>
          </w:p>
        </w:tc>
        <w:tc>
          <w:tcPr>
            <w:tcW w:w="831" w:type="dxa"/>
            <w:tcBorders>
              <w:top w:val="nil"/>
              <w:left w:val="nil"/>
              <w:bottom w:val="single" w:sz="4" w:space="0" w:color="auto"/>
              <w:right w:val="nil"/>
            </w:tcBorders>
            <w:shd w:val="clear" w:color="auto" w:fill="auto"/>
            <w:noWrap/>
            <w:vAlign w:val="bottom"/>
            <w:hideMark/>
          </w:tcPr>
          <w:p w14:paraId="783DFDF9" w14:textId="77777777" w:rsidR="002E2937" w:rsidRPr="00031EB4" w:rsidRDefault="002E2937" w:rsidP="00E22714">
            <w:pPr>
              <w:spacing w:after="0" w:line="240" w:lineRule="auto"/>
              <w:jc w:val="right"/>
              <w:rPr>
                <w:rFonts w:ascii="Times New Roman" w:eastAsia="Times New Roman" w:hAnsi="Times New Roman" w:cs="Times New Roman"/>
                <w:b/>
                <w:bCs/>
                <w:sz w:val="16"/>
                <w:szCs w:val="16"/>
                <w:lang w:eastAsia="en-GB"/>
              </w:rPr>
            </w:pPr>
            <w:r w:rsidRPr="00031EB4">
              <w:rPr>
                <w:rFonts w:ascii="Times New Roman" w:eastAsia="Times New Roman" w:hAnsi="Times New Roman" w:cs="Times New Roman"/>
                <w:b/>
                <w:bCs/>
                <w:sz w:val="16"/>
                <w:szCs w:val="16"/>
                <w:lang w:eastAsia="en-GB"/>
              </w:rPr>
              <w:t>6,741</w:t>
            </w:r>
          </w:p>
        </w:tc>
        <w:tc>
          <w:tcPr>
            <w:tcW w:w="283" w:type="dxa"/>
            <w:tcBorders>
              <w:top w:val="nil"/>
              <w:left w:val="nil"/>
              <w:bottom w:val="single" w:sz="4" w:space="0" w:color="auto"/>
              <w:right w:val="nil"/>
            </w:tcBorders>
            <w:shd w:val="clear" w:color="auto" w:fill="auto"/>
            <w:noWrap/>
            <w:vAlign w:val="bottom"/>
            <w:hideMark/>
          </w:tcPr>
          <w:p w14:paraId="7D4522BA"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single" w:sz="4" w:space="0" w:color="auto"/>
              <w:right w:val="nil"/>
            </w:tcBorders>
            <w:shd w:val="clear" w:color="auto" w:fill="auto"/>
            <w:noWrap/>
            <w:vAlign w:val="bottom"/>
            <w:hideMark/>
          </w:tcPr>
          <w:p w14:paraId="605241B7"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212,499</w:t>
            </w:r>
          </w:p>
        </w:tc>
        <w:tc>
          <w:tcPr>
            <w:tcW w:w="284" w:type="dxa"/>
            <w:tcBorders>
              <w:top w:val="nil"/>
              <w:left w:val="nil"/>
              <w:bottom w:val="single" w:sz="4" w:space="0" w:color="auto"/>
              <w:right w:val="nil"/>
            </w:tcBorders>
            <w:shd w:val="clear" w:color="auto" w:fill="auto"/>
            <w:noWrap/>
            <w:vAlign w:val="bottom"/>
            <w:hideMark/>
          </w:tcPr>
          <w:p w14:paraId="4EAFE4F8"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single" w:sz="4" w:space="0" w:color="auto"/>
              <w:right w:val="nil"/>
            </w:tcBorders>
            <w:shd w:val="clear" w:color="auto" w:fill="auto"/>
            <w:noWrap/>
            <w:vAlign w:val="bottom"/>
            <w:hideMark/>
          </w:tcPr>
          <w:p w14:paraId="4CEFCF9E"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205,758</w:t>
            </w:r>
          </w:p>
        </w:tc>
        <w:tc>
          <w:tcPr>
            <w:tcW w:w="283" w:type="dxa"/>
            <w:tcBorders>
              <w:top w:val="nil"/>
              <w:left w:val="nil"/>
              <w:bottom w:val="single" w:sz="4" w:space="0" w:color="auto"/>
              <w:right w:val="nil"/>
            </w:tcBorders>
            <w:shd w:val="clear" w:color="auto" w:fill="auto"/>
            <w:noWrap/>
            <w:vAlign w:val="bottom"/>
            <w:hideMark/>
          </w:tcPr>
          <w:p w14:paraId="26FCABDA"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888" w:type="dxa"/>
            <w:tcBorders>
              <w:top w:val="nil"/>
              <w:left w:val="nil"/>
              <w:bottom w:val="single" w:sz="4" w:space="0" w:color="auto"/>
              <w:right w:val="nil"/>
            </w:tcBorders>
            <w:shd w:val="clear" w:color="auto" w:fill="auto"/>
            <w:noWrap/>
            <w:vAlign w:val="bottom"/>
            <w:hideMark/>
          </w:tcPr>
          <w:p w14:paraId="4659A0AA" w14:textId="77777777" w:rsidR="002E2937" w:rsidRPr="00031EB4" w:rsidRDefault="002E2937" w:rsidP="00E22714">
            <w:pPr>
              <w:spacing w:after="0" w:line="240" w:lineRule="auto"/>
              <w:jc w:val="right"/>
              <w:rPr>
                <w:rFonts w:ascii="Times New Roman" w:eastAsia="Times New Roman" w:hAnsi="Times New Roman" w:cs="Times New Roman"/>
                <w:b/>
                <w:bCs/>
                <w:sz w:val="16"/>
                <w:szCs w:val="16"/>
                <w:lang w:eastAsia="en-GB"/>
              </w:rPr>
            </w:pPr>
            <w:r w:rsidRPr="00031EB4">
              <w:rPr>
                <w:rFonts w:ascii="Times New Roman" w:eastAsia="Times New Roman" w:hAnsi="Times New Roman" w:cs="Times New Roman"/>
                <w:b/>
                <w:bCs/>
                <w:sz w:val="16"/>
                <w:szCs w:val="16"/>
                <w:lang w:eastAsia="en-GB"/>
              </w:rPr>
              <w:t>2,079</w:t>
            </w:r>
          </w:p>
        </w:tc>
        <w:tc>
          <w:tcPr>
            <w:tcW w:w="284" w:type="dxa"/>
            <w:tcBorders>
              <w:top w:val="nil"/>
              <w:left w:val="nil"/>
              <w:bottom w:val="single" w:sz="4" w:space="0" w:color="auto"/>
              <w:right w:val="nil"/>
            </w:tcBorders>
            <w:shd w:val="clear" w:color="auto" w:fill="auto"/>
            <w:noWrap/>
            <w:vAlign w:val="bottom"/>
            <w:hideMark/>
          </w:tcPr>
          <w:p w14:paraId="777564C2"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single" w:sz="4" w:space="0" w:color="auto"/>
              <w:right w:val="nil"/>
            </w:tcBorders>
            <w:shd w:val="clear" w:color="auto" w:fill="auto"/>
            <w:noWrap/>
            <w:vAlign w:val="bottom"/>
            <w:hideMark/>
          </w:tcPr>
          <w:p w14:paraId="6DA75FDC"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185,505</w:t>
            </w:r>
          </w:p>
        </w:tc>
        <w:tc>
          <w:tcPr>
            <w:tcW w:w="284" w:type="dxa"/>
            <w:tcBorders>
              <w:top w:val="nil"/>
              <w:left w:val="nil"/>
              <w:bottom w:val="single" w:sz="4" w:space="0" w:color="auto"/>
              <w:right w:val="nil"/>
            </w:tcBorders>
            <w:shd w:val="clear" w:color="auto" w:fill="auto"/>
            <w:noWrap/>
            <w:vAlign w:val="bottom"/>
            <w:hideMark/>
          </w:tcPr>
          <w:p w14:paraId="49155EA7"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single" w:sz="4" w:space="0" w:color="auto"/>
              <w:right w:val="nil"/>
            </w:tcBorders>
            <w:shd w:val="clear" w:color="auto" w:fill="auto"/>
            <w:noWrap/>
            <w:vAlign w:val="bottom"/>
            <w:hideMark/>
          </w:tcPr>
          <w:p w14:paraId="53DCFD84"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183,426</w:t>
            </w:r>
          </w:p>
        </w:tc>
        <w:tc>
          <w:tcPr>
            <w:tcW w:w="283" w:type="dxa"/>
            <w:tcBorders>
              <w:top w:val="nil"/>
              <w:left w:val="nil"/>
              <w:bottom w:val="single" w:sz="4" w:space="0" w:color="auto"/>
              <w:right w:val="nil"/>
            </w:tcBorders>
            <w:shd w:val="clear" w:color="auto" w:fill="auto"/>
            <w:noWrap/>
            <w:vAlign w:val="bottom"/>
            <w:hideMark/>
          </w:tcPr>
          <w:p w14:paraId="5FF68A6A"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831" w:type="dxa"/>
            <w:tcBorders>
              <w:top w:val="nil"/>
              <w:left w:val="nil"/>
              <w:bottom w:val="single" w:sz="4" w:space="0" w:color="auto"/>
              <w:right w:val="nil"/>
            </w:tcBorders>
            <w:shd w:val="clear" w:color="auto" w:fill="auto"/>
            <w:noWrap/>
            <w:vAlign w:val="bottom"/>
            <w:hideMark/>
          </w:tcPr>
          <w:p w14:paraId="10290011" w14:textId="77777777" w:rsidR="002E2937" w:rsidRPr="00031EB4" w:rsidRDefault="002E2937" w:rsidP="00E22714">
            <w:pPr>
              <w:spacing w:after="0" w:line="240" w:lineRule="auto"/>
              <w:jc w:val="right"/>
              <w:rPr>
                <w:rFonts w:ascii="Times New Roman" w:eastAsia="Times New Roman" w:hAnsi="Times New Roman" w:cs="Times New Roman"/>
                <w:b/>
                <w:bCs/>
                <w:sz w:val="16"/>
                <w:szCs w:val="16"/>
                <w:lang w:eastAsia="en-GB"/>
              </w:rPr>
            </w:pPr>
            <w:r w:rsidRPr="00031EB4">
              <w:rPr>
                <w:rFonts w:ascii="Times New Roman" w:eastAsia="Times New Roman" w:hAnsi="Times New Roman" w:cs="Times New Roman"/>
                <w:b/>
                <w:bCs/>
                <w:sz w:val="16"/>
                <w:szCs w:val="16"/>
                <w:lang w:eastAsia="en-GB"/>
              </w:rPr>
              <w:t>8,820</w:t>
            </w:r>
          </w:p>
        </w:tc>
        <w:tc>
          <w:tcPr>
            <w:tcW w:w="283" w:type="dxa"/>
            <w:tcBorders>
              <w:top w:val="nil"/>
              <w:left w:val="nil"/>
              <w:bottom w:val="single" w:sz="4" w:space="0" w:color="auto"/>
              <w:right w:val="nil"/>
            </w:tcBorders>
            <w:shd w:val="clear" w:color="auto" w:fill="auto"/>
            <w:noWrap/>
            <w:vAlign w:val="bottom"/>
            <w:hideMark/>
          </w:tcPr>
          <w:p w14:paraId="0FF453CF"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single" w:sz="4" w:space="0" w:color="auto"/>
              <w:right w:val="nil"/>
            </w:tcBorders>
            <w:shd w:val="clear" w:color="auto" w:fill="auto"/>
            <w:noWrap/>
            <w:vAlign w:val="bottom"/>
            <w:hideMark/>
          </w:tcPr>
          <w:p w14:paraId="2B3FF88E"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398,004</w:t>
            </w:r>
          </w:p>
        </w:tc>
        <w:tc>
          <w:tcPr>
            <w:tcW w:w="284" w:type="dxa"/>
            <w:tcBorders>
              <w:top w:val="nil"/>
              <w:left w:val="nil"/>
              <w:bottom w:val="single" w:sz="4" w:space="0" w:color="auto"/>
              <w:right w:val="nil"/>
            </w:tcBorders>
            <w:shd w:val="clear" w:color="auto" w:fill="auto"/>
            <w:noWrap/>
            <w:vAlign w:val="bottom"/>
            <w:hideMark/>
          </w:tcPr>
          <w:p w14:paraId="502F1695"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single" w:sz="4" w:space="0" w:color="auto"/>
              <w:right w:val="nil"/>
            </w:tcBorders>
            <w:shd w:val="clear" w:color="auto" w:fill="auto"/>
            <w:noWrap/>
            <w:vAlign w:val="bottom"/>
            <w:hideMark/>
          </w:tcPr>
          <w:p w14:paraId="39823868"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389,184</w:t>
            </w:r>
          </w:p>
        </w:tc>
        <w:tc>
          <w:tcPr>
            <w:tcW w:w="283" w:type="dxa"/>
            <w:tcBorders>
              <w:top w:val="nil"/>
              <w:left w:val="nil"/>
              <w:bottom w:val="single" w:sz="4" w:space="0" w:color="auto"/>
              <w:right w:val="single" w:sz="8" w:space="0" w:color="auto"/>
            </w:tcBorders>
            <w:shd w:val="clear" w:color="auto" w:fill="auto"/>
            <w:noWrap/>
            <w:vAlign w:val="bottom"/>
            <w:hideMark/>
          </w:tcPr>
          <w:p w14:paraId="53BAC54C"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r>
      <w:tr w:rsidR="007405AE" w:rsidRPr="00031EB4" w14:paraId="06B36FB8" w14:textId="77777777" w:rsidTr="00E22714">
        <w:trPr>
          <w:trHeight w:val="288"/>
          <w:jc w:val="center"/>
        </w:trPr>
        <w:tc>
          <w:tcPr>
            <w:tcW w:w="960" w:type="dxa"/>
            <w:tcBorders>
              <w:top w:val="nil"/>
              <w:left w:val="single" w:sz="8" w:space="0" w:color="auto"/>
              <w:bottom w:val="nil"/>
              <w:right w:val="nil"/>
            </w:tcBorders>
            <w:shd w:val="clear" w:color="auto" w:fill="auto"/>
            <w:noWrap/>
            <w:vAlign w:val="bottom"/>
            <w:hideMark/>
          </w:tcPr>
          <w:p w14:paraId="28F5D91B"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2015</w:t>
            </w:r>
          </w:p>
        </w:tc>
        <w:tc>
          <w:tcPr>
            <w:tcW w:w="960" w:type="dxa"/>
            <w:tcBorders>
              <w:top w:val="nil"/>
              <w:left w:val="nil"/>
              <w:bottom w:val="nil"/>
              <w:right w:val="nil"/>
            </w:tcBorders>
            <w:shd w:val="clear" w:color="auto" w:fill="auto"/>
            <w:noWrap/>
            <w:vAlign w:val="bottom"/>
            <w:hideMark/>
          </w:tcPr>
          <w:p w14:paraId="7A96A36B"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50</w:t>
            </w:r>
          </w:p>
        </w:tc>
        <w:tc>
          <w:tcPr>
            <w:tcW w:w="831" w:type="dxa"/>
            <w:tcBorders>
              <w:top w:val="nil"/>
              <w:left w:val="nil"/>
              <w:bottom w:val="nil"/>
              <w:right w:val="nil"/>
            </w:tcBorders>
            <w:shd w:val="clear" w:color="auto" w:fill="auto"/>
            <w:noWrap/>
            <w:vAlign w:val="bottom"/>
            <w:hideMark/>
          </w:tcPr>
          <w:p w14:paraId="00082C12"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-1,845</w:t>
            </w:r>
          </w:p>
        </w:tc>
        <w:tc>
          <w:tcPr>
            <w:tcW w:w="283" w:type="dxa"/>
            <w:tcBorders>
              <w:top w:val="nil"/>
              <w:left w:val="nil"/>
              <w:bottom w:val="nil"/>
              <w:right w:val="nil"/>
            </w:tcBorders>
            <w:shd w:val="clear" w:color="auto" w:fill="auto"/>
            <w:noWrap/>
            <w:vAlign w:val="bottom"/>
            <w:hideMark/>
          </w:tcPr>
          <w:p w14:paraId="548F6D1A"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1D5971FD"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16,288</w:t>
            </w:r>
          </w:p>
        </w:tc>
        <w:tc>
          <w:tcPr>
            <w:tcW w:w="284" w:type="dxa"/>
            <w:tcBorders>
              <w:top w:val="nil"/>
              <w:left w:val="nil"/>
              <w:bottom w:val="nil"/>
              <w:right w:val="nil"/>
            </w:tcBorders>
            <w:shd w:val="clear" w:color="auto" w:fill="auto"/>
            <w:noWrap/>
            <w:vAlign w:val="bottom"/>
            <w:hideMark/>
          </w:tcPr>
          <w:p w14:paraId="0B76BB79"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6502CC26"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18,133</w:t>
            </w:r>
          </w:p>
        </w:tc>
        <w:tc>
          <w:tcPr>
            <w:tcW w:w="283" w:type="dxa"/>
            <w:tcBorders>
              <w:top w:val="nil"/>
              <w:left w:val="nil"/>
              <w:bottom w:val="nil"/>
              <w:right w:val="nil"/>
            </w:tcBorders>
            <w:shd w:val="clear" w:color="auto" w:fill="auto"/>
            <w:noWrap/>
            <w:vAlign w:val="bottom"/>
            <w:hideMark/>
          </w:tcPr>
          <w:p w14:paraId="375EBAAD"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888" w:type="dxa"/>
            <w:tcBorders>
              <w:top w:val="nil"/>
              <w:left w:val="nil"/>
              <w:bottom w:val="nil"/>
              <w:right w:val="nil"/>
            </w:tcBorders>
            <w:shd w:val="clear" w:color="auto" w:fill="auto"/>
            <w:noWrap/>
            <w:vAlign w:val="bottom"/>
            <w:hideMark/>
          </w:tcPr>
          <w:p w14:paraId="482C55C4"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-816</w:t>
            </w:r>
          </w:p>
        </w:tc>
        <w:tc>
          <w:tcPr>
            <w:tcW w:w="284" w:type="dxa"/>
            <w:tcBorders>
              <w:top w:val="nil"/>
              <w:left w:val="nil"/>
              <w:bottom w:val="nil"/>
              <w:right w:val="nil"/>
            </w:tcBorders>
            <w:shd w:val="clear" w:color="auto" w:fill="auto"/>
            <w:noWrap/>
            <w:vAlign w:val="bottom"/>
            <w:hideMark/>
          </w:tcPr>
          <w:p w14:paraId="67E30EA7"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0CB5FD54"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10,279</w:t>
            </w:r>
          </w:p>
        </w:tc>
        <w:tc>
          <w:tcPr>
            <w:tcW w:w="284" w:type="dxa"/>
            <w:tcBorders>
              <w:top w:val="nil"/>
              <w:left w:val="nil"/>
              <w:bottom w:val="nil"/>
              <w:right w:val="nil"/>
            </w:tcBorders>
            <w:shd w:val="clear" w:color="auto" w:fill="auto"/>
            <w:noWrap/>
            <w:vAlign w:val="bottom"/>
            <w:hideMark/>
          </w:tcPr>
          <w:p w14:paraId="3CC43F21"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4FB6B6FE"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11,095</w:t>
            </w:r>
          </w:p>
        </w:tc>
        <w:tc>
          <w:tcPr>
            <w:tcW w:w="283" w:type="dxa"/>
            <w:tcBorders>
              <w:top w:val="nil"/>
              <w:left w:val="nil"/>
              <w:bottom w:val="nil"/>
              <w:right w:val="nil"/>
            </w:tcBorders>
            <w:shd w:val="clear" w:color="auto" w:fill="auto"/>
            <w:noWrap/>
            <w:vAlign w:val="bottom"/>
            <w:hideMark/>
          </w:tcPr>
          <w:p w14:paraId="2F971E98"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831" w:type="dxa"/>
            <w:tcBorders>
              <w:top w:val="nil"/>
              <w:left w:val="nil"/>
              <w:bottom w:val="nil"/>
              <w:right w:val="nil"/>
            </w:tcBorders>
            <w:shd w:val="clear" w:color="auto" w:fill="auto"/>
            <w:noWrap/>
            <w:vAlign w:val="bottom"/>
            <w:hideMark/>
          </w:tcPr>
          <w:p w14:paraId="537D6B69"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-2,661</w:t>
            </w:r>
          </w:p>
        </w:tc>
        <w:tc>
          <w:tcPr>
            <w:tcW w:w="283" w:type="dxa"/>
            <w:tcBorders>
              <w:top w:val="nil"/>
              <w:left w:val="nil"/>
              <w:bottom w:val="nil"/>
              <w:right w:val="nil"/>
            </w:tcBorders>
            <w:shd w:val="clear" w:color="auto" w:fill="auto"/>
            <w:noWrap/>
            <w:vAlign w:val="bottom"/>
            <w:hideMark/>
          </w:tcPr>
          <w:p w14:paraId="0D8E6BD9"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2BCC08FF"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26,567</w:t>
            </w:r>
          </w:p>
        </w:tc>
        <w:tc>
          <w:tcPr>
            <w:tcW w:w="284" w:type="dxa"/>
            <w:tcBorders>
              <w:top w:val="nil"/>
              <w:left w:val="nil"/>
              <w:bottom w:val="nil"/>
              <w:right w:val="nil"/>
            </w:tcBorders>
            <w:shd w:val="clear" w:color="auto" w:fill="auto"/>
            <w:noWrap/>
            <w:vAlign w:val="bottom"/>
            <w:hideMark/>
          </w:tcPr>
          <w:p w14:paraId="4D81FC12"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0EB02BCA"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29,228</w:t>
            </w:r>
          </w:p>
        </w:tc>
        <w:tc>
          <w:tcPr>
            <w:tcW w:w="283" w:type="dxa"/>
            <w:tcBorders>
              <w:top w:val="nil"/>
              <w:left w:val="nil"/>
              <w:bottom w:val="nil"/>
              <w:right w:val="single" w:sz="8" w:space="0" w:color="auto"/>
            </w:tcBorders>
            <w:shd w:val="clear" w:color="auto" w:fill="auto"/>
            <w:noWrap/>
            <w:vAlign w:val="bottom"/>
            <w:hideMark/>
          </w:tcPr>
          <w:p w14:paraId="178C916B"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r>
      <w:tr w:rsidR="007405AE" w:rsidRPr="00031EB4" w14:paraId="594508FA" w14:textId="77777777" w:rsidTr="00E22714">
        <w:trPr>
          <w:trHeight w:val="288"/>
          <w:jc w:val="center"/>
        </w:trPr>
        <w:tc>
          <w:tcPr>
            <w:tcW w:w="960" w:type="dxa"/>
            <w:tcBorders>
              <w:top w:val="nil"/>
              <w:left w:val="single" w:sz="8" w:space="0" w:color="auto"/>
              <w:bottom w:val="nil"/>
              <w:right w:val="nil"/>
            </w:tcBorders>
            <w:shd w:val="clear" w:color="auto" w:fill="auto"/>
            <w:noWrap/>
            <w:vAlign w:val="bottom"/>
            <w:hideMark/>
          </w:tcPr>
          <w:p w14:paraId="2CD1A203"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 </w:t>
            </w:r>
          </w:p>
        </w:tc>
        <w:tc>
          <w:tcPr>
            <w:tcW w:w="960" w:type="dxa"/>
            <w:tcBorders>
              <w:top w:val="nil"/>
              <w:left w:val="nil"/>
              <w:bottom w:val="nil"/>
              <w:right w:val="nil"/>
            </w:tcBorders>
            <w:shd w:val="clear" w:color="auto" w:fill="auto"/>
            <w:noWrap/>
            <w:vAlign w:val="bottom"/>
            <w:hideMark/>
          </w:tcPr>
          <w:p w14:paraId="01412177"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70</w:t>
            </w:r>
          </w:p>
        </w:tc>
        <w:tc>
          <w:tcPr>
            <w:tcW w:w="831" w:type="dxa"/>
            <w:tcBorders>
              <w:top w:val="nil"/>
              <w:left w:val="nil"/>
              <w:bottom w:val="nil"/>
              <w:right w:val="nil"/>
            </w:tcBorders>
            <w:shd w:val="clear" w:color="auto" w:fill="auto"/>
            <w:noWrap/>
            <w:vAlign w:val="bottom"/>
            <w:hideMark/>
          </w:tcPr>
          <w:p w14:paraId="3AAD7393" w14:textId="77777777" w:rsidR="002E2937" w:rsidRPr="00031EB4" w:rsidRDefault="002E2937" w:rsidP="00E22714">
            <w:pPr>
              <w:spacing w:after="0" w:line="240" w:lineRule="auto"/>
              <w:jc w:val="right"/>
              <w:rPr>
                <w:rFonts w:ascii="Times New Roman" w:eastAsia="Times New Roman" w:hAnsi="Times New Roman" w:cs="Times New Roman"/>
                <w:b/>
                <w:bCs/>
                <w:sz w:val="16"/>
                <w:szCs w:val="16"/>
                <w:lang w:eastAsia="en-GB"/>
              </w:rPr>
            </w:pPr>
            <w:r w:rsidRPr="00031EB4">
              <w:rPr>
                <w:rFonts w:ascii="Times New Roman" w:eastAsia="Times New Roman" w:hAnsi="Times New Roman" w:cs="Times New Roman"/>
                <w:b/>
                <w:bCs/>
                <w:sz w:val="16"/>
                <w:szCs w:val="16"/>
                <w:lang w:eastAsia="en-GB"/>
              </w:rPr>
              <w:t>82</w:t>
            </w:r>
          </w:p>
        </w:tc>
        <w:tc>
          <w:tcPr>
            <w:tcW w:w="283" w:type="dxa"/>
            <w:tcBorders>
              <w:top w:val="nil"/>
              <w:left w:val="nil"/>
              <w:bottom w:val="nil"/>
              <w:right w:val="nil"/>
            </w:tcBorders>
            <w:shd w:val="clear" w:color="auto" w:fill="auto"/>
            <w:noWrap/>
            <w:vAlign w:val="bottom"/>
            <w:hideMark/>
          </w:tcPr>
          <w:p w14:paraId="2B37A1BA"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10441AEA"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71,541</w:t>
            </w:r>
          </w:p>
        </w:tc>
        <w:tc>
          <w:tcPr>
            <w:tcW w:w="284" w:type="dxa"/>
            <w:tcBorders>
              <w:top w:val="nil"/>
              <w:left w:val="nil"/>
              <w:bottom w:val="nil"/>
              <w:right w:val="nil"/>
            </w:tcBorders>
            <w:shd w:val="clear" w:color="auto" w:fill="auto"/>
            <w:noWrap/>
            <w:vAlign w:val="bottom"/>
            <w:hideMark/>
          </w:tcPr>
          <w:p w14:paraId="1FC93B48"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05F3FC72"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71,459</w:t>
            </w:r>
          </w:p>
        </w:tc>
        <w:tc>
          <w:tcPr>
            <w:tcW w:w="283" w:type="dxa"/>
            <w:tcBorders>
              <w:top w:val="nil"/>
              <w:left w:val="nil"/>
              <w:bottom w:val="nil"/>
              <w:right w:val="nil"/>
            </w:tcBorders>
            <w:shd w:val="clear" w:color="auto" w:fill="auto"/>
            <w:noWrap/>
            <w:vAlign w:val="bottom"/>
            <w:hideMark/>
          </w:tcPr>
          <w:p w14:paraId="7C28593B"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888" w:type="dxa"/>
            <w:tcBorders>
              <w:top w:val="nil"/>
              <w:left w:val="nil"/>
              <w:bottom w:val="nil"/>
              <w:right w:val="nil"/>
            </w:tcBorders>
            <w:shd w:val="clear" w:color="auto" w:fill="auto"/>
            <w:noWrap/>
            <w:vAlign w:val="bottom"/>
            <w:hideMark/>
          </w:tcPr>
          <w:p w14:paraId="32F43900" w14:textId="77777777" w:rsidR="002E2937" w:rsidRPr="00031EB4" w:rsidRDefault="002E2937" w:rsidP="00E22714">
            <w:pPr>
              <w:spacing w:after="0" w:line="240" w:lineRule="auto"/>
              <w:jc w:val="right"/>
              <w:rPr>
                <w:rFonts w:ascii="Times New Roman" w:eastAsia="Times New Roman" w:hAnsi="Times New Roman" w:cs="Times New Roman"/>
                <w:b/>
                <w:bCs/>
                <w:sz w:val="16"/>
                <w:szCs w:val="16"/>
                <w:lang w:eastAsia="en-GB"/>
              </w:rPr>
            </w:pPr>
            <w:r w:rsidRPr="00031EB4">
              <w:rPr>
                <w:rFonts w:ascii="Times New Roman" w:eastAsia="Times New Roman" w:hAnsi="Times New Roman" w:cs="Times New Roman"/>
                <w:b/>
                <w:bCs/>
                <w:sz w:val="16"/>
                <w:szCs w:val="16"/>
                <w:lang w:eastAsia="en-GB"/>
              </w:rPr>
              <w:t>392</w:t>
            </w:r>
          </w:p>
        </w:tc>
        <w:tc>
          <w:tcPr>
            <w:tcW w:w="284" w:type="dxa"/>
            <w:tcBorders>
              <w:top w:val="nil"/>
              <w:left w:val="nil"/>
              <w:bottom w:val="nil"/>
              <w:right w:val="nil"/>
            </w:tcBorders>
            <w:shd w:val="clear" w:color="auto" w:fill="auto"/>
            <w:noWrap/>
            <w:vAlign w:val="bottom"/>
            <w:hideMark/>
          </w:tcPr>
          <w:p w14:paraId="5E3B858C"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2C7F2FD1"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48,525</w:t>
            </w:r>
          </w:p>
        </w:tc>
        <w:tc>
          <w:tcPr>
            <w:tcW w:w="284" w:type="dxa"/>
            <w:tcBorders>
              <w:top w:val="nil"/>
              <w:left w:val="nil"/>
              <w:bottom w:val="nil"/>
              <w:right w:val="nil"/>
            </w:tcBorders>
            <w:shd w:val="clear" w:color="auto" w:fill="auto"/>
            <w:noWrap/>
            <w:vAlign w:val="bottom"/>
            <w:hideMark/>
          </w:tcPr>
          <w:p w14:paraId="265A243E"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6B2D24A7"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48,133</w:t>
            </w:r>
          </w:p>
        </w:tc>
        <w:tc>
          <w:tcPr>
            <w:tcW w:w="283" w:type="dxa"/>
            <w:tcBorders>
              <w:top w:val="nil"/>
              <w:left w:val="nil"/>
              <w:bottom w:val="nil"/>
              <w:right w:val="nil"/>
            </w:tcBorders>
            <w:shd w:val="clear" w:color="auto" w:fill="auto"/>
            <w:noWrap/>
            <w:vAlign w:val="bottom"/>
            <w:hideMark/>
          </w:tcPr>
          <w:p w14:paraId="3DE41B78"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831" w:type="dxa"/>
            <w:tcBorders>
              <w:top w:val="nil"/>
              <w:left w:val="nil"/>
              <w:bottom w:val="nil"/>
              <w:right w:val="nil"/>
            </w:tcBorders>
            <w:shd w:val="clear" w:color="auto" w:fill="auto"/>
            <w:noWrap/>
            <w:vAlign w:val="bottom"/>
            <w:hideMark/>
          </w:tcPr>
          <w:p w14:paraId="72FEADB9" w14:textId="77777777" w:rsidR="002E2937" w:rsidRPr="00031EB4" w:rsidRDefault="002E2937" w:rsidP="00E22714">
            <w:pPr>
              <w:spacing w:after="0" w:line="240" w:lineRule="auto"/>
              <w:jc w:val="right"/>
              <w:rPr>
                <w:rFonts w:ascii="Times New Roman" w:eastAsia="Times New Roman" w:hAnsi="Times New Roman" w:cs="Times New Roman"/>
                <w:b/>
                <w:bCs/>
                <w:sz w:val="16"/>
                <w:szCs w:val="16"/>
                <w:lang w:eastAsia="en-GB"/>
              </w:rPr>
            </w:pPr>
            <w:r w:rsidRPr="00031EB4">
              <w:rPr>
                <w:rFonts w:ascii="Times New Roman" w:eastAsia="Times New Roman" w:hAnsi="Times New Roman" w:cs="Times New Roman"/>
                <w:b/>
                <w:bCs/>
                <w:sz w:val="16"/>
                <w:szCs w:val="16"/>
                <w:lang w:eastAsia="en-GB"/>
              </w:rPr>
              <w:t>474</w:t>
            </w:r>
          </w:p>
        </w:tc>
        <w:tc>
          <w:tcPr>
            <w:tcW w:w="283" w:type="dxa"/>
            <w:tcBorders>
              <w:top w:val="nil"/>
              <w:left w:val="nil"/>
              <w:bottom w:val="nil"/>
              <w:right w:val="nil"/>
            </w:tcBorders>
            <w:shd w:val="clear" w:color="auto" w:fill="auto"/>
            <w:noWrap/>
            <w:vAlign w:val="bottom"/>
            <w:hideMark/>
          </w:tcPr>
          <w:p w14:paraId="2F5B77F6"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6315E59E"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120,066</w:t>
            </w:r>
          </w:p>
        </w:tc>
        <w:tc>
          <w:tcPr>
            <w:tcW w:w="284" w:type="dxa"/>
            <w:tcBorders>
              <w:top w:val="nil"/>
              <w:left w:val="nil"/>
              <w:bottom w:val="nil"/>
              <w:right w:val="nil"/>
            </w:tcBorders>
            <w:shd w:val="clear" w:color="auto" w:fill="auto"/>
            <w:noWrap/>
            <w:vAlign w:val="bottom"/>
            <w:hideMark/>
          </w:tcPr>
          <w:p w14:paraId="5A16C2A7"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36365BDB"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119,592</w:t>
            </w:r>
          </w:p>
        </w:tc>
        <w:tc>
          <w:tcPr>
            <w:tcW w:w="283" w:type="dxa"/>
            <w:tcBorders>
              <w:top w:val="nil"/>
              <w:left w:val="nil"/>
              <w:bottom w:val="nil"/>
              <w:right w:val="single" w:sz="8" w:space="0" w:color="auto"/>
            </w:tcBorders>
            <w:shd w:val="clear" w:color="auto" w:fill="auto"/>
            <w:noWrap/>
            <w:vAlign w:val="bottom"/>
            <w:hideMark/>
          </w:tcPr>
          <w:p w14:paraId="5E6EBC92"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r>
      <w:tr w:rsidR="007405AE" w:rsidRPr="00031EB4" w14:paraId="4E22791C" w14:textId="77777777" w:rsidTr="00E22714">
        <w:trPr>
          <w:trHeight w:val="300"/>
          <w:jc w:val="center"/>
        </w:trPr>
        <w:tc>
          <w:tcPr>
            <w:tcW w:w="960" w:type="dxa"/>
            <w:tcBorders>
              <w:top w:val="nil"/>
              <w:left w:val="single" w:sz="8" w:space="0" w:color="auto"/>
              <w:bottom w:val="single" w:sz="8" w:space="0" w:color="auto"/>
              <w:right w:val="nil"/>
            </w:tcBorders>
            <w:shd w:val="clear" w:color="auto" w:fill="auto"/>
            <w:noWrap/>
            <w:vAlign w:val="bottom"/>
            <w:hideMark/>
          </w:tcPr>
          <w:p w14:paraId="487633CA"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 </w:t>
            </w:r>
          </w:p>
        </w:tc>
        <w:tc>
          <w:tcPr>
            <w:tcW w:w="960" w:type="dxa"/>
            <w:tcBorders>
              <w:top w:val="nil"/>
              <w:left w:val="nil"/>
              <w:bottom w:val="single" w:sz="8" w:space="0" w:color="auto"/>
              <w:right w:val="nil"/>
            </w:tcBorders>
            <w:shd w:val="clear" w:color="auto" w:fill="auto"/>
            <w:noWrap/>
            <w:vAlign w:val="bottom"/>
            <w:hideMark/>
          </w:tcPr>
          <w:p w14:paraId="79ADA578"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89</w:t>
            </w:r>
          </w:p>
        </w:tc>
        <w:tc>
          <w:tcPr>
            <w:tcW w:w="831" w:type="dxa"/>
            <w:tcBorders>
              <w:top w:val="nil"/>
              <w:left w:val="nil"/>
              <w:bottom w:val="single" w:sz="8" w:space="0" w:color="auto"/>
              <w:right w:val="nil"/>
            </w:tcBorders>
            <w:shd w:val="clear" w:color="auto" w:fill="auto"/>
            <w:noWrap/>
            <w:vAlign w:val="bottom"/>
            <w:hideMark/>
          </w:tcPr>
          <w:p w14:paraId="15B1EBAD" w14:textId="77777777" w:rsidR="002E2937" w:rsidRPr="00031EB4" w:rsidRDefault="002E2937" w:rsidP="00E22714">
            <w:pPr>
              <w:spacing w:after="0" w:line="240" w:lineRule="auto"/>
              <w:jc w:val="right"/>
              <w:rPr>
                <w:rFonts w:ascii="Times New Roman" w:eastAsia="Times New Roman" w:hAnsi="Times New Roman" w:cs="Times New Roman"/>
                <w:b/>
                <w:bCs/>
                <w:sz w:val="16"/>
                <w:szCs w:val="16"/>
                <w:lang w:eastAsia="en-GB"/>
              </w:rPr>
            </w:pPr>
            <w:r w:rsidRPr="00031EB4">
              <w:rPr>
                <w:rFonts w:ascii="Times New Roman" w:eastAsia="Times New Roman" w:hAnsi="Times New Roman" w:cs="Times New Roman"/>
                <w:b/>
                <w:bCs/>
                <w:sz w:val="16"/>
                <w:szCs w:val="16"/>
                <w:lang w:eastAsia="en-GB"/>
              </w:rPr>
              <w:t>11,952</w:t>
            </w:r>
          </w:p>
        </w:tc>
        <w:tc>
          <w:tcPr>
            <w:tcW w:w="283" w:type="dxa"/>
            <w:tcBorders>
              <w:top w:val="nil"/>
              <w:left w:val="nil"/>
              <w:bottom w:val="single" w:sz="8" w:space="0" w:color="auto"/>
              <w:right w:val="nil"/>
            </w:tcBorders>
            <w:shd w:val="clear" w:color="auto" w:fill="auto"/>
            <w:noWrap/>
            <w:vAlign w:val="bottom"/>
            <w:hideMark/>
          </w:tcPr>
          <w:p w14:paraId="65AB01B8"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single" w:sz="8" w:space="0" w:color="auto"/>
              <w:right w:val="nil"/>
            </w:tcBorders>
            <w:shd w:val="clear" w:color="auto" w:fill="auto"/>
            <w:noWrap/>
            <w:vAlign w:val="bottom"/>
            <w:hideMark/>
          </w:tcPr>
          <w:p w14:paraId="6C6DE0AF"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215,870</w:t>
            </w:r>
          </w:p>
        </w:tc>
        <w:tc>
          <w:tcPr>
            <w:tcW w:w="284" w:type="dxa"/>
            <w:tcBorders>
              <w:top w:val="nil"/>
              <w:left w:val="nil"/>
              <w:bottom w:val="single" w:sz="8" w:space="0" w:color="auto"/>
              <w:right w:val="nil"/>
            </w:tcBorders>
            <w:shd w:val="clear" w:color="auto" w:fill="auto"/>
            <w:noWrap/>
            <w:vAlign w:val="bottom"/>
            <w:hideMark/>
          </w:tcPr>
          <w:p w14:paraId="4E51888B"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single" w:sz="8" w:space="0" w:color="auto"/>
              <w:right w:val="nil"/>
            </w:tcBorders>
            <w:shd w:val="clear" w:color="auto" w:fill="auto"/>
            <w:noWrap/>
            <w:vAlign w:val="bottom"/>
            <w:hideMark/>
          </w:tcPr>
          <w:p w14:paraId="28F016C9"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203,918</w:t>
            </w:r>
          </w:p>
        </w:tc>
        <w:tc>
          <w:tcPr>
            <w:tcW w:w="283" w:type="dxa"/>
            <w:tcBorders>
              <w:top w:val="nil"/>
              <w:left w:val="nil"/>
              <w:bottom w:val="single" w:sz="8" w:space="0" w:color="auto"/>
              <w:right w:val="nil"/>
            </w:tcBorders>
            <w:shd w:val="clear" w:color="auto" w:fill="auto"/>
            <w:noWrap/>
            <w:vAlign w:val="bottom"/>
            <w:hideMark/>
          </w:tcPr>
          <w:p w14:paraId="1DA6F224"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888" w:type="dxa"/>
            <w:tcBorders>
              <w:top w:val="nil"/>
              <w:left w:val="nil"/>
              <w:bottom w:val="single" w:sz="8" w:space="0" w:color="auto"/>
              <w:right w:val="nil"/>
            </w:tcBorders>
            <w:shd w:val="clear" w:color="auto" w:fill="auto"/>
            <w:noWrap/>
            <w:vAlign w:val="bottom"/>
            <w:hideMark/>
          </w:tcPr>
          <w:p w14:paraId="28A40FBE" w14:textId="77777777" w:rsidR="002E2937" w:rsidRPr="00031EB4" w:rsidRDefault="002E2937" w:rsidP="00E22714">
            <w:pPr>
              <w:spacing w:after="0" w:line="240" w:lineRule="auto"/>
              <w:jc w:val="right"/>
              <w:rPr>
                <w:rFonts w:ascii="Times New Roman" w:eastAsia="Times New Roman" w:hAnsi="Times New Roman" w:cs="Times New Roman"/>
                <w:b/>
                <w:bCs/>
                <w:sz w:val="16"/>
                <w:szCs w:val="16"/>
                <w:lang w:eastAsia="en-GB"/>
              </w:rPr>
            </w:pPr>
            <w:r w:rsidRPr="00031EB4">
              <w:rPr>
                <w:rFonts w:ascii="Times New Roman" w:eastAsia="Times New Roman" w:hAnsi="Times New Roman" w:cs="Times New Roman"/>
                <w:b/>
                <w:bCs/>
                <w:sz w:val="16"/>
                <w:szCs w:val="16"/>
                <w:lang w:eastAsia="en-GB"/>
              </w:rPr>
              <w:t>8,513</w:t>
            </w:r>
          </w:p>
        </w:tc>
        <w:tc>
          <w:tcPr>
            <w:tcW w:w="284" w:type="dxa"/>
            <w:tcBorders>
              <w:top w:val="nil"/>
              <w:left w:val="nil"/>
              <w:bottom w:val="single" w:sz="8" w:space="0" w:color="auto"/>
              <w:right w:val="nil"/>
            </w:tcBorders>
            <w:shd w:val="clear" w:color="auto" w:fill="auto"/>
            <w:noWrap/>
            <w:vAlign w:val="bottom"/>
            <w:hideMark/>
          </w:tcPr>
          <w:p w14:paraId="38FCBC7F"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single" w:sz="8" w:space="0" w:color="auto"/>
              <w:right w:val="nil"/>
            </w:tcBorders>
            <w:shd w:val="clear" w:color="auto" w:fill="auto"/>
            <w:noWrap/>
            <w:vAlign w:val="bottom"/>
            <w:hideMark/>
          </w:tcPr>
          <w:p w14:paraId="52D8311F"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189,683</w:t>
            </w:r>
          </w:p>
        </w:tc>
        <w:tc>
          <w:tcPr>
            <w:tcW w:w="284" w:type="dxa"/>
            <w:tcBorders>
              <w:top w:val="nil"/>
              <w:left w:val="nil"/>
              <w:bottom w:val="single" w:sz="8" w:space="0" w:color="auto"/>
              <w:right w:val="nil"/>
            </w:tcBorders>
            <w:shd w:val="clear" w:color="auto" w:fill="auto"/>
            <w:noWrap/>
            <w:vAlign w:val="bottom"/>
            <w:hideMark/>
          </w:tcPr>
          <w:p w14:paraId="4AE15C0F"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single" w:sz="8" w:space="0" w:color="auto"/>
              <w:right w:val="nil"/>
            </w:tcBorders>
            <w:shd w:val="clear" w:color="auto" w:fill="auto"/>
            <w:noWrap/>
            <w:vAlign w:val="bottom"/>
            <w:hideMark/>
          </w:tcPr>
          <w:p w14:paraId="42959792"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181,170</w:t>
            </w:r>
          </w:p>
        </w:tc>
        <w:tc>
          <w:tcPr>
            <w:tcW w:w="283" w:type="dxa"/>
            <w:tcBorders>
              <w:top w:val="nil"/>
              <w:left w:val="nil"/>
              <w:bottom w:val="single" w:sz="8" w:space="0" w:color="auto"/>
              <w:right w:val="nil"/>
            </w:tcBorders>
            <w:shd w:val="clear" w:color="auto" w:fill="auto"/>
            <w:noWrap/>
            <w:vAlign w:val="bottom"/>
            <w:hideMark/>
          </w:tcPr>
          <w:p w14:paraId="7FE499FF"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831" w:type="dxa"/>
            <w:tcBorders>
              <w:top w:val="nil"/>
              <w:left w:val="nil"/>
              <w:bottom w:val="single" w:sz="8" w:space="0" w:color="auto"/>
              <w:right w:val="nil"/>
            </w:tcBorders>
            <w:shd w:val="clear" w:color="auto" w:fill="auto"/>
            <w:noWrap/>
            <w:vAlign w:val="bottom"/>
            <w:hideMark/>
          </w:tcPr>
          <w:p w14:paraId="7FF4C34B" w14:textId="77777777" w:rsidR="002E2937" w:rsidRPr="00031EB4" w:rsidRDefault="002E2937" w:rsidP="00E22714">
            <w:pPr>
              <w:spacing w:after="0" w:line="240" w:lineRule="auto"/>
              <w:jc w:val="right"/>
              <w:rPr>
                <w:rFonts w:ascii="Times New Roman" w:eastAsia="Times New Roman" w:hAnsi="Times New Roman" w:cs="Times New Roman"/>
                <w:b/>
                <w:bCs/>
                <w:sz w:val="16"/>
                <w:szCs w:val="16"/>
                <w:lang w:eastAsia="en-GB"/>
              </w:rPr>
            </w:pPr>
            <w:r w:rsidRPr="00031EB4">
              <w:rPr>
                <w:rFonts w:ascii="Times New Roman" w:eastAsia="Times New Roman" w:hAnsi="Times New Roman" w:cs="Times New Roman"/>
                <w:b/>
                <w:bCs/>
                <w:sz w:val="16"/>
                <w:szCs w:val="16"/>
                <w:lang w:eastAsia="en-GB"/>
              </w:rPr>
              <w:t>20,465</w:t>
            </w:r>
          </w:p>
        </w:tc>
        <w:tc>
          <w:tcPr>
            <w:tcW w:w="283" w:type="dxa"/>
            <w:tcBorders>
              <w:top w:val="nil"/>
              <w:left w:val="nil"/>
              <w:bottom w:val="single" w:sz="8" w:space="0" w:color="auto"/>
              <w:right w:val="nil"/>
            </w:tcBorders>
            <w:shd w:val="clear" w:color="auto" w:fill="auto"/>
            <w:noWrap/>
            <w:vAlign w:val="bottom"/>
            <w:hideMark/>
          </w:tcPr>
          <w:p w14:paraId="6BF51798"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single" w:sz="8" w:space="0" w:color="auto"/>
              <w:right w:val="nil"/>
            </w:tcBorders>
            <w:shd w:val="clear" w:color="auto" w:fill="auto"/>
            <w:noWrap/>
            <w:vAlign w:val="bottom"/>
            <w:hideMark/>
          </w:tcPr>
          <w:p w14:paraId="34970C18"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405,553</w:t>
            </w:r>
          </w:p>
        </w:tc>
        <w:tc>
          <w:tcPr>
            <w:tcW w:w="284" w:type="dxa"/>
            <w:tcBorders>
              <w:top w:val="nil"/>
              <w:left w:val="nil"/>
              <w:bottom w:val="single" w:sz="8" w:space="0" w:color="auto"/>
              <w:right w:val="nil"/>
            </w:tcBorders>
            <w:shd w:val="clear" w:color="auto" w:fill="auto"/>
            <w:noWrap/>
            <w:vAlign w:val="bottom"/>
            <w:hideMark/>
          </w:tcPr>
          <w:p w14:paraId="21B7C186"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single" w:sz="8" w:space="0" w:color="auto"/>
              <w:right w:val="nil"/>
            </w:tcBorders>
            <w:shd w:val="clear" w:color="auto" w:fill="auto"/>
            <w:noWrap/>
            <w:vAlign w:val="bottom"/>
            <w:hideMark/>
          </w:tcPr>
          <w:p w14:paraId="2187EC20"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385,088</w:t>
            </w:r>
          </w:p>
        </w:tc>
        <w:tc>
          <w:tcPr>
            <w:tcW w:w="283" w:type="dxa"/>
            <w:tcBorders>
              <w:top w:val="nil"/>
              <w:left w:val="nil"/>
              <w:bottom w:val="single" w:sz="8" w:space="0" w:color="auto"/>
              <w:right w:val="single" w:sz="8" w:space="0" w:color="auto"/>
            </w:tcBorders>
            <w:shd w:val="clear" w:color="auto" w:fill="auto"/>
            <w:noWrap/>
            <w:vAlign w:val="bottom"/>
            <w:hideMark/>
          </w:tcPr>
          <w:p w14:paraId="767A552C"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r>
    </w:tbl>
    <w:p w14:paraId="17B49180" w14:textId="21ED9B10" w:rsidR="00E323A4" w:rsidRPr="00031EB4" w:rsidRDefault="00E323A4" w:rsidP="00E22714">
      <w:pPr>
        <w:spacing w:line="240" w:lineRule="auto"/>
        <w:rPr>
          <w:rFonts w:ascii="Times New Roman" w:hAnsi="Times New Roman" w:cs="Times New Roman"/>
        </w:rPr>
      </w:pPr>
    </w:p>
    <w:p w14:paraId="50852787" w14:textId="10C2A624" w:rsidR="00951C3C" w:rsidRPr="00031EB4" w:rsidRDefault="00951C3C" w:rsidP="00E22714">
      <w:pPr>
        <w:spacing w:line="240" w:lineRule="auto"/>
        <w:rPr>
          <w:rFonts w:ascii="Times New Roman" w:hAnsi="Times New Roman" w:cs="Times New Roman"/>
          <w:sz w:val="20"/>
          <w:szCs w:val="20"/>
        </w:rPr>
      </w:pPr>
      <w:r w:rsidRPr="00031EB4">
        <w:rPr>
          <w:rFonts w:ascii="Times New Roman" w:hAnsi="Times New Roman" w:cs="Times New Roman"/>
          <w:b/>
          <w:sz w:val="20"/>
          <w:szCs w:val="20"/>
        </w:rPr>
        <w:t xml:space="preserve">Table 1: </w:t>
      </w:r>
      <w:r w:rsidR="003779CB" w:rsidRPr="00031EB4">
        <w:rPr>
          <w:rFonts w:ascii="Times New Roman" w:hAnsi="Times New Roman" w:cs="Times New Roman"/>
          <w:b/>
          <w:sz w:val="20"/>
          <w:szCs w:val="20"/>
        </w:rPr>
        <w:t xml:space="preserve">Modelled estimates of ‘excess deaths’ (observed </w:t>
      </w:r>
      <w:r w:rsidR="00CD4DA8" w:rsidRPr="00031EB4">
        <w:rPr>
          <w:rFonts w:ascii="Times New Roman" w:hAnsi="Times New Roman" w:cs="Times New Roman"/>
          <w:b/>
          <w:sz w:val="20"/>
          <w:szCs w:val="20"/>
        </w:rPr>
        <w:t>followed by</w:t>
      </w:r>
      <w:r w:rsidR="003779CB" w:rsidRPr="00031EB4">
        <w:rPr>
          <w:rFonts w:ascii="Times New Roman" w:hAnsi="Times New Roman" w:cs="Times New Roman"/>
          <w:b/>
          <w:sz w:val="20"/>
          <w:szCs w:val="20"/>
        </w:rPr>
        <w:t xml:space="preserve"> predicted deaths in brackets), by ages 50, 70 and 89 years for each year in the period 2010-2015, for males, females and combined. Additional deaths are indicated in bold</w:t>
      </w:r>
      <w:r w:rsidR="003779CB" w:rsidRPr="00031EB4">
        <w:rPr>
          <w:rFonts w:ascii="Times New Roman" w:hAnsi="Times New Roman" w:cs="Times New Roman"/>
          <w:sz w:val="20"/>
          <w:szCs w:val="20"/>
        </w:rPr>
        <w:t xml:space="preserve">. </w:t>
      </w:r>
    </w:p>
    <w:p w14:paraId="7FE602BC" w14:textId="77777777" w:rsidR="00951C3C" w:rsidRPr="00031EB4" w:rsidRDefault="00951C3C" w:rsidP="00E22714">
      <w:pPr>
        <w:spacing w:line="240" w:lineRule="auto"/>
        <w:rPr>
          <w:rFonts w:ascii="Times New Roman" w:hAnsi="Times New Roman" w:cs="Times New Roman"/>
        </w:rPr>
      </w:pPr>
    </w:p>
    <w:p w14:paraId="4CC5E43B" w14:textId="77777777" w:rsidR="00951C3C" w:rsidRPr="00031EB4" w:rsidRDefault="00951C3C" w:rsidP="00E22714">
      <w:pPr>
        <w:spacing w:line="240" w:lineRule="auto"/>
        <w:rPr>
          <w:rFonts w:ascii="Times New Roman" w:hAnsi="Times New Roman" w:cs="Times New Roman"/>
        </w:rPr>
        <w:sectPr w:rsidR="00951C3C" w:rsidRPr="00031EB4" w:rsidSect="00111C57">
          <w:type w:val="continuous"/>
          <w:pgSz w:w="16838" w:h="11906" w:orient="landscape"/>
          <w:pgMar w:top="1440" w:right="1440" w:bottom="1440" w:left="1440" w:header="708" w:footer="708" w:gutter="0"/>
          <w:cols w:space="708"/>
          <w:docGrid w:linePitch="360"/>
        </w:sectPr>
      </w:pPr>
    </w:p>
    <w:tbl>
      <w:tblPr>
        <w:tblW w:w="3960" w:type="dxa"/>
        <w:jc w:val="center"/>
        <w:tblLook w:val="04A0" w:firstRow="1" w:lastRow="0" w:firstColumn="1" w:lastColumn="0" w:noHBand="0" w:noVBand="1"/>
      </w:tblPr>
      <w:tblGrid>
        <w:gridCol w:w="1200"/>
        <w:gridCol w:w="840"/>
        <w:gridCol w:w="840"/>
        <w:gridCol w:w="1080"/>
      </w:tblGrid>
      <w:tr w:rsidR="00031EB4" w:rsidRPr="00031EB4" w14:paraId="3DAD26BF" w14:textId="77777777" w:rsidTr="00E22714">
        <w:trPr>
          <w:trHeight w:val="288"/>
          <w:jc w:val="center"/>
        </w:trPr>
        <w:tc>
          <w:tcPr>
            <w:tcW w:w="1200" w:type="dxa"/>
            <w:tcBorders>
              <w:top w:val="single" w:sz="8" w:space="0" w:color="auto"/>
              <w:left w:val="single" w:sz="8" w:space="0" w:color="auto"/>
              <w:bottom w:val="single" w:sz="4" w:space="0" w:color="auto"/>
              <w:right w:val="nil"/>
            </w:tcBorders>
            <w:shd w:val="clear" w:color="auto" w:fill="auto"/>
            <w:noWrap/>
            <w:vAlign w:val="bottom"/>
            <w:hideMark/>
          </w:tcPr>
          <w:p w14:paraId="3B0E9A1B" w14:textId="77777777" w:rsidR="00951C3C" w:rsidRPr="00031EB4" w:rsidRDefault="00951C3C" w:rsidP="00E22714">
            <w:pPr>
              <w:spacing w:after="0" w:line="240" w:lineRule="auto"/>
              <w:rPr>
                <w:rFonts w:ascii="Times New Roman" w:eastAsia="Times New Roman" w:hAnsi="Times New Roman" w:cs="Times New Roman"/>
                <w:b/>
                <w:bCs/>
                <w:sz w:val="16"/>
                <w:lang w:eastAsia="en-GB"/>
              </w:rPr>
            </w:pPr>
            <w:r w:rsidRPr="00031EB4">
              <w:rPr>
                <w:rFonts w:ascii="Times New Roman" w:eastAsia="Times New Roman" w:hAnsi="Times New Roman" w:cs="Times New Roman"/>
                <w:b/>
                <w:bCs/>
                <w:sz w:val="16"/>
                <w:lang w:eastAsia="en-GB"/>
              </w:rPr>
              <w:t>Period</w:t>
            </w:r>
          </w:p>
        </w:tc>
        <w:tc>
          <w:tcPr>
            <w:tcW w:w="840" w:type="dxa"/>
            <w:tcBorders>
              <w:top w:val="single" w:sz="8" w:space="0" w:color="auto"/>
              <w:left w:val="single" w:sz="4" w:space="0" w:color="auto"/>
              <w:bottom w:val="single" w:sz="4" w:space="0" w:color="auto"/>
              <w:right w:val="nil"/>
            </w:tcBorders>
            <w:shd w:val="clear" w:color="auto" w:fill="auto"/>
            <w:noWrap/>
            <w:vAlign w:val="bottom"/>
            <w:hideMark/>
          </w:tcPr>
          <w:p w14:paraId="3A3ACD9C" w14:textId="77777777" w:rsidR="00951C3C" w:rsidRPr="00031EB4" w:rsidRDefault="00951C3C" w:rsidP="00E22714">
            <w:pPr>
              <w:spacing w:after="0" w:line="240" w:lineRule="auto"/>
              <w:rPr>
                <w:rFonts w:ascii="Times New Roman" w:eastAsia="Times New Roman" w:hAnsi="Times New Roman" w:cs="Times New Roman"/>
                <w:b/>
                <w:bCs/>
                <w:sz w:val="16"/>
                <w:lang w:eastAsia="en-GB"/>
              </w:rPr>
            </w:pPr>
            <w:r w:rsidRPr="00031EB4">
              <w:rPr>
                <w:rFonts w:ascii="Times New Roman" w:eastAsia="Times New Roman" w:hAnsi="Times New Roman" w:cs="Times New Roman"/>
                <w:b/>
                <w:bCs/>
                <w:sz w:val="16"/>
                <w:lang w:eastAsia="en-GB"/>
              </w:rPr>
              <w:t>Males</w:t>
            </w:r>
          </w:p>
        </w:tc>
        <w:tc>
          <w:tcPr>
            <w:tcW w:w="840" w:type="dxa"/>
            <w:tcBorders>
              <w:top w:val="single" w:sz="8" w:space="0" w:color="auto"/>
              <w:left w:val="nil"/>
              <w:bottom w:val="single" w:sz="4" w:space="0" w:color="auto"/>
              <w:right w:val="nil"/>
            </w:tcBorders>
            <w:shd w:val="clear" w:color="auto" w:fill="auto"/>
            <w:noWrap/>
            <w:vAlign w:val="bottom"/>
            <w:hideMark/>
          </w:tcPr>
          <w:p w14:paraId="7CEE9E4E" w14:textId="77777777" w:rsidR="00951C3C" w:rsidRPr="00031EB4" w:rsidRDefault="00951C3C" w:rsidP="00E22714">
            <w:pPr>
              <w:spacing w:after="0" w:line="240" w:lineRule="auto"/>
              <w:rPr>
                <w:rFonts w:ascii="Times New Roman" w:eastAsia="Times New Roman" w:hAnsi="Times New Roman" w:cs="Times New Roman"/>
                <w:b/>
                <w:bCs/>
                <w:sz w:val="16"/>
                <w:lang w:eastAsia="en-GB"/>
              </w:rPr>
            </w:pPr>
            <w:r w:rsidRPr="00031EB4">
              <w:rPr>
                <w:rFonts w:ascii="Times New Roman" w:eastAsia="Times New Roman" w:hAnsi="Times New Roman" w:cs="Times New Roman"/>
                <w:b/>
                <w:bCs/>
                <w:sz w:val="16"/>
                <w:lang w:eastAsia="en-GB"/>
              </w:rPr>
              <w:t>Females</w:t>
            </w:r>
          </w:p>
        </w:tc>
        <w:tc>
          <w:tcPr>
            <w:tcW w:w="1080" w:type="dxa"/>
            <w:tcBorders>
              <w:top w:val="single" w:sz="8" w:space="0" w:color="auto"/>
              <w:left w:val="nil"/>
              <w:bottom w:val="single" w:sz="4" w:space="0" w:color="auto"/>
              <w:right w:val="single" w:sz="8" w:space="0" w:color="auto"/>
            </w:tcBorders>
            <w:shd w:val="clear" w:color="auto" w:fill="auto"/>
            <w:noWrap/>
            <w:vAlign w:val="bottom"/>
            <w:hideMark/>
          </w:tcPr>
          <w:p w14:paraId="693BFEDC" w14:textId="77777777" w:rsidR="00951C3C" w:rsidRPr="00031EB4" w:rsidRDefault="00951C3C" w:rsidP="00E22714">
            <w:pPr>
              <w:spacing w:after="0" w:line="240" w:lineRule="auto"/>
              <w:rPr>
                <w:rFonts w:ascii="Times New Roman" w:eastAsia="Times New Roman" w:hAnsi="Times New Roman" w:cs="Times New Roman"/>
                <w:b/>
                <w:bCs/>
                <w:sz w:val="16"/>
                <w:lang w:eastAsia="en-GB"/>
              </w:rPr>
            </w:pPr>
            <w:r w:rsidRPr="00031EB4">
              <w:rPr>
                <w:rFonts w:ascii="Times New Roman" w:eastAsia="Times New Roman" w:hAnsi="Times New Roman" w:cs="Times New Roman"/>
                <w:b/>
                <w:bCs/>
                <w:sz w:val="16"/>
                <w:lang w:eastAsia="en-GB"/>
              </w:rPr>
              <w:t>Combined</w:t>
            </w:r>
          </w:p>
        </w:tc>
      </w:tr>
      <w:tr w:rsidR="00031EB4" w:rsidRPr="00031EB4" w14:paraId="4D7C6DD2" w14:textId="77777777" w:rsidTr="00E22714">
        <w:trPr>
          <w:trHeight w:val="288"/>
          <w:jc w:val="center"/>
        </w:trPr>
        <w:tc>
          <w:tcPr>
            <w:tcW w:w="1200" w:type="dxa"/>
            <w:tcBorders>
              <w:top w:val="nil"/>
              <w:left w:val="single" w:sz="8" w:space="0" w:color="auto"/>
              <w:bottom w:val="nil"/>
              <w:right w:val="nil"/>
            </w:tcBorders>
            <w:shd w:val="clear" w:color="auto" w:fill="auto"/>
            <w:noWrap/>
            <w:vAlign w:val="bottom"/>
            <w:hideMark/>
          </w:tcPr>
          <w:p w14:paraId="36B44BA6" w14:textId="77777777" w:rsidR="00951C3C" w:rsidRPr="00031EB4" w:rsidRDefault="00951C3C" w:rsidP="00E22714">
            <w:pPr>
              <w:spacing w:after="0" w:line="240" w:lineRule="auto"/>
              <w:rPr>
                <w:rFonts w:ascii="Times New Roman" w:eastAsia="Times New Roman" w:hAnsi="Times New Roman" w:cs="Times New Roman"/>
                <w:sz w:val="16"/>
                <w:lang w:eastAsia="en-GB"/>
              </w:rPr>
            </w:pPr>
            <w:r w:rsidRPr="00031EB4">
              <w:rPr>
                <w:rFonts w:ascii="Times New Roman" w:eastAsia="Times New Roman" w:hAnsi="Times New Roman" w:cs="Times New Roman"/>
                <w:sz w:val="16"/>
                <w:lang w:eastAsia="en-GB"/>
              </w:rPr>
              <w:t>2010-2015</w:t>
            </w:r>
          </w:p>
        </w:tc>
        <w:tc>
          <w:tcPr>
            <w:tcW w:w="840" w:type="dxa"/>
            <w:tcBorders>
              <w:top w:val="nil"/>
              <w:left w:val="single" w:sz="4" w:space="0" w:color="auto"/>
              <w:bottom w:val="nil"/>
              <w:right w:val="nil"/>
            </w:tcBorders>
            <w:shd w:val="clear" w:color="auto" w:fill="auto"/>
            <w:noWrap/>
            <w:vAlign w:val="bottom"/>
            <w:hideMark/>
          </w:tcPr>
          <w:p w14:paraId="3DC6E61D" w14:textId="77777777" w:rsidR="00951C3C" w:rsidRPr="00031EB4" w:rsidRDefault="00951C3C" w:rsidP="00E22714">
            <w:pPr>
              <w:spacing w:after="0" w:line="240" w:lineRule="auto"/>
              <w:jc w:val="right"/>
              <w:rPr>
                <w:rFonts w:ascii="Times New Roman" w:eastAsia="Times New Roman" w:hAnsi="Times New Roman" w:cs="Times New Roman"/>
                <w:sz w:val="16"/>
                <w:lang w:eastAsia="en-GB"/>
              </w:rPr>
            </w:pPr>
            <w:r w:rsidRPr="00031EB4">
              <w:rPr>
                <w:rFonts w:ascii="Times New Roman" w:eastAsia="Times New Roman" w:hAnsi="Times New Roman" w:cs="Times New Roman"/>
                <w:sz w:val="16"/>
                <w:lang w:eastAsia="en-GB"/>
              </w:rPr>
              <w:t>22,852</w:t>
            </w:r>
          </w:p>
        </w:tc>
        <w:tc>
          <w:tcPr>
            <w:tcW w:w="840" w:type="dxa"/>
            <w:tcBorders>
              <w:top w:val="nil"/>
              <w:left w:val="nil"/>
              <w:bottom w:val="nil"/>
              <w:right w:val="nil"/>
            </w:tcBorders>
            <w:shd w:val="clear" w:color="auto" w:fill="auto"/>
            <w:noWrap/>
            <w:vAlign w:val="bottom"/>
            <w:hideMark/>
          </w:tcPr>
          <w:p w14:paraId="1276B2F7" w14:textId="77777777" w:rsidR="00951C3C" w:rsidRPr="00031EB4" w:rsidRDefault="00951C3C" w:rsidP="00E22714">
            <w:pPr>
              <w:spacing w:after="0" w:line="240" w:lineRule="auto"/>
              <w:jc w:val="right"/>
              <w:rPr>
                <w:rFonts w:ascii="Times New Roman" w:eastAsia="Times New Roman" w:hAnsi="Times New Roman" w:cs="Times New Roman"/>
                <w:sz w:val="16"/>
                <w:lang w:eastAsia="en-GB"/>
              </w:rPr>
            </w:pPr>
            <w:r w:rsidRPr="00031EB4">
              <w:rPr>
                <w:rFonts w:ascii="Times New Roman" w:eastAsia="Times New Roman" w:hAnsi="Times New Roman" w:cs="Times New Roman"/>
                <w:sz w:val="16"/>
                <w:lang w:eastAsia="en-GB"/>
              </w:rPr>
              <w:t>9,121</w:t>
            </w:r>
          </w:p>
        </w:tc>
        <w:tc>
          <w:tcPr>
            <w:tcW w:w="1080" w:type="dxa"/>
            <w:tcBorders>
              <w:top w:val="nil"/>
              <w:left w:val="nil"/>
              <w:bottom w:val="nil"/>
              <w:right w:val="single" w:sz="8" w:space="0" w:color="auto"/>
            </w:tcBorders>
            <w:shd w:val="clear" w:color="auto" w:fill="auto"/>
            <w:noWrap/>
            <w:vAlign w:val="bottom"/>
            <w:hideMark/>
          </w:tcPr>
          <w:p w14:paraId="6EBC6BB2" w14:textId="77777777" w:rsidR="00951C3C" w:rsidRPr="00031EB4" w:rsidRDefault="00951C3C" w:rsidP="00E22714">
            <w:pPr>
              <w:spacing w:after="0" w:line="240" w:lineRule="auto"/>
              <w:jc w:val="right"/>
              <w:rPr>
                <w:rFonts w:ascii="Times New Roman" w:eastAsia="Times New Roman" w:hAnsi="Times New Roman" w:cs="Times New Roman"/>
                <w:sz w:val="16"/>
                <w:lang w:eastAsia="en-GB"/>
              </w:rPr>
            </w:pPr>
            <w:r w:rsidRPr="00031EB4">
              <w:rPr>
                <w:rFonts w:ascii="Times New Roman" w:eastAsia="Times New Roman" w:hAnsi="Times New Roman" w:cs="Times New Roman"/>
                <w:sz w:val="16"/>
                <w:lang w:eastAsia="en-GB"/>
              </w:rPr>
              <w:t>31,973</w:t>
            </w:r>
          </w:p>
        </w:tc>
      </w:tr>
      <w:tr w:rsidR="00031EB4" w:rsidRPr="00031EB4" w14:paraId="24575AC9" w14:textId="77777777" w:rsidTr="00E22714">
        <w:trPr>
          <w:trHeight w:val="300"/>
          <w:jc w:val="center"/>
        </w:trPr>
        <w:tc>
          <w:tcPr>
            <w:tcW w:w="1200" w:type="dxa"/>
            <w:tcBorders>
              <w:top w:val="nil"/>
              <w:left w:val="single" w:sz="8" w:space="0" w:color="auto"/>
              <w:bottom w:val="single" w:sz="8" w:space="0" w:color="auto"/>
              <w:right w:val="nil"/>
            </w:tcBorders>
            <w:shd w:val="clear" w:color="auto" w:fill="auto"/>
            <w:noWrap/>
            <w:vAlign w:val="bottom"/>
            <w:hideMark/>
          </w:tcPr>
          <w:p w14:paraId="398DE955" w14:textId="77777777" w:rsidR="00951C3C" w:rsidRPr="00031EB4" w:rsidRDefault="00951C3C" w:rsidP="00E22714">
            <w:pPr>
              <w:spacing w:after="0" w:line="240" w:lineRule="auto"/>
              <w:rPr>
                <w:rFonts w:ascii="Times New Roman" w:eastAsia="Times New Roman" w:hAnsi="Times New Roman" w:cs="Times New Roman"/>
                <w:sz w:val="16"/>
                <w:lang w:eastAsia="en-GB"/>
              </w:rPr>
            </w:pPr>
            <w:r w:rsidRPr="00031EB4">
              <w:rPr>
                <w:rFonts w:ascii="Times New Roman" w:eastAsia="Times New Roman" w:hAnsi="Times New Roman" w:cs="Times New Roman"/>
                <w:sz w:val="16"/>
                <w:lang w:eastAsia="en-GB"/>
              </w:rPr>
              <w:t>2012-2015</w:t>
            </w:r>
          </w:p>
        </w:tc>
        <w:tc>
          <w:tcPr>
            <w:tcW w:w="840" w:type="dxa"/>
            <w:tcBorders>
              <w:top w:val="nil"/>
              <w:left w:val="single" w:sz="4" w:space="0" w:color="auto"/>
              <w:bottom w:val="single" w:sz="8" w:space="0" w:color="auto"/>
              <w:right w:val="nil"/>
            </w:tcBorders>
            <w:shd w:val="clear" w:color="auto" w:fill="auto"/>
            <w:noWrap/>
            <w:vAlign w:val="bottom"/>
            <w:hideMark/>
          </w:tcPr>
          <w:p w14:paraId="143D25C4" w14:textId="77777777" w:rsidR="00951C3C" w:rsidRPr="00031EB4" w:rsidRDefault="00951C3C" w:rsidP="00E22714">
            <w:pPr>
              <w:spacing w:after="0" w:line="240" w:lineRule="auto"/>
              <w:jc w:val="right"/>
              <w:rPr>
                <w:rFonts w:ascii="Times New Roman" w:eastAsia="Times New Roman" w:hAnsi="Times New Roman" w:cs="Times New Roman"/>
                <w:sz w:val="16"/>
                <w:lang w:eastAsia="en-GB"/>
              </w:rPr>
            </w:pPr>
            <w:r w:rsidRPr="00031EB4">
              <w:rPr>
                <w:rFonts w:ascii="Times New Roman" w:eastAsia="Times New Roman" w:hAnsi="Times New Roman" w:cs="Times New Roman"/>
                <w:sz w:val="16"/>
                <w:lang w:eastAsia="en-GB"/>
              </w:rPr>
              <w:t>26,200</w:t>
            </w:r>
          </w:p>
        </w:tc>
        <w:tc>
          <w:tcPr>
            <w:tcW w:w="840" w:type="dxa"/>
            <w:tcBorders>
              <w:top w:val="nil"/>
              <w:left w:val="nil"/>
              <w:bottom w:val="single" w:sz="8" w:space="0" w:color="auto"/>
              <w:right w:val="nil"/>
            </w:tcBorders>
            <w:shd w:val="clear" w:color="auto" w:fill="auto"/>
            <w:noWrap/>
            <w:vAlign w:val="bottom"/>
            <w:hideMark/>
          </w:tcPr>
          <w:p w14:paraId="08DE9969" w14:textId="77777777" w:rsidR="00951C3C" w:rsidRPr="00031EB4" w:rsidRDefault="00951C3C" w:rsidP="00E22714">
            <w:pPr>
              <w:spacing w:after="0" w:line="240" w:lineRule="auto"/>
              <w:jc w:val="right"/>
              <w:rPr>
                <w:rFonts w:ascii="Times New Roman" w:eastAsia="Times New Roman" w:hAnsi="Times New Roman" w:cs="Times New Roman"/>
                <w:sz w:val="16"/>
                <w:lang w:eastAsia="en-GB"/>
              </w:rPr>
            </w:pPr>
            <w:r w:rsidRPr="00031EB4">
              <w:rPr>
                <w:rFonts w:ascii="Times New Roman" w:eastAsia="Times New Roman" w:hAnsi="Times New Roman" w:cs="Times New Roman"/>
                <w:sz w:val="16"/>
                <w:lang w:eastAsia="en-GB"/>
              </w:rPr>
              <w:t>15,818</w:t>
            </w:r>
          </w:p>
        </w:tc>
        <w:tc>
          <w:tcPr>
            <w:tcW w:w="1080" w:type="dxa"/>
            <w:tcBorders>
              <w:top w:val="nil"/>
              <w:left w:val="nil"/>
              <w:bottom w:val="single" w:sz="8" w:space="0" w:color="auto"/>
              <w:right w:val="single" w:sz="8" w:space="0" w:color="auto"/>
            </w:tcBorders>
            <w:shd w:val="clear" w:color="auto" w:fill="auto"/>
            <w:noWrap/>
            <w:vAlign w:val="bottom"/>
            <w:hideMark/>
          </w:tcPr>
          <w:p w14:paraId="5EB01660" w14:textId="77777777" w:rsidR="00951C3C" w:rsidRPr="00031EB4" w:rsidRDefault="00951C3C" w:rsidP="00E22714">
            <w:pPr>
              <w:spacing w:after="0" w:line="240" w:lineRule="auto"/>
              <w:jc w:val="right"/>
              <w:rPr>
                <w:rFonts w:ascii="Times New Roman" w:eastAsia="Times New Roman" w:hAnsi="Times New Roman" w:cs="Times New Roman"/>
                <w:sz w:val="16"/>
                <w:lang w:eastAsia="en-GB"/>
              </w:rPr>
            </w:pPr>
            <w:r w:rsidRPr="00031EB4">
              <w:rPr>
                <w:rFonts w:ascii="Times New Roman" w:eastAsia="Times New Roman" w:hAnsi="Times New Roman" w:cs="Times New Roman"/>
                <w:sz w:val="16"/>
                <w:lang w:eastAsia="en-GB"/>
              </w:rPr>
              <w:t>42,018</w:t>
            </w:r>
          </w:p>
        </w:tc>
      </w:tr>
    </w:tbl>
    <w:p w14:paraId="464298CD" w14:textId="77777777" w:rsidR="00951C3C" w:rsidRPr="00031EB4" w:rsidRDefault="00951C3C" w:rsidP="00E22714">
      <w:pPr>
        <w:spacing w:line="240" w:lineRule="auto"/>
        <w:rPr>
          <w:rFonts w:ascii="Times New Roman" w:hAnsi="Times New Roman" w:cs="Times New Roman"/>
        </w:rPr>
      </w:pPr>
    </w:p>
    <w:p w14:paraId="509A4C61" w14:textId="0B05D123" w:rsidR="004A2A80" w:rsidRPr="00031EB4" w:rsidRDefault="00951C3C" w:rsidP="00E22714">
      <w:pPr>
        <w:spacing w:line="240" w:lineRule="auto"/>
        <w:rPr>
          <w:rFonts w:ascii="Times New Roman" w:hAnsi="Times New Roman" w:cs="Times New Roman"/>
          <w:b/>
          <w:sz w:val="20"/>
        </w:rPr>
      </w:pPr>
      <w:r w:rsidRPr="00031EB4">
        <w:rPr>
          <w:rFonts w:ascii="Times New Roman" w:hAnsi="Times New Roman" w:cs="Times New Roman"/>
          <w:b/>
          <w:sz w:val="20"/>
        </w:rPr>
        <w:t>Table 2: Total ‘Excess’ deaths by age 89 years over the period 2010-2015 and 2012-2015</w:t>
      </w:r>
    </w:p>
    <w:p w14:paraId="6CCB2A5D" w14:textId="77777777" w:rsidR="004A2A80" w:rsidRPr="00031EB4" w:rsidRDefault="004A2A80" w:rsidP="00E22714">
      <w:pPr>
        <w:spacing w:line="240" w:lineRule="auto"/>
        <w:rPr>
          <w:rFonts w:ascii="Times New Roman" w:hAnsi="Times New Roman" w:cs="Times New Roman"/>
        </w:rPr>
      </w:pPr>
    </w:p>
    <w:p w14:paraId="1A9BCF7C" w14:textId="48500D2A" w:rsidR="00951C3C" w:rsidRPr="00031EB4" w:rsidRDefault="00951C3C" w:rsidP="00E22714">
      <w:pPr>
        <w:spacing w:line="240" w:lineRule="auto"/>
        <w:rPr>
          <w:rFonts w:ascii="Times New Roman" w:hAnsi="Times New Roman" w:cs="Times New Roman"/>
        </w:rPr>
      </w:pPr>
    </w:p>
    <w:p w14:paraId="3BF67EA3" w14:textId="7A651717" w:rsidR="00CD4DA8" w:rsidRPr="00031EB4" w:rsidRDefault="00951C3C" w:rsidP="00CD4DA8">
      <w:pPr>
        <w:pStyle w:val="Caption"/>
        <w:rPr>
          <w:rFonts w:ascii="Times New Roman" w:hAnsi="Times New Roman" w:cs="Times New Roman"/>
          <w:b/>
          <w:i w:val="0"/>
          <w:color w:val="auto"/>
          <w:sz w:val="22"/>
        </w:rPr>
      </w:pPr>
      <w:r w:rsidRPr="00031EB4">
        <w:rPr>
          <w:rFonts w:ascii="Times New Roman" w:hAnsi="Times New Roman" w:cs="Times New Roman"/>
          <w:b/>
          <w:i w:val="0"/>
          <w:color w:val="auto"/>
          <w:sz w:val="20"/>
          <w:szCs w:val="20"/>
        </w:rPr>
        <w:t xml:space="preserve">Figure </w:t>
      </w:r>
      <w:r w:rsidR="00CD4DA8" w:rsidRPr="00031EB4">
        <w:rPr>
          <w:rFonts w:ascii="Times New Roman" w:hAnsi="Times New Roman" w:cs="Times New Roman"/>
          <w:b/>
          <w:i w:val="0"/>
          <w:color w:val="auto"/>
          <w:sz w:val="20"/>
          <w:szCs w:val="20"/>
        </w:rPr>
        <w:t>3</w:t>
      </w:r>
      <w:r w:rsidRPr="00031EB4">
        <w:rPr>
          <w:rFonts w:ascii="Times New Roman" w:hAnsi="Times New Roman" w:cs="Times New Roman"/>
          <w:b/>
          <w:i w:val="0"/>
          <w:color w:val="auto"/>
          <w:sz w:val="20"/>
          <w:szCs w:val="20"/>
        </w:rPr>
        <w:t xml:space="preserve"> </w:t>
      </w:r>
      <w:r w:rsidR="00CD4DA8" w:rsidRPr="00031EB4">
        <w:rPr>
          <w:rFonts w:ascii="Times New Roman" w:hAnsi="Times New Roman" w:cs="Times New Roman"/>
          <w:b/>
          <w:i w:val="0"/>
          <w:color w:val="auto"/>
          <w:sz w:val="20"/>
        </w:rPr>
        <w:t>Accumulated 'excess' deaths for each year from 2010 to 2015, by age. (Male: dashed line; female: solid line)</w:t>
      </w:r>
    </w:p>
    <w:p w14:paraId="1333D26E" w14:textId="2E5D0C38" w:rsidR="00CD4DA8" w:rsidRPr="00031EB4" w:rsidRDefault="00CD4DA8" w:rsidP="00CD4DA8">
      <w:pPr>
        <w:jc w:val="center"/>
        <w:rPr>
          <w:rFonts w:ascii="Times New Roman" w:hAnsi="Times New Roman" w:cs="Times New Roman"/>
          <w:i/>
          <w:sz w:val="20"/>
        </w:rPr>
        <w:sectPr w:rsidR="00CD4DA8" w:rsidRPr="00031EB4" w:rsidSect="00111C57">
          <w:type w:val="continuous"/>
          <w:pgSz w:w="16838" w:h="11906" w:orient="landscape"/>
          <w:pgMar w:top="1440" w:right="1440" w:bottom="1440" w:left="1440" w:header="708" w:footer="708" w:gutter="0"/>
          <w:cols w:space="708"/>
          <w:docGrid w:linePitch="360"/>
        </w:sectPr>
      </w:pPr>
      <w:r w:rsidRPr="00031EB4">
        <w:rPr>
          <w:rFonts w:ascii="Times New Roman" w:hAnsi="Times New Roman" w:cs="Times New Roman"/>
          <w:i/>
          <w:sz w:val="20"/>
        </w:rPr>
        <w:t>[Figure 3 about here]</w:t>
      </w:r>
    </w:p>
    <w:p w14:paraId="61605A31" w14:textId="77777777" w:rsidR="00E323A4" w:rsidRPr="00031EB4" w:rsidRDefault="00E323A4" w:rsidP="00E22714">
      <w:pPr>
        <w:pStyle w:val="Heading1"/>
        <w:spacing w:line="240" w:lineRule="auto"/>
        <w:rPr>
          <w:rFonts w:ascii="Times New Roman" w:hAnsi="Times New Roman" w:cs="Times New Roman"/>
          <w:b/>
          <w:color w:val="auto"/>
          <w:sz w:val="24"/>
        </w:rPr>
      </w:pPr>
      <w:r w:rsidRPr="00031EB4">
        <w:rPr>
          <w:rFonts w:ascii="Times New Roman" w:hAnsi="Times New Roman" w:cs="Times New Roman"/>
          <w:b/>
          <w:color w:val="auto"/>
          <w:sz w:val="24"/>
        </w:rPr>
        <w:lastRenderedPageBreak/>
        <w:t>Discussion</w:t>
      </w:r>
    </w:p>
    <w:p w14:paraId="2FC4E88B" w14:textId="3019DBA9" w:rsidR="00031EB4" w:rsidRPr="00031EB4" w:rsidRDefault="00031EB4" w:rsidP="00E22714">
      <w:pPr>
        <w:spacing w:line="240" w:lineRule="auto"/>
        <w:rPr>
          <w:rFonts w:ascii="Times New Roman" w:hAnsi="Times New Roman" w:cs="Times New Roman"/>
          <w:b/>
          <w:sz w:val="20"/>
        </w:rPr>
      </w:pPr>
      <w:r w:rsidRPr="00031EB4">
        <w:rPr>
          <w:rFonts w:ascii="Times New Roman" w:hAnsi="Times New Roman" w:cs="Times New Roman"/>
          <w:b/>
          <w:sz w:val="20"/>
        </w:rPr>
        <w:t>Summary</w:t>
      </w:r>
    </w:p>
    <w:p w14:paraId="3BDA1E39" w14:textId="706A0EC1" w:rsidR="00075CB9" w:rsidRPr="00031EB4" w:rsidRDefault="006E0B54" w:rsidP="00E22714">
      <w:pPr>
        <w:spacing w:line="240" w:lineRule="auto"/>
        <w:rPr>
          <w:rFonts w:ascii="Times New Roman" w:hAnsi="Times New Roman" w:cs="Times New Roman"/>
          <w:sz w:val="20"/>
        </w:rPr>
      </w:pPr>
      <w:r w:rsidRPr="00031EB4">
        <w:rPr>
          <w:rFonts w:ascii="Times New Roman" w:hAnsi="Times New Roman" w:cs="Times New Roman"/>
          <w:sz w:val="20"/>
        </w:rPr>
        <w:t xml:space="preserve">Our results </w:t>
      </w:r>
      <w:r w:rsidR="00AF3184" w:rsidRPr="00031EB4">
        <w:rPr>
          <w:rFonts w:ascii="Times New Roman" w:hAnsi="Times New Roman" w:cs="Times New Roman"/>
          <w:sz w:val="20"/>
        </w:rPr>
        <w:t>demonstrate that</w:t>
      </w:r>
      <w:r w:rsidR="00747C48" w:rsidRPr="00031EB4">
        <w:rPr>
          <w:rFonts w:ascii="Times New Roman" w:hAnsi="Times New Roman" w:cs="Times New Roman"/>
          <w:sz w:val="20"/>
        </w:rPr>
        <w:t>,</w:t>
      </w:r>
      <w:r w:rsidR="00AF3184" w:rsidRPr="00031EB4">
        <w:rPr>
          <w:rFonts w:ascii="Times New Roman" w:hAnsi="Times New Roman" w:cs="Times New Roman"/>
          <w:sz w:val="20"/>
        </w:rPr>
        <w:t xml:space="preserve"> </w:t>
      </w:r>
      <w:r w:rsidR="00735CC9" w:rsidRPr="00031EB4">
        <w:rPr>
          <w:rFonts w:ascii="Times New Roman" w:hAnsi="Times New Roman" w:cs="Times New Roman"/>
          <w:sz w:val="20"/>
        </w:rPr>
        <w:t>after</w:t>
      </w:r>
      <w:r w:rsidR="00AF3184" w:rsidRPr="00031EB4">
        <w:rPr>
          <w:rFonts w:ascii="Times New Roman" w:hAnsi="Times New Roman" w:cs="Times New Roman"/>
          <w:sz w:val="20"/>
        </w:rPr>
        <w:t xml:space="preserve"> 2010, mortality rates </w:t>
      </w:r>
      <w:r w:rsidR="00735CC9" w:rsidRPr="00031EB4">
        <w:rPr>
          <w:rFonts w:ascii="Times New Roman" w:hAnsi="Times New Roman" w:cs="Times New Roman"/>
          <w:sz w:val="20"/>
        </w:rPr>
        <w:t xml:space="preserve">at many older ages fell more slowly in England &amp; Wales than they had </w:t>
      </w:r>
      <w:r w:rsidR="003779CB" w:rsidRPr="00031EB4">
        <w:rPr>
          <w:rFonts w:ascii="Times New Roman" w:hAnsi="Times New Roman" w:cs="Times New Roman"/>
          <w:sz w:val="20"/>
        </w:rPr>
        <w:t>previously</w:t>
      </w:r>
      <w:r w:rsidR="00735CC9" w:rsidRPr="00031EB4">
        <w:rPr>
          <w:rFonts w:ascii="Times New Roman" w:hAnsi="Times New Roman" w:cs="Times New Roman"/>
          <w:sz w:val="20"/>
        </w:rPr>
        <w:t>.</w:t>
      </w:r>
      <w:r w:rsidRPr="00031EB4">
        <w:rPr>
          <w:rFonts w:ascii="Times New Roman" w:hAnsi="Times New Roman" w:cs="Times New Roman"/>
          <w:sz w:val="20"/>
        </w:rPr>
        <w:t xml:space="preserve"> We estimate </w:t>
      </w:r>
      <w:r w:rsidR="006F3E68" w:rsidRPr="00031EB4">
        <w:rPr>
          <w:rFonts w:ascii="Times New Roman" w:hAnsi="Times New Roman" w:cs="Times New Roman"/>
          <w:sz w:val="20"/>
        </w:rPr>
        <w:t>31,973</w:t>
      </w:r>
      <w:r w:rsidR="00075CB9" w:rsidRPr="00031EB4">
        <w:rPr>
          <w:rFonts w:ascii="Times New Roman" w:hAnsi="Times New Roman" w:cs="Times New Roman"/>
          <w:sz w:val="20"/>
        </w:rPr>
        <w:t xml:space="preserve"> </w:t>
      </w:r>
      <w:r w:rsidR="006F3E68" w:rsidRPr="00031EB4">
        <w:rPr>
          <w:rFonts w:ascii="Times New Roman" w:hAnsi="Times New Roman" w:cs="Times New Roman"/>
          <w:sz w:val="20"/>
        </w:rPr>
        <w:t>additional</w:t>
      </w:r>
      <w:r w:rsidR="00075CB9" w:rsidRPr="00031EB4">
        <w:rPr>
          <w:rFonts w:ascii="Times New Roman" w:hAnsi="Times New Roman" w:cs="Times New Roman"/>
          <w:sz w:val="20"/>
        </w:rPr>
        <w:t xml:space="preserve"> deaths than projected since 2010, and 42,0</w:t>
      </w:r>
      <w:r w:rsidR="006F3E68" w:rsidRPr="00031EB4">
        <w:rPr>
          <w:rFonts w:ascii="Times New Roman" w:hAnsi="Times New Roman" w:cs="Times New Roman"/>
          <w:sz w:val="20"/>
        </w:rPr>
        <w:t>18</w:t>
      </w:r>
      <w:r w:rsidR="00075CB9" w:rsidRPr="00031EB4">
        <w:rPr>
          <w:rFonts w:ascii="Times New Roman" w:hAnsi="Times New Roman" w:cs="Times New Roman"/>
          <w:sz w:val="20"/>
        </w:rPr>
        <w:t xml:space="preserve"> more deaths than projected since 2012</w:t>
      </w:r>
      <w:r w:rsidR="006F3E68" w:rsidRPr="00031EB4">
        <w:rPr>
          <w:rFonts w:ascii="Times New Roman" w:hAnsi="Times New Roman" w:cs="Times New Roman"/>
          <w:sz w:val="20"/>
        </w:rPr>
        <w:t>.</w:t>
      </w:r>
      <w:r w:rsidR="00735CC9" w:rsidRPr="00031EB4">
        <w:rPr>
          <w:rFonts w:ascii="Times New Roman" w:hAnsi="Times New Roman" w:cs="Times New Roman"/>
          <w:sz w:val="20"/>
        </w:rPr>
        <w:t xml:space="preserve"> </w:t>
      </w:r>
      <w:r w:rsidR="006F3E68" w:rsidRPr="00031EB4">
        <w:rPr>
          <w:rFonts w:ascii="Times New Roman" w:hAnsi="Times New Roman" w:cs="Times New Roman"/>
          <w:sz w:val="20"/>
        </w:rPr>
        <w:t>E</w:t>
      </w:r>
      <w:r w:rsidR="00735CC9" w:rsidRPr="00031EB4">
        <w:rPr>
          <w:rFonts w:ascii="Times New Roman" w:hAnsi="Times New Roman" w:cs="Times New Roman"/>
          <w:sz w:val="20"/>
        </w:rPr>
        <w:t>xcess deaths were concentrated amongst the elderly</w:t>
      </w:r>
      <w:r w:rsidRPr="00031EB4">
        <w:rPr>
          <w:rFonts w:ascii="Times New Roman" w:hAnsi="Times New Roman" w:cs="Times New Roman"/>
          <w:sz w:val="20"/>
        </w:rPr>
        <w:t>.</w:t>
      </w:r>
      <w:r w:rsidR="00075CB9" w:rsidRPr="00031EB4">
        <w:rPr>
          <w:rFonts w:ascii="Times New Roman" w:hAnsi="Times New Roman" w:cs="Times New Roman"/>
          <w:sz w:val="20"/>
        </w:rPr>
        <w:t xml:space="preserve"> </w:t>
      </w:r>
    </w:p>
    <w:p w14:paraId="7D1091F4" w14:textId="25FA9D4E" w:rsidR="00075CB9" w:rsidRPr="00031EB4" w:rsidRDefault="00075CB9" w:rsidP="00E22714">
      <w:pPr>
        <w:spacing w:line="240" w:lineRule="auto"/>
        <w:rPr>
          <w:rFonts w:ascii="Times New Roman" w:hAnsi="Times New Roman" w:cs="Times New Roman"/>
          <w:sz w:val="20"/>
        </w:rPr>
      </w:pPr>
      <w:r w:rsidRPr="00031EB4">
        <w:rPr>
          <w:rFonts w:ascii="Times New Roman" w:hAnsi="Times New Roman" w:cs="Times New Roman"/>
          <w:sz w:val="20"/>
        </w:rPr>
        <w:t xml:space="preserve">These estimates should be considered conservative for two reasons. Firstly, these only cover deaths up to the age of 89 years. Estimates of death and population counts above the age of 89 years are available for 2010 to 2014, but not in the 2015 release. </w:t>
      </w:r>
      <w:r w:rsidR="006F3E68" w:rsidRPr="00031EB4">
        <w:rPr>
          <w:rFonts w:ascii="Times New Roman" w:hAnsi="Times New Roman" w:cs="Times New Roman"/>
          <w:sz w:val="20"/>
        </w:rPr>
        <w:t>We expect that the number of</w:t>
      </w:r>
      <w:r w:rsidR="00E13702" w:rsidRPr="00031EB4">
        <w:rPr>
          <w:rFonts w:ascii="Times New Roman" w:hAnsi="Times New Roman" w:cs="Times New Roman"/>
          <w:sz w:val="20"/>
        </w:rPr>
        <w:t xml:space="preserve"> excess deaths above the age of 89 </w:t>
      </w:r>
      <w:r w:rsidR="006F3E68" w:rsidRPr="00031EB4">
        <w:rPr>
          <w:rFonts w:ascii="Times New Roman" w:hAnsi="Times New Roman" w:cs="Times New Roman"/>
          <w:sz w:val="20"/>
        </w:rPr>
        <w:t>would add to our estimates</w:t>
      </w:r>
      <w:r w:rsidR="00E13702" w:rsidRPr="00031EB4">
        <w:rPr>
          <w:rFonts w:ascii="Times New Roman" w:hAnsi="Times New Roman" w:cs="Times New Roman"/>
          <w:sz w:val="20"/>
        </w:rPr>
        <w:t xml:space="preserve">. </w:t>
      </w:r>
      <w:r w:rsidRPr="00031EB4">
        <w:rPr>
          <w:rFonts w:ascii="Times New Roman" w:hAnsi="Times New Roman" w:cs="Times New Roman"/>
          <w:sz w:val="20"/>
        </w:rPr>
        <w:t xml:space="preserve">Secondly, </w:t>
      </w:r>
      <w:r w:rsidR="00E13702" w:rsidRPr="00031EB4">
        <w:rPr>
          <w:rFonts w:ascii="Times New Roman" w:hAnsi="Times New Roman" w:cs="Times New Roman"/>
          <w:sz w:val="20"/>
        </w:rPr>
        <w:t>our model specification produced relatively conservative estimates of total additional deaths. A</w:t>
      </w:r>
      <w:r w:rsidRPr="00031EB4">
        <w:rPr>
          <w:rFonts w:ascii="Times New Roman" w:hAnsi="Times New Roman" w:cs="Times New Roman"/>
          <w:sz w:val="20"/>
        </w:rPr>
        <w:t xml:space="preserve"> slightly more complex model specification</w:t>
      </w:r>
      <w:r w:rsidR="003779CB" w:rsidRPr="00031EB4">
        <w:rPr>
          <w:rFonts w:ascii="Times New Roman" w:hAnsi="Times New Roman" w:cs="Times New Roman"/>
          <w:sz w:val="20"/>
        </w:rPr>
        <w:t xml:space="preserve"> (Appendix </w:t>
      </w:r>
      <w:r w:rsidR="00822AB3" w:rsidRPr="00031EB4">
        <w:rPr>
          <w:rFonts w:ascii="Times New Roman" w:hAnsi="Times New Roman" w:cs="Times New Roman"/>
          <w:sz w:val="20"/>
        </w:rPr>
        <w:t>C</w:t>
      </w:r>
      <w:r w:rsidR="003779CB" w:rsidRPr="00031EB4">
        <w:rPr>
          <w:rFonts w:ascii="Times New Roman" w:hAnsi="Times New Roman" w:cs="Times New Roman"/>
          <w:sz w:val="20"/>
        </w:rPr>
        <w:t>)</w:t>
      </w:r>
      <w:r w:rsidRPr="00031EB4">
        <w:rPr>
          <w:rFonts w:ascii="Times New Roman" w:hAnsi="Times New Roman" w:cs="Times New Roman"/>
          <w:sz w:val="20"/>
        </w:rPr>
        <w:t>, which allowed for nonlinear trends in rates of mortality risk improvement at various ages, produced even higher estimates of total ‘excess’ mortality, with 60,0</w:t>
      </w:r>
      <w:r w:rsidR="006F3E68" w:rsidRPr="00031EB4">
        <w:rPr>
          <w:rFonts w:ascii="Times New Roman" w:hAnsi="Times New Roman" w:cs="Times New Roman"/>
          <w:sz w:val="20"/>
        </w:rPr>
        <w:t>73</w:t>
      </w:r>
      <w:r w:rsidRPr="00031EB4">
        <w:rPr>
          <w:rFonts w:ascii="Times New Roman" w:hAnsi="Times New Roman" w:cs="Times New Roman"/>
          <w:sz w:val="20"/>
        </w:rPr>
        <w:t xml:space="preserve"> additional deaths estimated between 2010 and 2015, and around 65,0</w:t>
      </w:r>
      <w:r w:rsidR="00DD52D5" w:rsidRPr="00031EB4">
        <w:rPr>
          <w:rFonts w:ascii="Times New Roman" w:hAnsi="Times New Roman" w:cs="Times New Roman"/>
          <w:sz w:val="20"/>
        </w:rPr>
        <w:t>45</w:t>
      </w:r>
      <w:r w:rsidRPr="00031EB4">
        <w:rPr>
          <w:rFonts w:ascii="Times New Roman" w:hAnsi="Times New Roman" w:cs="Times New Roman"/>
          <w:sz w:val="20"/>
        </w:rPr>
        <w:t xml:space="preserve"> additional deaths between 2012 and 2015</w:t>
      </w:r>
      <w:r w:rsidR="00735CC9" w:rsidRPr="00031EB4">
        <w:rPr>
          <w:rFonts w:ascii="Times New Roman" w:hAnsi="Times New Roman" w:cs="Times New Roman"/>
          <w:sz w:val="20"/>
        </w:rPr>
        <w:t>, for all ages up to and including 89 years</w:t>
      </w:r>
      <w:r w:rsidRPr="00031EB4">
        <w:rPr>
          <w:rFonts w:ascii="Times New Roman" w:hAnsi="Times New Roman" w:cs="Times New Roman"/>
          <w:sz w:val="20"/>
        </w:rPr>
        <w:t xml:space="preserve">. </w:t>
      </w:r>
      <w:r w:rsidR="007A2D73" w:rsidRPr="00031EB4">
        <w:rPr>
          <w:rFonts w:ascii="Times New Roman" w:hAnsi="Times New Roman" w:cs="Times New Roman"/>
          <w:sz w:val="20"/>
        </w:rPr>
        <w:t xml:space="preserve">While </w:t>
      </w:r>
      <w:r w:rsidRPr="00031EB4">
        <w:rPr>
          <w:rFonts w:ascii="Times New Roman" w:hAnsi="Times New Roman" w:cs="Times New Roman"/>
          <w:sz w:val="20"/>
        </w:rPr>
        <w:t>th</w:t>
      </w:r>
      <w:r w:rsidR="007A2D73" w:rsidRPr="00031EB4">
        <w:rPr>
          <w:rFonts w:ascii="Times New Roman" w:hAnsi="Times New Roman" w:cs="Times New Roman"/>
          <w:sz w:val="20"/>
        </w:rPr>
        <w:t>e</w:t>
      </w:r>
      <w:r w:rsidRPr="00031EB4">
        <w:rPr>
          <w:rFonts w:ascii="Times New Roman" w:hAnsi="Times New Roman" w:cs="Times New Roman"/>
          <w:sz w:val="20"/>
        </w:rPr>
        <w:t xml:space="preserve"> alternative model specification had slightly better fit</w:t>
      </w:r>
      <w:r w:rsidR="007A2D73" w:rsidRPr="00031EB4">
        <w:rPr>
          <w:rFonts w:ascii="Times New Roman" w:hAnsi="Times New Roman" w:cs="Times New Roman"/>
          <w:sz w:val="20"/>
        </w:rPr>
        <w:t xml:space="preserve">, </w:t>
      </w:r>
      <w:r w:rsidR="00E13702" w:rsidRPr="00031EB4">
        <w:rPr>
          <w:rFonts w:ascii="Times New Roman" w:hAnsi="Times New Roman" w:cs="Times New Roman"/>
          <w:sz w:val="20"/>
        </w:rPr>
        <w:t>both indicat</w:t>
      </w:r>
      <w:r w:rsidR="007A2D73" w:rsidRPr="00031EB4">
        <w:rPr>
          <w:rFonts w:ascii="Times New Roman" w:hAnsi="Times New Roman" w:cs="Times New Roman"/>
          <w:sz w:val="20"/>
        </w:rPr>
        <w:t>ed</w:t>
      </w:r>
      <w:r w:rsidR="00E13702" w:rsidRPr="00031EB4">
        <w:rPr>
          <w:rFonts w:ascii="Times New Roman" w:hAnsi="Times New Roman" w:cs="Times New Roman"/>
          <w:sz w:val="20"/>
        </w:rPr>
        <w:t xml:space="preserve"> 2012 as a turning point in mortality trends. </w:t>
      </w:r>
    </w:p>
    <w:p w14:paraId="4FDA3D90" w14:textId="77777777" w:rsidR="00031EB4" w:rsidRPr="00031EB4" w:rsidRDefault="00031EB4" w:rsidP="00031EB4">
      <w:pPr>
        <w:spacing w:line="240" w:lineRule="auto"/>
        <w:rPr>
          <w:rFonts w:ascii="Times New Roman" w:hAnsi="Times New Roman" w:cs="Times New Roman"/>
          <w:b/>
          <w:sz w:val="20"/>
        </w:rPr>
      </w:pPr>
      <w:r w:rsidRPr="00031EB4">
        <w:rPr>
          <w:rFonts w:ascii="Times New Roman" w:hAnsi="Times New Roman" w:cs="Times New Roman"/>
          <w:b/>
          <w:sz w:val="20"/>
        </w:rPr>
        <w:t>Context of findings</w:t>
      </w:r>
    </w:p>
    <w:p w14:paraId="787E75F4" w14:textId="077AFF57" w:rsidR="00AF3184" w:rsidRPr="00031EB4" w:rsidRDefault="00AF3184" w:rsidP="00E22714">
      <w:pPr>
        <w:spacing w:line="240" w:lineRule="auto"/>
        <w:rPr>
          <w:rFonts w:ascii="Times New Roman" w:hAnsi="Times New Roman" w:cs="Times New Roman"/>
          <w:sz w:val="20"/>
        </w:rPr>
      </w:pPr>
      <w:r w:rsidRPr="00031EB4">
        <w:rPr>
          <w:rFonts w:ascii="Times New Roman" w:hAnsi="Times New Roman" w:cs="Times New Roman"/>
          <w:sz w:val="20"/>
        </w:rPr>
        <w:t>Our findings appear consistent with what might be expected from a period that has seen the longest decline in long-term economic growth rate, and longest period of lack of investment in healthcare and associated social care services since World War 2.</w:t>
      </w:r>
      <w:r w:rsidR="00F54134" w:rsidRPr="00031EB4">
        <w:rPr>
          <w:rFonts w:ascii="Times New Roman" w:hAnsi="Times New Roman" w:cs="Times New Roman"/>
          <w:sz w:val="20"/>
        </w:rPr>
        <w:fldChar w:fldCharType="begin" w:fldLock="1"/>
      </w:r>
      <w:r w:rsidR="00F54134" w:rsidRPr="00031EB4">
        <w:rPr>
          <w:rFonts w:ascii="Times New Roman" w:hAnsi="Times New Roman" w:cs="Times New Roman"/>
          <w:sz w:val="20"/>
        </w:rPr>
        <w:instrText>ADDIN CSL_CITATION { "citationItems" : [ { "id" : "ITEM-1", "itemData" : { "author" : [ { "dropping-particle" : "", "family" : "Lafond", "given" : "S", "non-dropping-particle" : "", "parse-names" : false, "suffix" : "" }, { "dropping-particle" : "", "family" : "Arora", "given" : "S", "non-dropping-particle" : "", "parse-names" : false, "suffix" : "" }, { "dropping-particle" : "", "family" : "Charlesworth", "given" : "A", "non-dropping-particle" : "", "parse-names" : false, "suffix" : "" }, { "dropping-particle" : "", "family" : "McKeon", "given" : "A", "non-dropping-particle" : "", "parse-names" : false, "suffix" : "" } ], "id" : "ITEM-1", "issued" : { "date-parts" : [ [ "2014" ] ] }, "title" : "Into the red? The state of the NHS' finances: An analysis of NHS expenditure between 2010 and 2014", "type" : "report" }, "uris" : [ "http://www.mendeley.com/documents/?uuid=57ba5efa-7ac8-48d9-be2d-da229930b565" ] } ], "mendeley" : { "formattedCitation" : "&lt;sup&gt;13&lt;/sup&gt;", "plainTextFormattedCitation" : "13", "previouslyFormattedCitation" : "&lt;sup&gt;13&lt;/sup&gt;" }, "properties" : { "noteIndex" : 0 }, "schema" : "https://github.com/citation-style-language/schema/raw/master/csl-citation.json" }</w:instrText>
      </w:r>
      <w:r w:rsidR="00F54134" w:rsidRPr="00031EB4">
        <w:rPr>
          <w:rFonts w:ascii="Times New Roman" w:hAnsi="Times New Roman" w:cs="Times New Roman"/>
          <w:sz w:val="20"/>
        </w:rPr>
        <w:fldChar w:fldCharType="separate"/>
      </w:r>
      <w:r w:rsidR="00F54134" w:rsidRPr="00031EB4">
        <w:rPr>
          <w:rFonts w:ascii="Times New Roman" w:hAnsi="Times New Roman" w:cs="Times New Roman"/>
          <w:noProof/>
          <w:sz w:val="20"/>
          <w:vertAlign w:val="superscript"/>
        </w:rPr>
        <w:t>13</w:t>
      </w:r>
      <w:r w:rsidR="00F54134" w:rsidRPr="00031EB4">
        <w:rPr>
          <w:rFonts w:ascii="Times New Roman" w:hAnsi="Times New Roman" w:cs="Times New Roman"/>
          <w:sz w:val="20"/>
        </w:rPr>
        <w:fldChar w:fldCharType="end"/>
      </w:r>
      <w:r w:rsidRPr="00031EB4">
        <w:rPr>
          <w:rFonts w:ascii="Times New Roman" w:hAnsi="Times New Roman" w:cs="Times New Roman"/>
          <w:sz w:val="20"/>
        </w:rPr>
        <w:t xml:space="preserve"> This is both in terms of much increased and increasing levels of excess deaths amongst the elderly, but paradoxically also with somewhat reduced deaths within working ages, particular</w:t>
      </w:r>
      <w:r w:rsidR="00747C48" w:rsidRPr="00031EB4">
        <w:rPr>
          <w:rFonts w:ascii="Times New Roman" w:hAnsi="Times New Roman" w:cs="Times New Roman"/>
          <w:sz w:val="20"/>
        </w:rPr>
        <w:t>ly</w:t>
      </w:r>
      <w:r w:rsidRPr="00031EB4">
        <w:rPr>
          <w:rFonts w:ascii="Times New Roman" w:hAnsi="Times New Roman" w:cs="Times New Roman"/>
          <w:sz w:val="20"/>
        </w:rPr>
        <w:t xml:space="preserve"> for males (</w:t>
      </w:r>
      <w:r w:rsidR="00822AB3" w:rsidRPr="00031EB4">
        <w:rPr>
          <w:rFonts w:ascii="Times New Roman" w:hAnsi="Times New Roman" w:cs="Times New Roman"/>
          <w:sz w:val="20"/>
        </w:rPr>
        <w:t>Appendix A</w:t>
      </w:r>
      <w:r w:rsidRPr="00031EB4">
        <w:rPr>
          <w:rFonts w:ascii="Times New Roman" w:hAnsi="Times New Roman" w:cs="Times New Roman"/>
          <w:sz w:val="20"/>
        </w:rPr>
        <w:t xml:space="preserve">). </w:t>
      </w:r>
      <w:r w:rsidR="00EE2A2E" w:rsidRPr="00031EB4">
        <w:rPr>
          <w:rFonts w:ascii="Times New Roman" w:hAnsi="Times New Roman" w:cs="Times New Roman"/>
          <w:sz w:val="20"/>
        </w:rPr>
        <w:t>During recessions, suicide rates tend to rise,</w:t>
      </w:r>
      <w:r w:rsidR="00066C09" w:rsidRPr="00031EB4">
        <w:rPr>
          <w:rFonts w:ascii="Times New Roman" w:hAnsi="Times New Roman" w:cs="Times New Roman"/>
          <w:sz w:val="20"/>
        </w:rPr>
        <w:fldChar w:fldCharType="begin" w:fldLock="1"/>
      </w:r>
      <w:r w:rsidR="00066C09" w:rsidRPr="00031EB4">
        <w:rPr>
          <w:rFonts w:ascii="Times New Roman" w:hAnsi="Times New Roman" w:cs="Times New Roman"/>
          <w:sz w:val="20"/>
        </w:rPr>
        <w:instrText>ADDIN CSL_CITATION { "citationItems" : [ { "id" : "ITEM-1", "itemData" : { "DOI" : "10.1136/bmj.f5239", "ISSN" : "1756-1833", "author" : [ { "dropping-particle" : "", "family" : "Chang", "given" : "S.-S.", "non-dropping-particle" : "", "parse-names" : false, "suffix" : "" }, { "dropping-particle" : "", "family" : "Stuckler", "given" : "D.", "non-dropping-particle" : "", "parse-names" : false, "suffix" : "" }, { "dropping-particle" : "", "family" : "Yip", "given" : "P.", "non-dropping-particle" : "", "parse-names" : false, "suffix" : "" }, { "dropping-particle" : "", "family" : "Gunnell", "given" : "D.", "non-dropping-particle" : "", "parse-names" : false, "suffix" : "" } ], "container-title" : "BMJ", "id" : "ITEM-1", "issue" : "sep17 1", "issued" : { "date-parts" : [ [ "2013", "9", "17" ] ] }, "page" : "f5239-f5239", "title" : "Impact of 2008 global economic crisis on suicide: time trend study in 54 countries", "type" : "article-journal", "volume" : "347" }, "uris" : [ "http://www.mendeley.com/documents/?uuid=61dc93a6-830a-47a4-bf6a-e36f4f390821" ] } ], "mendeley" : { "formattedCitation" : "&lt;sup&gt;14&lt;/sup&gt;", "plainTextFormattedCitation" : "14" }, "properties" : { "noteIndex" : 0 }, "schema" : "https://github.com/citation-style-language/schema/raw/master/csl-citation.json" }</w:instrText>
      </w:r>
      <w:r w:rsidR="00066C09" w:rsidRPr="00031EB4">
        <w:rPr>
          <w:rFonts w:ascii="Times New Roman" w:hAnsi="Times New Roman" w:cs="Times New Roman"/>
          <w:sz w:val="20"/>
        </w:rPr>
        <w:fldChar w:fldCharType="separate"/>
      </w:r>
      <w:r w:rsidR="00066C09" w:rsidRPr="00031EB4">
        <w:rPr>
          <w:rFonts w:ascii="Times New Roman" w:hAnsi="Times New Roman" w:cs="Times New Roman"/>
          <w:noProof/>
          <w:sz w:val="20"/>
          <w:vertAlign w:val="superscript"/>
        </w:rPr>
        <w:t>14</w:t>
      </w:r>
      <w:r w:rsidR="00066C09" w:rsidRPr="00031EB4">
        <w:rPr>
          <w:rFonts w:ascii="Times New Roman" w:hAnsi="Times New Roman" w:cs="Times New Roman"/>
          <w:sz w:val="20"/>
        </w:rPr>
        <w:fldChar w:fldCharType="end"/>
      </w:r>
      <w:r w:rsidR="00EE2A2E" w:rsidRPr="00031EB4">
        <w:rPr>
          <w:rFonts w:ascii="Times New Roman" w:hAnsi="Times New Roman" w:cs="Times New Roman"/>
          <w:sz w:val="20"/>
        </w:rPr>
        <w:t xml:space="preserve"> and vehicle-mortality to fall,</w:t>
      </w:r>
      <w:r w:rsidR="00674834" w:rsidRPr="00031EB4">
        <w:rPr>
          <w:rFonts w:ascii="Times New Roman" w:hAnsi="Times New Roman" w:cs="Times New Roman"/>
          <w:sz w:val="20"/>
        </w:rPr>
        <w:fldChar w:fldCharType="begin" w:fldLock="1"/>
      </w:r>
      <w:r w:rsidR="00066C09" w:rsidRPr="00031EB4">
        <w:rPr>
          <w:rFonts w:ascii="Times New Roman" w:hAnsi="Times New Roman" w:cs="Times New Roman"/>
          <w:sz w:val="20"/>
        </w:rPr>
        <w:instrText>ADDIN CSL_CITATION { "citationItems" : [ { "id" : "ITEM-1", "itemData" : { "DOI" : "10.1093/ije/dyw095", "author" : [ { "dropping-particle" : "", "family" : "Minton", "given" : "J", "non-dropping-particle" : "", "parse-names" : false, "suffix" : "" }, { "dropping-particle" : "", "family" : "Shaw", "given" : "R", "non-dropping-particle" : "", "parse-names" : false, "suffix" : "" }, { "dropping-particle" : "", "family" : "Green", "given" : "M", "non-dropping-particle" : "", "parse-names" : false, "suffix" : "" }, { "dropping-particle" : "", "family" : "Vanderbloemen", "given" : "L", "non-dropping-particle" : "", "parse-names" : false, "suffix" : "" }, { "dropping-particle" : "", "family" : "McCartney", "given" : "G", "non-dropping-particle" : "", "parse-names" : false, "suffix" : "" }, { "dropping-particle" : "", "family" : "Pickett", "given" : "K", "non-dropping-particle" : "", "parse-names" : false, "suffix" : "" } ], "container-title" : "International Journal of Epidemiology", "id" : "ITEM-1", "issued" : { "date-parts" : [ [ "2016" ] ] }, "title" : "Two cheers for a small giant? Why we need better ways of seeing data. A commentary on: 'Rising morbidity and mortality in midlife among white non-Hispanic (WNH) Americans in the 21st century'", "type" : "article-journal" }, "uris" : [ "http://www.mendeley.com/documents/?uuid=8035617e-eb67-4b55-af97-3e1aa788e2ed" ] } ], "mendeley" : { "formattedCitation" : "&lt;sup&gt;5&lt;/sup&gt;", "plainTextFormattedCitation" : "5", "previouslyFormattedCitation" : "&lt;sup&gt;5&lt;/sup&gt;" }, "properties" : { "noteIndex" : 0 }, "schema" : "https://github.com/citation-style-language/schema/raw/master/csl-citation.json" }</w:instrText>
      </w:r>
      <w:r w:rsidR="00674834" w:rsidRPr="00031EB4">
        <w:rPr>
          <w:rFonts w:ascii="Times New Roman" w:hAnsi="Times New Roman" w:cs="Times New Roman"/>
          <w:sz w:val="20"/>
        </w:rPr>
        <w:fldChar w:fldCharType="separate"/>
      </w:r>
      <w:r w:rsidR="00674834" w:rsidRPr="00031EB4">
        <w:rPr>
          <w:rFonts w:ascii="Times New Roman" w:hAnsi="Times New Roman" w:cs="Times New Roman"/>
          <w:noProof/>
          <w:sz w:val="20"/>
          <w:vertAlign w:val="superscript"/>
        </w:rPr>
        <w:t>5</w:t>
      </w:r>
      <w:r w:rsidR="00674834" w:rsidRPr="00031EB4">
        <w:rPr>
          <w:rFonts w:ascii="Times New Roman" w:hAnsi="Times New Roman" w:cs="Times New Roman"/>
          <w:sz w:val="20"/>
        </w:rPr>
        <w:fldChar w:fldCharType="end"/>
      </w:r>
      <w:r w:rsidR="00EE2A2E" w:rsidRPr="00031EB4">
        <w:rPr>
          <w:rFonts w:ascii="Times New Roman" w:hAnsi="Times New Roman" w:cs="Times New Roman"/>
          <w:sz w:val="20"/>
        </w:rPr>
        <w:t xml:space="preserve"> </w:t>
      </w:r>
      <w:r w:rsidR="00066C09" w:rsidRPr="00031EB4">
        <w:rPr>
          <w:rFonts w:ascii="Times New Roman" w:hAnsi="Times New Roman" w:cs="Times New Roman"/>
          <w:sz w:val="20"/>
        </w:rPr>
        <w:t xml:space="preserve">which can </w:t>
      </w:r>
      <w:r w:rsidR="00EE2A2E" w:rsidRPr="00031EB4">
        <w:rPr>
          <w:rFonts w:ascii="Times New Roman" w:hAnsi="Times New Roman" w:cs="Times New Roman"/>
          <w:sz w:val="20"/>
        </w:rPr>
        <w:t xml:space="preserve">lower mortality </w:t>
      </w:r>
      <w:r w:rsidR="00674834" w:rsidRPr="00031EB4">
        <w:rPr>
          <w:rFonts w:ascii="Times New Roman" w:hAnsi="Times New Roman" w:cs="Times New Roman"/>
          <w:sz w:val="20"/>
        </w:rPr>
        <w:t>in young adulthood overall</w:t>
      </w:r>
      <w:r w:rsidR="00D45B10" w:rsidRPr="00031EB4">
        <w:rPr>
          <w:rFonts w:ascii="Times New Roman" w:hAnsi="Times New Roman" w:cs="Times New Roman"/>
          <w:sz w:val="20"/>
        </w:rPr>
        <w:t>.</w:t>
      </w:r>
      <w:r w:rsidR="00803A7F" w:rsidRPr="00031EB4">
        <w:rPr>
          <w:rFonts w:ascii="Times New Roman" w:hAnsi="Times New Roman" w:cs="Times New Roman"/>
          <w:sz w:val="20"/>
        </w:rPr>
        <w:fldChar w:fldCharType="begin" w:fldLock="1"/>
      </w:r>
      <w:r w:rsidR="00674834" w:rsidRPr="00031EB4">
        <w:rPr>
          <w:rFonts w:ascii="Times New Roman" w:hAnsi="Times New Roman" w:cs="Times New Roman"/>
          <w:sz w:val="20"/>
        </w:rPr>
        <w:instrText>ADDIN CSL_CITATION { "citationItems" : [ { "id" : "ITEM-1", "itemData" : { "DOI" : "10.1016/S0140-6736(15)00195-6", "ISSN" : "01406736", "PMID" : "26382241", "abstract" : "BACKGROUND: In the Global Burden of Disease Study 2013 (GBD 2013), knowledge about health and its determinants has been integrated into a comparable framework to inform health policy. Outputs of this analysis are relevant to current policy questions in England and elsewhere, particularly on health inequalities. We use GBD 2013 data on mortality and causes of death, and disease and injury incidence and prevalence to analyse the burden of disease and injury in England as a whole, in English regions, and within each English region by deprivation quintile. We also assess disease and injury burden in England attributable to potentially preventable risk factors. England and the English regions are compared with the remaining constituent countries of the UK and with comparable countries in the European Union (EU) and beyond. METHODS: We extracted data from the GBD 2013 to compare mortality, causes of death, years of life lost (YLLs), years lived with a disability (YLDs), and disability-adjusted life-years (DALYs) in England, the UK, and 18 other countries (the first 15 EU members [apart from the UK] and Australia, Canada, Norway, and the USA [EU15+]). We extended elements of the analysis to English regions, and subregional areas defined by deprivation quintile (deprivation areas). We used data split by the nine English regions (corresponding to the European boundaries of the Nomenclature for Territorial Statistics level 1 [NUTS 1] regions), and by quintile groups within each English region according to deprivation, thereby making 45 regional deprivation areas. Deprivation quintiles were defined by area of residence ranked at national level by Index of Multiple Deprivation score, 2010. Burden due to various risk factors is described for England using new GBD methodology to estimate independent and overlapping attributable risk for five tiers of behavioural, metabolic, and environmental risk factors. We present results for 306 causes and 2337 sequelae, and 79 risks or risk clusters. FINDINGS: Between 1990 and 2013, life expectancy from birth in England increased by 5\u00b74 years (95% uncertainty interval 5\u00b70-5\u00b78) from 75\u00b79 years (75\u00b79-76\u00b70) to 81\u00b73 years (80\u00b79-81\u00b77); gains were greater for men than for women. Rates of age-standardised YLLs reduced by 41\u00b71% (38\u00b73-43\u00b76), whereas DALYs were reduced by 23\u00b78% (20\u00b79-27\u00b71), and YLDs by 1\u00b74% (0\u00b71-2\u00b78). For these measures, England ranked better than the UK and the EU15+ means. Between 1990 and 2013, the range in life expecta\u2026", "author" : [ { "dropping-particle" : "", "family" : "Newton", "given" : "John N", "non-dropping-particle" : "", "parse-names" : false, "suffix" : "" }, { "dropping-particle" : "", "family" : "Briggs", "given" : "Adam D M", "non-dropping-particle" : "", "parse-names" : false, "suffix" : "" }, { "dropping-particle" : "", "family" : "Murray", "given" : "Christopher J L", "non-dropping-particle" : "", "parse-names" : false, "suffix" : "" }, { "dropping-particle" : "", "family" : "Dicker", "given" : "Daniel", "non-dropping-particle" : "", "parse-names" : false, "suffix" : "" }, { "dropping-particle" : "", "family" : "Foreman", "given" : "Kyle J", "non-dropping-particle" : "", "parse-names" : false, "suffix" : "" }, { "dropping-particle" : "", "family" : "Wang", "given" : "Haidong", "non-dropping-particle" : "", "parse-names" : false, "suffix" : "" }, { "dropping-particle" : "", "family" : "Naghavi", "given" : "Mohsen", "non-dropping-particle" : "", "parse-names" : false, "suffix" : "" }, { "dropping-particle" : "", "family" : "Forouzanfar", "given" : "Mohammad H", "non-dropping-particle" : "", "parse-names" : false, "suffix" : "" }, { "dropping-particle" : "", "family" : "Ohno", "given" : "Summer Lockett", "non-dropping-particle" : "", "parse-names" : false, "suffix" : "" }, { "dropping-particle" : "", "family" : "Barber", "given" : "Ryan M", "non-dropping-particle" : "", "parse-names" : false, "suffix" : "" }, { "dropping-particle" : "", "family" : "Vos", "given" : "Theo", "non-dropping-particle" : "", "parse-names" : false, "suffix" : "" }, { "dropping-particle" : "", "family" : "Stanaway", "given" : "Jeffrey D", "non-dropping-particle" : "", "parse-names" : false, "suffix" : "" }, { "dropping-particle" : "", "family" : "Schmidt", "given" : "J\u00fcrgen C", "non-dropping-particle" : "", "parse-names" : false, "suffix" : "" }, { "dropping-particle" : "", "family" : "Hughes", "given" : "Andrew J", "non-dropping-particle" : "", "parse-names" : false, "suffix" : "" }, { "dropping-particle" : "", "family" : "Fay", "given" : "Derek F J", "non-dropping-particle" : "", "parse-names" : false, "suffix" : "" }, { "dropping-particle" : "", "family" : "Ecob", "given" : "Russell", "non-dropping-particle" : "", "parse-names" : false, "suffix" : "" }, { "dropping-particle" : "", "family" : "Gresser", "given" : "Charis", "non-dropping-particle" : "", "parse-names" : false, "suffix" : "" }, { "dropping-particle" : "", "family" : "McKee", "given" : "Martin", "non-dropping-particle" : "", "parse-names" : false, "suffix" : "" }, { "dropping-particle" : "", "family" : "Rutter", "given" : "Harry", "non-dropping-particle" : "", "parse-names" : false, "suffix" : "" }, { "dropping-particle" : "", "family" : "Abubakar", "given" : "Ibrahim", "non-dropping-particle" : "", "parse-names" : false, "suffix" : "" }, { "dropping-particle" : "", "family" : "Ali", "given" : "Raghib", "non-dropping-particle" : "", "parse-names" : false, "suffix" : "" }, { "dropping-particle" : "", "family" : "Anderson", "given" : "H Ross", "non-dropping-particle" : "", "parse-names" : false, "suffix" : "" }, { "dropping-particle" : "", "family" : "Banerjee", "given" : "Amitava", "non-dropping-particle" : "", "parse-names" : false, "suffix" : "" }, { "dropping-particle" : "", "family" : "Bennett", "given" : "Derrick A", "non-dropping-particle" : "", "parse-names" : false, "suffix" : "" }, { "dropping-particle" : "", "family" : "Bernab\u00e9", "given" : "Eduardo", "non-dropping-particle" : "", "parse-names" : false, "suffix" : "" }, { "dropping-particle" : "", "family" : "Bhui", "given" : "Kamaldeep S", "non-dropping-particle" : "", "parse-names" : false, "suffix" : "" }, { "dropping-particle" : "", "family" : "Biryukov", "given" : "Stanley M", "non-dropping-particle" : "", "parse-names" : false, "suffix" : "" }, { "dropping-particle" : "", "family" : "Bourne", "given" : "Rupert R", "non-dropping-particle" : "", "parse-names" : false, "suffix" : "" }, { "dropping-particle" : "", "family" : "Brayne", "given" : "Carol E G", "non-dropping-particle" : "", "parse-names" : false, "suffix" : "" }, { "dropping-particle" : "", "family" : "Bruce", "given" : "Nigel G", "non-dropping-particle" : "", "parse-names" : false, "suffix" : "" }, { "dropping-particle" : "", "family" : "Brugha", "given" : "Traolach S", "non-dropping-particle" : "", "parse-names" : false, "suffix" : "" }, { "dropping-particle" : "", "family" : "Burch", "given" : "Michael", "non-dropping-particle" : "", "parse-names" : false, "suffix" : "" }, { "dropping-particle" : "", "family" : "Capewell", "given" : "Simon", "non-dropping-particle" : "", "parse-names" : false, "suffix" : "" }, { "dropping-particle" : "", "family" : "Casey", "given" : "Daniel", "non-dropping-particle" : "", "parse-names" : false, "suffix" : "" }, { "dropping-particle" : "", "family" : "Chowdhury", "given" : "Rajiv", "non-dropping-particle" : "", "parse-names" : false, "suffix" : "" }, { "dropping-particle" : "", "family" : "Coates", "given" : "Matthew M", "non-dropping-particle" : "", "parse-names" : false, "suffix" : "" }, { "dropping-particle" : "", "family" : "Cooper", "given" : "Cyrus", "non-dropping-particle" : "", "parse-names" : false, "suffix" : "" }, { "dropping-particle" : "", "family" : "Critchley", "given" : "Julia A", "non-dropping-particle" : "", "parse-names" : false, "suffix" : "" }, { "dropping-particle" : "", "family" : "Dargan", "given" : "Paul I", "non-dropping-particle" : "", "parse-names" : false, "suffix" : "" }, { "dropping-particle" : "", "family" : "Dherani", "given" : "Mukesh K", "non-dropping-particle" : "", "parse-names" : false, "suffix" : "" }, { "dropping-particle" : "", "family" : "Elliott", "given" : "Paul", "non-dropping-particle" : "", "parse-names" : false, "suffix" : "" }, { "dropping-particle" : "", "family" : "Ezzati", "given" : "Majid", "non-dropping-particle" : "", "parse-names" : false, "suffix" : "" }, { "dropping-particle" : "", "family" : "Fenton", "given" : "Kevin A", "non-dropping-particle" : "", "parse-names" : false, "suffix" : "" }, { "dropping-particle" : "", "family" : "Fraser", "given" : "Maya S", "non-dropping-particle" : "", "parse-names" : false, "suffix" : "" }, { "dropping-particle" : "", "family" : "F\u00fcrst", "given" : "Thomas", "non-dropping-particle" : "", "parse-names" : false, "suffix" : "" }, { "dropping-particle" : "", "family" : "Greaves", "given" : "Felix", "non-dropping-particle" : "", "parse-names" : false, "suffix" : "" }, { "dropping-particle" : "", "family" : "Green", "given" : "Mark A", "non-dropping-particle" : "", "parse-names" : false, "suffix" : "" }, { "dropping-particle" : "", "family" : "Gunnell", "given" : "David J", "non-dropping-particle" : "", "parse-names" : false, "suffix" : "" }, { "dropping-particle" : "", "family" : "Hannigan", "given" : "Bernadette M", "non-dropping-particle" : "", "parse-names" : false, "suffix" : "" }, { "dropping-particle" : "", "family" : "Hay", "given" : "Roderick J", "non-dropping-particle" : "", "parse-names" : false, "suffix" : "" }, { "dropping-particle" : "", "family" : "Hay", "given" : "Simon I", "non-dropping-particle" : "", "parse-names" : false, "suffix" : "" }, { "dropping-particle" : "", "family" : "Hemingway", "given" : "Harry", "non-dropping-particle" : "", "parse-names" : false, "suffix" : "" }, { "dropping-particle" : "", "family" : "Larson", "given" : "Heidi J", "non-dropping-particle" : "", "parse-names" : false, "suffix" : "" }, { "dropping-particle" : "", "family" : "Looker", "given" : "Katharine J", "non-dropping-particle" : "", "parse-names" : false, "suffix" : "" }, { "dropping-particle" : "", "family" : "Lunevicius", "given" : "Raimundas", "non-dropping-particle" : "", "parse-names" : false, "suffix" : "" }, { "dropping-particle" : "", "family" : "Lyons", "given" : "Ronan A", "non-dropping-particle" : "", "parse-names" : false, "suffix" : "" }, { "dropping-particle" : "", "family" : "Marcenes", "given" : "Wagner", "non-dropping-particle" : "", "parse-names" : false, "suffix" : "" }, { "dropping-particle" : "", "family" : "Mason-Jones", "given" : "Amanda J", "non-dropping-particle" : "", "parse-names" : false, "suffix" : "" }, { "dropping-particle" : "", "family" : "Matthews", "given" : "Fiona E", "non-dropping-particle" : "", "parse-names" : false, "suffix" : "" }, { "dropping-particle" : "", "family" : "Moller", "given" : "Henrik", "non-dropping-particle" : "", "parse-names" : false, "suffix" : "" }, { "dropping-particle" : "", "family" : "Murdoch", "given" : "Michele E", "non-dropping-particle" : "", "parse-names" : false, "suffix" : "" }, { "dropping-particle" : "", "family" : "Newton", "given" : "Charles R", "non-dropping-particle" : "", "parse-names" : false, "suffix" : "" }, { "dropping-particle" : "", "family" : "Pearce", "given" : "Neil", "non-dropping-particle" : "", "parse-names" : false, "suffix" : "" }, { "dropping-particle" : "", "family" : "Piel", "given" : "Fr\u00e9d\u00e9ric B", "non-dropping-particle" : "", "parse-names" : false, "suffix" : "" }, { "dropping-particle" : "", "family" : "Pope", "given" : "Daniel", "non-dropping-particle" : "", "parse-names" : false, "suffix" : "" }, { "dropping-particle" : "", "family" : "Rahimi", "given" : "Kazem", "non-dropping-particle" : "", "parse-names" : false, "suffix" : "" }, { "dropping-particle" : "", "family" : "Rodriguez", "given" : "Alina", "non-dropping-particle" : "", "parse-names" : false, "suffix" : "" }, { "dropping-particle" : "", "family" : "Scarborough", "given" : "Peter", "non-dropping-particle" : "", "parse-names" : false, "suffix" : "" }, { "dropping-particle" : "", "family" : "Schumacher", "given" : "Austin E", "non-dropping-particle" : "", "parse-names" : false, "suffix" : "" }, { "dropping-particle" : "", "family" : "Shiue", "given" : "Ivy", "non-dropping-particle" : "", "parse-names" : false, "suffix" : "" }, { "dropping-particle" : "", "family" : "Smeeth", "given" : "Liam", "non-dropping-particle" : "", "parse-names" : false, "suffix" : "" }, { "dropping-particle" : "", "family" : "Tedstone", "given" : "Alison", "non-dropping-particle" : "", "parse-names" : false, "suffix" : "" }, { "dropping-particle" : "", "family" : "Valabhji", "given" : "Jonathan", "non-dropping-particle" : "", "parse-names" : false, "suffix" : "" }, { "dropping-particle" : "", "family" : "Williams", "given" : "Hywel C", "non-dropping-particle" : "", "parse-names" : false, "suffix" : "" }, { "dropping-particle" : "", "family" : "Wolfe", "given" : "Charles D A", "non-dropping-particle" : "", "parse-names" : false, "suffix" : "" }, { "dropping-particle" : "", "family" : "Woolf", "given" : "Anthony D", "non-dropping-particle" : "", "parse-names" : false, "suffix" : "" }, { "dropping-particle" : "", "family" : "Davis", "given" : "Adrian C J", "non-dropping-particle" : "", "parse-names" : false, "suffix" : "" } ], "container-title" : "The Lancet", "id" : "ITEM-1", "issued" : { "date-parts" : [ [ "2015" ] ] }, "title" : "Changes in health in England, with analysis by English regions and areas of deprivation, 1990\u20132013", "type" : "article-journal" }, "uris" : [ "http://www.mendeley.com/documents/?uuid=16d3962a-abb5-424c-b9fa-d189253469d9" ] } ], "mendeley" : { "formattedCitation" : "&lt;sup&gt;15&lt;/sup&gt;", "plainTextFormattedCitation" : "15", "previouslyFormattedCitation" : "&lt;sup&gt;15&lt;/sup&gt;" }, "properties" : { "noteIndex" : 0 }, "schema" : "https://github.com/citation-style-language/schema/raw/master/csl-citation.json" }</w:instrText>
      </w:r>
      <w:r w:rsidR="00803A7F" w:rsidRPr="00031EB4">
        <w:rPr>
          <w:rFonts w:ascii="Times New Roman" w:hAnsi="Times New Roman" w:cs="Times New Roman"/>
          <w:sz w:val="20"/>
        </w:rPr>
        <w:fldChar w:fldCharType="separate"/>
      </w:r>
      <w:r w:rsidR="00674834" w:rsidRPr="00031EB4">
        <w:rPr>
          <w:rFonts w:ascii="Times New Roman" w:hAnsi="Times New Roman" w:cs="Times New Roman"/>
          <w:noProof/>
          <w:sz w:val="20"/>
          <w:vertAlign w:val="superscript"/>
        </w:rPr>
        <w:t>15</w:t>
      </w:r>
      <w:r w:rsidR="00803A7F" w:rsidRPr="00031EB4">
        <w:rPr>
          <w:rFonts w:ascii="Times New Roman" w:hAnsi="Times New Roman" w:cs="Times New Roman"/>
          <w:sz w:val="20"/>
        </w:rPr>
        <w:fldChar w:fldCharType="end"/>
      </w:r>
      <w:r w:rsidR="005B12E3" w:rsidRPr="00031EB4">
        <w:rPr>
          <w:rFonts w:ascii="Times New Roman" w:hAnsi="Times New Roman" w:cs="Times New Roman"/>
          <w:sz w:val="20"/>
        </w:rPr>
        <w:t xml:space="preserve"> Changes in these drivers of acute causes of mortality tend to react quickly to ‘environmental stimul</w:t>
      </w:r>
      <w:r w:rsidR="00803A7F" w:rsidRPr="00031EB4">
        <w:rPr>
          <w:rFonts w:ascii="Times New Roman" w:hAnsi="Times New Roman" w:cs="Times New Roman"/>
          <w:sz w:val="20"/>
        </w:rPr>
        <w:t>i</w:t>
      </w:r>
      <w:r w:rsidR="005B12E3" w:rsidRPr="00031EB4">
        <w:rPr>
          <w:rFonts w:ascii="Times New Roman" w:hAnsi="Times New Roman" w:cs="Times New Roman"/>
          <w:sz w:val="20"/>
        </w:rPr>
        <w:t xml:space="preserve">’. All-cause mortality among the elderly is more likely to be influenced by changes to the funding and functioning of social care and healthcare which may take longer to materialise. </w:t>
      </w:r>
    </w:p>
    <w:p w14:paraId="24A5A12A" w14:textId="3DA2C971" w:rsidR="001139AD" w:rsidRPr="00031EB4" w:rsidRDefault="005856B2" w:rsidP="00E22714">
      <w:pPr>
        <w:spacing w:line="240" w:lineRule="auto"/>
        <w:rPr>
          <w:rFonts w:ascii="Times New Roman" w:hAnsi="Times New Roman" w:cs="Times New Roman"/>
          <w:sz w:val="20"/>
        </w:rPr>
      </w:pPr>
      <w:r w:rsidRPr="00031EB4">
        <w:rPr>
          <w:rFonts w:ascii="Times New Roman" w:hAnsi="Times New Roman" w:cs="Times New Roman"/>
          <w:sz w:val="20"/>
        </w:rPr>
        <w:t xml:space="preserve">Increasing </w:t>
      </w:r>
      <w:r w:rsidR="00E13702" w:rsidRPr="00031EB4">
        <w:rPr>
          <w:rFonts w:ascii="Times New Roman" w:hAnsi="Times New Roman" w:cs="Times New Roman"/>
          <w:sz w:val="20"/>
        </w:rPr>
        <w:t>elder</w:t>
      </w:r>
      <w:r w:rsidR="000D55B1" w:rsidRPr="00031EB4">
        <w:rPr>
          <w:rFonts w:ascii="Times New Roman" w:hAnsi="Times New Roman" w:cs="Times New Roman"/>
          <w:sz w:val="20"/>
        </w:rPr>
        <w:t>ly</w:t>
      </w:r>
      <w:r w:rsidR="00E13702" w:rsidRPr="00031EB4">
        <w:rPr>
          <w:rFonts w:ascii="Times New Roman" w:hAnsi="Times New Roman" w:cs="Times New Roman"/>
          <w:sz w:val="20"/>
        </w:rPr>
        <w:t xml:space="preserve"> </w:t>
      </w:r>
      <w:r w:rsidRPr="00031EB4">
        <w:rPr>
          <w:rFonts w:ascii="Times New Roman" w:hAnsi="Times New Roman" w:cs="Times New Roman"/>
          <w:sz w:val="20"/>
        </w:rPr>
        <w:t>d</w:t>
      </w:r>
      <w:r w:rsidR="00A432E5" w:rsidRPr="00031EB4">
        <w:rPr>
          <w:rFonts w:ascii="Times New Roman" w:hAnsi="Times New Roman" w:cs="Times New Roman"/>
          <w:sz w:val="20"/>
        </w:rPr>
        <w:t xml:space="preserve">eath rates </w:t>
      </w:r>
      <w:r w:rsidR="000D55B1" w:rsidRPr="00031EB4">
        <w:rPr>
          <w:rFonts w:ascii="Times New Roman" w:hAnsi="Times New Roman" w:cs="Times New Roman"/>
          <w:sz w:val="20"/>
        </w:rPr>
        <w:t>may be</w:t>
      </w:r>
      <w:r w:rsidRPr="00031EB4">
        <w:rPr>
          <w:rFonts w:ascii="Times New Roman" w:hAnsi="Times New Roman" w:cs="Times New Roman"/>
          <w:sz w:val="20"/>
        </w:rPr>
        <w:t xml:space="preserve"> ‘canaries in a coal-mine</w:t>
      </w:r>
      <w:r w:rsidR="005B12E3" w:rsidRPr="00031EB4">
        <w:rPr>
          <w:rFonts w:ascii="Times New Roman" w:hAnsi="Times New Roman" w:cs="Times New Roman"/>
          <w:sz w:val="20"/>
        </w:rPr>
        <w:t>’</w:t>
      </w:r>
      <w:r w:rsidRPr="00031EB4">
        <w:rPr>
          <w:rFonts w:ascii="Times New Roman" w:hAnsi="Times New Roman" w:cs="Times New Roman"/>
          <w:sz w:val="20"/>
        </w:rPr>
        <w:t xml:space="preserve">, indicating an underlying decline in </w:t>
      </w:r>
      <w:r w:rsidR="005B12E3" w:rsidRPr="00031EB4">
        <w:rPr>
          <w:rFonts w:ascii="Times New Roman" w:hAnsi="Times New Roman" w:cs="Times New Roman"/>
          <w:sz w:val="20"/>
        </w:rPr>
        <w:t xml:space="preserve">population </w:t>
      </w:r>
      <w:r w:rsidRPr="00031EB4">
        <w:rPr>
          <w:rFonts w:ascii="Times New Roman" w:hAnsi="Times New Roman" w:cs="Times New Roman"/>
          <w:sz w:val="20"/>
        </w:rPr>
        <w:t>health, wellbeing</w:t>
      </w:r>
      <w:r w:rsidR="00E13702" w:rsidRPr="00031EB4">
        <w:rPr>
          <w:rFonts w:ascii="Times New Roman" w:hAnsi="Times New Roman" w:cs="Times New Roman"/>
          <w:sz w:val="20"/>
        </w:rPr>
        <w:t>,</w:t>
      </w:r>
      <w:r w:rsidRPr="00031EB4">
        <w:rPr>
          <w:rFonts w:ascii="Times New Roman" w:hAnsi="Times New Roman" w:cs="Times New Roman"/>
          <w:sz w:val="20"/>
        </w:rPr>
        <w:t xml:space="preserve"> and quality of life. </w:t>
      </w:r>
      <w:r w:rsidR="000D55B1" w:rsidRPr="00031EB4">
        <w:rPr>
          <w:rFonts w:ascii="Times New Roman" w:hAnsi="Times New Roman" w:cs="Times New Roman"/>
          <w:sz w:val="20"/>
        </w:rPr>
        <w:t>S</w:t>
      </w:r>
      <w:r w:rsidR="001139AD" w:rsidRPr="00031EB4">
        <w:rPr>
          <w:rFonts w:ascii="Times New Roman" w:hAnsi="Times New Roman" w:cs="Times New Roman"/>
          <w:sz w:val="20"/>
        </w:rPr>
        <w:t>ince</w:t>
      </w:r>
      <w:r w:rsidR="005B12E3" w:rsidRPr="00031EB4">
        <w:rPr>
          <w:rFonts w:ascii="Times New Roman" w:hAnsi="Times New Roman" w:cs="Times New Roman"/>
          <w:sz w:val="20"/>
        </w:rPr>
        <w:t xml:space="preserve"> t</w:t>
      </w:r>
      <w:r w:rsidR="00445B0B" w:rsidRPr="00031EB4">
        <w:rPr>
          <w:rFonts w:ascii="Times New Roman" w:hAnsi="Times New Roman" w:cs="Times New Roman"/>
          <w:sz w:val="20"/>
        </w:rPr>
        <w:t xml:space="preserve">he Coalition government introduced annual measurements of subjective wellbeing in 2010, </w:t>
      </w:r>
      <w:r w:rsidR="005B12E3" w:rsidRPr="00031EB4">
        <w:rPr>
          <w:rFonts w:ascii="Times New Roman" w:hAnsi="Times New Roman" w:cs="Times New Roman"/>
          <w:sz w:val="20"/>
        </w:rPr>
        <w:t xml:space="preserve">there has been declining wellbeing for most age groups </w:t>
      </w:r>
      <w:r w:rsidR="00445B0B" w:rsidRPr="00031EB4">
        <w:rPr>
          <w:rFonts w:ascii="Times New Roman" w:hAnsi="Times New Roman" w:cs="Times New Roman"/>
          <w:sz w:val="20"/>
        </w:rPr>
        <w:t>in each successive year.</w:t>
      </w:r>
      <w:r w:rsidR="00445B0B" w:rsidRPr="00031EB4">
        <w:rPr>
          <w:rFonts w:ascii="Times New Roman" w:hAnsi="Times New Roman" w:cs="Times New Roman"/>
          <w:sz w:val="20"/>
        </w:rPr>
        <w:fldChar w:fldCharType="begin" w:fldLock="1"/>
      </w:r>
      <w:r w:rsidR="00674834" w:rsidRPr="00031EB4">
        <w:rPr>
          <w:rFonts w:ascii="Times New Roman" w:hAnsi="Times New Roman" w:cs="Times New Roman"/>
          <w:sz w:val="20"/>
        </w:rPr>
        <w:instrText>ADDIN CSL_CITATION { "citationItems" : [ { "id" : "ITEM-1", "itemData" : { "URL" : "http://www.ons.gov.uk/peoplepopulationandcommunity/wellbeing/articles/measuringnationalwellbeing/2016", "author" : [ { "dropping-particle" : "", "family" : "ONS", "given" : "", "non-dropping-particle" : "", "parse-names" : false, "suffix" : "" } ], "id" : "ITEM-1", "issued" : { "date-parts" : [ [ "0" ] ] }, "title" : "Measuring National well-being: Life in the UK: 2016", "type" : "webpage" }, "uris" : [ "http://www.mendeley.com/documents/?uuid=d4727a40-697a-4ee2-8f97-60cfd26321ae" ] } ], "mendeley" : { "formattedCitation" : "&lt;sup&gt;16&lt;/sup&gt;", "plainTextFormattedCitation" : "16", "previouslyFormattedCitation" : "&lt;sup&gt;16&lt;/sup&gt;" }, "properties" : { "noteIndex" : 0 }, "schema" : "https://github.com/citation-style-language/schema/raw/master/csl-citation.json" }</w:instrText>
      </w:r>
      <w:r w:rsidR="00445B0B" w:rsidRPr="00031EB4">
        <w:rPr>
          <w:rFonts w:ascii="Times New Roman" w:hAnsi="Times New Roman" w:cs="Times New Roman"/>
          <w:sz w:val="20"/>
        </w:rPr>
        <w:fldChar w:fldCharType="separate"/>
      </w:r>
      <w:r w:rsidR="00674834" w:rsidRPr="00031EB4">
        <w:rPr>
          <w:rFonts w:ascii="Times New Roman" w:hAnsi="Times New Roman" w:cs="Times New Roman"/>
          <w:noProof/>
          <w:sz w:val="20"/>
          <w:vertAlign w:val="superscript"/>
        </w:rPr>
        <w:t>16</w:t>
      </w:r>
      <w:r w:rsidR="00445B0B" w:rsidRPr="00031EB4">
        <w:rPr>
          <w:rFonts w:ascii="Times New Roman" w:hAnsi="Times New Roman" w:cs="Times New Roman"/>
          <w:sz w:val="20"/>
        </w:rPr>
        <w:fldChar w:fldCharType="end"/>
      </w:r>
      <w:r w:rsidR="005B12E3" w:rsidRPr="00031EB4">
        <w:rPr>
          <w:rFonts w:ascii="Times New Roman" w:hAnsi="Times New Roman" w:cs="Times New Roman"/>
          <w:sz w:val="20"/>
        </w:rPr>
        <w:t xml:space="preserve"> The</w:t>
      </w:r>
      <w:r w:rsidR="006C3C37" w:rsidRPr="00031EB4">
        <w:rPr>
          <w:rFonts w:ascii="Times New Roman" w:hAnsi="Times New Roman" w:cs="Times New Roman"/>
          <w:sz w:val="20"/>
        </w:rPr>
        <w:t xml:space="preserve"> combined effects of the GFC followed by the Coalition’s Austerity experiment </w:t>
      </w:r>
      <w:r w:rsidR="005B12E3" w:rsidRPr="00031EB4">
        <w:rPr>
          <w:rFonts w:ascii="Times New Roman" w:hAnsi="Times New Roman" w:cs="Times New Roman"/>
          <w:sz w:val="20"/>
        </w:rPr>
        <w:t>appear to be resulting in wider impacts on the population that may contribute to deteriorating health and wellbeing</w:t>
      </w:r>
      <w:r w:rsidR="00736234" w:rsidRPr="00031EB4">
        <w:rPr>
          <w:rFonts w:ascii="Times New Roman" w:hAnsi="Times New Roman" w:cs="Times New Roman"/>
          <w:sz w:val="20"/>
        </w:rPr>
        <w:t xml:space="preserve">, </w:t>
      </w:r>
      <w:r w:rsidR="001139AD" w:rsidRPr="00031EB4">
        <w:rPr>
          <w:rFonts w:ascii="Times New Roman" w:hAnsi="Times New Roman" w:cs="Times New Roman"/>
          <w:sz w:val="20"/>
        </w:rPr>
        <w:t>including not just the rising elderly mortality reported here, but also increasing suicides rates</w:t>
      </w:r>
      <w:r w:rsidR="00EE2A2E" w:rsidRPr="00031EB4">
        <w:rPr>
          <w:rFonts w:ascii="Times New Roman" w:hAnsi="Times New Roman" w:cs="Times New Roman"/>
          <w:sz w:val="20"/>
        </w:rPr>
        <w:t>.</w:t>
      </w:r>
      <w:r w:rsidR="00803A7F" w:rsidRPr="00031EB4">
        <w:rPr>
          <w:rFonts w:ascii="Times New Roman" w:hAnsi="Times New Roman" w:cs="Times New Roman"/>
          <w:sz w:val="20"/>
        </w:rPr>
        <w:fldChar w:fldCharType="begin" w:fldLock="1"/>
      </w:r>
      <w:r w:rsidR="00674834" w:rsidRPr="00031EB4">
        <w:rPr>
          <w:rFonts w:ascii="Times New Roman" w:hAnsi="Times New Roman" w:cs="Times New Roman"/>
          <w:sz w:val="20"/>
        </w:rPr>
        <w:instrText>ADDIN CSL_CITATION { "citationItems" : [ { "id" : "ITEM-1", "itemData" : { "author" : [ { "dropping-particle" : "", "family" : "Parkinson", "given" : "J", "non-dropping-particle" : "", "parse-names" : false, "suffix" : "" }, { "dropping-particle" : "", "family" : "Minton", "given" : "J", "non-dropping-particle" : "", "parse-names" : false, "suffix" : "" }, { "dropping-particle" : "", "family" : "Lewsey", "given" : "J", "non-dropping-particle" : "", "parse-names" : false, "suffix" : "" }, { "dropping-particle" : "", "family" : "Bouttell", "given" : "J", "non-dropping-particle" : "", "parse-names" : false, "suffix" : "" }, { "dropping-particle" : "", "family" : "McCartney", "given" : "G", "non-dropping-particle" : "", "parse-names" : false, "suffix" : "" } ], "container-title" : "Under Review", "id" : "ITEM-1", "issued" : { "date-parts" : [ [ "0" ] ] }, "title" : "Recent cohort effects in suicide in Scotland: a legacy of the 1980s?", "type" : "article-journal" }, "uris" : [ "http://www.mendeley.com/documents/?uuid=80611dd9-3fa8-46d8-b4a6-6915f39434e6" ] } ], "mendeley" : { "formattedCitation" : "&lt;sup&gt;17&lt;/sup&gt;", "plainTextFormattedCitation" : "17", "previouslyFormattedCitation" : "&lt;sup&gt;17&lt;/sup&gt;" }, "properties" : { "noteIndex" : 0 }, "schema" : "https://github.com/citation-style-language/schema/raw/master/csl-citation.json" }</w:instrText>
      </w:r>
      <w:r w:rsidR="00803A7F" w:rsidRPr="00031EB4">
        <w:rPr>
          <w:rFonts w:ascii="Times New Roman" w:hAnsi="Times New Roman" w:cs="Times New Roman"/>
          <w:sz w:val="20"/>
        </w:rPr>
        <w:fldChar w:fldCharType="separate"/>
      </w:r>
      <w:r w:rsidR="00674834" w:rsidRPr="00031EB4">
        <w:rPr>
          <w:rFonts w:ascii="Times New Roman" w:hAnsi="Times New Roman" w:cs="Times New Roman"/>
          <w:noProof/>
          <w:sz w:val="20"/>
          <w:vertAlign w:val="superscript"/>
        </w:rPr>
        <w:t>17</w:t>
      </w:r>
      <w:r w:rsidR="00803A7F" w:rsidRPr="00031EB4">
        <w:rPr>
          <w:rFonts w:ascii="Times New Roman" w:hAnsi="Times New Roman" w:cs="Times New Roman"/>
          <w:sz w:val="20"/>
        </w:rPr>
        <w:fldChar w:fldCharType="end"/>
      </w:r>
      <w:r w:rsidR="006C3C37" w:rsidRPr="00031EB4">
        <w:rPr>
          <w:rFonts w:ascii="Times New Roman" w:hAnsi="Times New Roman" w:cs="Times New Roman"/>
          <w:sz w:val="20"/>
        </w:rPr>
        <w:t xml:space="preserve"> </w:t>
      </w:r>
    </w:p>
    <w:p w14:paraId="0657C0E1" w14:textId="1CE4EFFB" w:rsidR="00893259" w:rsidRPr="00031EB4" w:rsidRDefault="006C3C37" w:rsidP="00E22714">
      <w:pPr>
        <w:spacing w:line="240" w:lineRule="auto"/>
        <w:rPr>
          <w:rFonts w:ascii="Times New Roman" w:hAnsi="Times New Roman" w:cs="Times New Roman"/>
          <w:sz w:val="20"/>
        </w:rPr>
      </w:pPr>
      <w:r w:rsidRPr="00031EB4">
        <w:rPr>
          <w:rFonts w:ascii="Times New Roman" w:hAnsi="Times New Roman" w:cs="Times New Roman"/>
          <w:sz w:val="20"/>
        </w:rPr>
        <w:t xml:space="preserve">Though the working age working poor </w:t>
      </w:r>
      <w:r w:rsidR="00656B3F" w:rsidRPr="00031EB4">
        <w:rPr>
          <w:rFonts w:ascii="Times New Roman" w:hAnsi="Times New Roman" w:cs="Times New Roman"/>
          <w:sz w:val="20"/>
        </w:rPr>
        <w:t xml:space="preserve">(and their children) </w:t>
      </w:r>
      <w:r w:rsidRPr="00031EB4">
        <w:rPr>
          <w:rFonts w:ascii="Times New Roman" w:hAnsi="Times New Roman" w:cs="Times New Roman"/>
          <w:sz w:val="20"/>
        </w:rPr>
        <w:t>experienced some of the most overtly adverse changes to social security provision in the UK, leading for instance to an explosion s</w:t>
      </w:r>
      <w:r w:rsidR="00656B3F" w:rsidRPr="00031EB4">
        <w:rPr>
          <w:rFonts w:ascii="Times New Roman" w:hAnsi="Times New Roman" w:cs="Times New Roman"/>
          <w:sz w:val="20"/>
        </w:rPr>
        <w:t>ince 2010 in food bank use,</w:t>
      </w:r>
      <w:r w:rsidR="00656B3F" w:rsidRPr="00031EB4">
        <w:rPr>
          <w:rFonts w:ascii="Times New Roman" w:hAnsi="Times New Roman" w:cs="Times New Roman"/>
          <w:sz w:val="20"/>
        </w:rPr>
        <w:fldChar w:fldCharType="begin" w:fldLock="1"/>
      </w:r>
      <w:r w:rsidR="00674834" w:rsidRPr="00031EB4">
        <w:rPr>
          <w:rFonts w:ascii="Times New Roman" w:hAnsi="Times New Roman" w:cs="Times New Roman"/>
          <w:sz w:val="20"/>
        </w:rPr>
        <w:instrText>ADDIN CSL_CITATION { "citationItems" : [ { "id" : "ITEM-1", "itemData" : { "DOI" : "10.1111/area.12233", "ISSN" : "00040894", "author" : [ { "dropping-particle" : "", "family" : "Lambie-Mumford", "given" : "Hannah", "non-dropping-particle" : "", "parse-names" : false, "suffix" : "" }, { "dropping-particle" : "", "family" : "Green", "given" : "Mark A", "non-dropping-particle" : "", "parse-names" : false, "suffix" : "" } ], "container-title" : "Area", "id" : "ITEM-1", "issued" : { "date-parts" : [ [ "2015", "10" ] ] }, "page" : "n/a-n/a", "title" : "Austerity, welfare reform and the rising use of food banks by children in England and Wales", "type" : "article-journal" }, "uris" : [ "http://www.mendeley.com/documents/?uuid=3bb37626-daef-47c9-bcc3-99993218af52" ] } ], "mendeley" : { "formattedCitation" : "&lt;sup&gt;18&lt;/sup&gt;", "plainTextFormattedCitation" : "18", "previouslyFormattedCitation" : "&lt;sup&gt;18&lt;/sup&gt;" }, "properties" : { "noteIndex" : 0 }, "schema" : "https://github.com/citation-style-language/schema/raw/master/csl-citation.json" }</w:instrText>
      </w:r>
      <w:r w:rsidR="00656B3F" w:rsidRPr="00031EB4">
        <w:rPr>
          <w:rFonts w:ascii="Times New Roman" w:hAnsi="Times New Roman" w:cs="Times New Roman"/>
          <w:sz w:val="20"/>
        </w:rPr>
        <w:fldChar w:fldCharType="separate"/>
      </w:r>
      <w:r w:rsidR="00674834" w:rsidRPr="00031EB4">
        <w:rPr>
          <w:rFonts w:ascii="Times New Roman" w:hAnsi="Times New Roman" w:cs="Times New Roman"/>
          <w:noProof/>
          <w:sz w:val="20"/>
          <w:vertAlign w:val="superscript"/>
        </w:rPr>
        <w:t>18</w:t>
      </w:r>
      <w:r w:rsidR="00656B3F" w:rsidRPr="00031EB4">
        <w:rPr>
          <w:rFonts w:ascii="Times New Roman" w:hAnsi="Times New Roman" w:cs="Times New Roman"/>
          <w:sz w:val="20"/>
        </w:rPr>
        <w:fldChar w:fldCharType="end"/>
      </w:r>
      <w:r w:rsidR="00656B3F" w:rsidRPr="00031EB4">
        <w:rPr>
          <w:rFonts w:ascii="Times New Roman" w:hAnsi="Times New Roman" w:cs="Times New Roman"/>
          <w:sz w:val="20"/>
        </w:rPr>
        <w:t xml:space="preserve"> it is </w:t>
      </w:r>
      <w:r w:rsidR="00736234" w:rsidRPr="00031EB4">
        <w:rPr>
          <w:rFonts w:ascii="Times New Roman" w:hAnsi="Times New Roman" w:cs="Times New Roman"/>
          <w:sz w:val="20"/>
        </w:rPr>
        <w:t xml:space="preserve">among </w:t>
      </w:r>
      <w:r w:rsidR="00656B3F" w:rsidRPr="00031EB4">
        <w:rPr>
          <w:rFonts w:ascii="Times New Roman" w:hAnsi="Times New Roman" w:cs="Times New Roman"/>
          <w:sz w:val="20"/>
        </w:rPr>
        <w:t xml:space="preserve">the sick and frail that cuts to the quality of social and healthcare services appear to be a matter of </w:t>
      </w:r>
      <w:r w:rsidR="005856B2" w:rsidRPr="00031EB4">
        <w:rPr>
          <w:rFonts w:ascii="Times New Roman" w:hAnsi="Times New Roman" w:cs="Times New Roman"/>
          <w:sz w:val="20"/>
        </w:rPr>
        <w:t xml:space="preserve">. </w:t>
      </w:r>
      <w:r w:rsidR="00656B3F" w:rsidRPr="00031EB4">
        <w:rPr>
          <w:rFonts w:ascii="Times New Roman" w:hAnsi="Times New Roman" w:cs="Times New Roman"/>
          <w:sz w:val="20"/>
        </w:rPr>
        <w:t>This is despite, on paper, pensioners being one of the most generously treated demographic groups by consecutive UK governments.</w:t>
      </w:r>
      <w:r w:rsidR="00EE2A2E" w:rsidRPr="00031EB4">
        <w:rPr>
          <w:rFonts w:ascii="Times New Roman" w:hAnsi="Times New Roman" w:cs="Times New Roman"/>
          <w:sz w:val="20"/>
        </w:rPr>
        <w:fldChar w:fldCharType="begin" w:fldLock="1"/>
      </w:r>
      <w:r w:rsidR="00674834" w:rsidRPr="00031EB4">
        <w:rPr>
          <w:rFonts w:ascii="Times New Roman" w:hAnsi="Times New Roman" w:cs="Times New Roman"/>
          <w:sz w:val="20"/>
        </w:rPr>
        <w:instrText>ADDIN CSL_CITATION { "citationItems" : [ { "id" : "ITEM-1", "itemData" : { "author" : [ { "dropping-particle" : "", "family" : "Thurley", "given" : "D", "non-dropping-particle" : "", "parse-names" : false, "suffix" : "" } ], "id" : "ITEM-1", "issued" : { "date-parts" : [ [ "2016" ] ] }, "number" : "SN-05649", "publisher-place" : "London", "title" : "State Pension uprating - 2010 onwards", "type" : "report" }, "uris" : [ "http://www.mendeley.com/documents/?uuid=99e9d7bc-ba94-4cf1-9619-27c23ff8a29b" ] }, { "id" : "ITEM-2", "itemData" : { "URL" : "http://www.bbc.co.uk/news/business-36937107", "author" : [ { "dropping-particle" : "", "family" : "BBC", "given" : "", "non-dropping-particle" : "", "parse-names" : false, "suffix" : "" } ], "id" : "ITEM-2", "issued" : { "date-parts" : [ [ "2016" ] ] }, "title" : "Triple-lock pension guarantee stands, says Downing Street", "type" : "webpage" }, "uris" : [ "http://www.mendeley.com/documents/?uuid=8cae8e42-be7c-47ff-9809-775d12486446" ] } ], "mendeley" : { "formattedCitation" : "&lt;sup&gt;19,20&lt;/sup&gt;", "plainTextFormattedCitation" : "19,20", "previouslyFormattedCitation" : "&lt;sup&gt;19,20&lt;/sup&gt;" }, "properties" : { "noteIndex" : 0 }, "schema" : "https://github.com/citation-style-language/schema/raw/master/csl-citation.json" }</w:instrText>
      </w:r>
      <w:r w:rsidR="00EE2A2E" w:rsidRPr="00031EB4">
        <w:rPr>
          <w:rFonts w:ascii="Times New Roman" w:hAnsi="Times New Roman" w:cs="Times New Roman"/>
          <w:sz w:val="20"/>
        </w:rPr>
        <w:fldChar w:fldCharType="separate"/>
      </w:r>
      <w:r w:rsidR="00674834" w:rsidRPr="00031EB4">
        <w:rPr>
          <w:rFonts w:ascii="Times New Roman" w:hAnsi="Times New Roman" w:cs="Times New Roman"/>
          <w:noProof/>
          <w:sz w:val="20"/>
          <w:vertAlign w:val="superscript"/>
        </w:rPr>
        <w:t>19,20</w:t>
      </w:r>
      <w:r w:rsidR="00EE2A2E" w:rsidRPr="00031EB4">
        <w:rPr>
          <w:rFonts w:ascii="Times New Roman" w:hAnsi="Times New Roman" w:cs="Times New Roman"/>
          <w:sz w:val="20"/>
        </w:rPr>
        <w:fldChar w:fldCharType="end"/>
      </w:r>
      <w:r w:rsidR="00893259" w:rsidRPr="00031EB4">
        <w:rPr>
          <w:rFonts w:ascii="Times New Roman" w:hAnsi="Times New Roman" w:cs="Times New Roman"/>
          <w:sz w:val="20"/>
        </w:rPr>
        <w:t xml:space="preserve"> </w:t>
      </w:r>
      <w:proofErr w:type="gramStart"/>
      <w:r w:rsidR="00EE2A2E" w:rsidRPr="00031EB4">
        <w:rPr>
          <w:rFonts w:ascii="Times New Roman" w:hAnsi="Times New Roman" w:cs="Times New Roman"/>
          <w:sz w:val="20"/>
        </w:rPr>
        <w:t>Though</w:t>
      </w:r>
      <w:proofErr w:type="gramEnd"/>
      <w:r w:rsidR="00893259" w:rsidRPr="00031EB4">
        <w:rPr>
          <w:rFonts w:ascii="Times New Roman" w:hAnsi="Times New Roman" w:cs="Times New Roman"/>
          <w:sz w:val="20"/>
        </w:rPr>
        <w:t xml:space="preserve"> commitments to maintaining the relative value of pensions benefit </w:t>
      </w:r>
      <w:r w:rsidR="005856B2" w:rsidRPr="00031EB4">
        <w:rPr>
          <w:rFonts w:ascii="Times New Roman" w:hAnsi="Times New Roman" w:cs="Times New Roman"/>
          <w:sz w:val="20"/>
        </w:rPr>
        <w:t xml:space="preserve">the elderly who are </w:t>
      </w:r>
      <w:r w:rsidR="00893259" w:rsidRPr="00031EB4">
        <w:rPr>
          <w:rFonts w:ascii="Times New Roman" w:hAnsi="Times New Roman" w:cs="Times New Roman"/>
          <w:sz w:val="20"/>
        </w:rPr>
        <w:t>still in good health, with ageing comes frailty and expensive-to-treat multi</w:t>
      </w:r>
      <w:r w:rsidR="005856B2" w:rsidRPr="00031EB4">
        <w:rPr>
          <w:rFonts w:ascii="Times New Roman" w:hAnsi="Times New Roman" w:cs="Times New Roman"/>
          <w:sz w:val="20"/>
        </w:rPr>
        <w:t>-</w:t>
      </w:r>
      <w:r w:rsidR="00893259" w:rsidRPr="00031EB4">
        <w:rPr>
          <w:rFonts w:ascii="Times New Roman" w:hAnsi="Times New Roman" w:cs="Times New Roman"/>
          <w:sz w:val="20"/>
        </w:rPr>
        <w:t xml:space="preserve">morbidity. It is once health deteriorates to a point where pensioners become dependent on state social care and health care that they become exposed to a system </w:t>
      </w:r>
      <w:r w:rsidR="005856B2" w:rsidRPr="00031EB4">
        <w:rPr>
          <w:rFonts w:ascii="Times New Roman" w:hAnsi="Times New Roman" w:cs="Times New Roman"/>
          <w:sz w:val="20"/>
        </w:rPr>
        <w:t>undergoing both</w:t>
      </w:r>
      <w:r w:rsidR="00893259" w:rsidRPr="00031EB4">
        <w:rPr>
          <w:rFonts w:ascii="Times New Roman" w:hAnsi="Times New Roman" w:cs="Times New Roman"/>
          <w:sz w:val="20"/>
        </w:rPr>
        <w:t xml:space="preserve"> rapid reinvention and disruption, and increasing financial pressures and constraints.</w:t>
      </w:r>
      <w:r w:rsidR="00893259" w:rsidRPr="00031EB4">
        <w:rPr>
          <w:rFonts w:ascii="Times New Roman" w:hAnsi="Times New Roman" w:cs="Times New Roman"/>
          <w:sz w:val="20"/>
        </w:rPr>
        <w:fldChar w:fldCharType="begin" w:fldLock="1"/>
      </w:r>
      <w:r w:rsidR="00F54134" w:rsidRPr="00031EB4">
        <w:rPr>
          <w:rFonts w:ascii="Times New Roman" w:hAnsi="Times New Roman" w:cs="Times New Roman"/>
          <w:sz w:val="20"/>
        </w:rPr>
        <w:instrText>ADDIN CSL_CITATION { "citationItems" : [ { "id" : "ITEM-1", "itemData" : { "author" : [ { "dropping-particle" : "", "family" : "Lafond", "given" : "S", "non-dropping-particle" : "", "parse-names" : false, "suffix" : "" }, { "dropping-particle" : "", "family" : "Arora", "given" : "S", "non-dropping-particle" : "", "parse-names" : false, "suffix" : "" }, { "dropping-particle" : "", "family" : "Charlesworth", "given" : "A", "non-dropping-particle" : "", "parse-names" : false, "suffix" : "" }, { "dropping-particle" : "", "family" : "McKeon", "given" : "A", "non-dropping-particle" : "", "parse-names" : false, "suffix" : "" } ], "id" : "ITEM-1", "issued" : { "date-parts" : [ [ "2014" ] ] }, "title" : "Into the red? The state of the NHS' finances: An analysis of NHS expenditure between 2010 and 2014", "type" : "report" }, "uris" : [ "http://www.mendeley.com/documents/?uuid=57ba5efa-7ac8-48d9-be2d-da229930b565" ] } ], "mendeley" : { "formattedCitation" : "&lt;sup&gt;13&lt;/sup&gt;", "plainTextFormattedCitation" : "13", "previouslyFormattedCitation" : "&lt;sup&gt;13&lt;/sup&gt;" }, "properties" : { "noteIndex" : 0 }, "schema" : "https://github.com/citation-style-language/schema/raw/master/csl-citation.json" }</w:instrText>
      </w:r>
      <w:r w:rsidR="00893259" w:rsidRPr="00031EB4">
        <w:rPr>
          <w:rFonts w:ascii="Times New Roman" w:hAnsi="Times New Roman" w:cs="Times New Roman"/>
          <w:sz w:val="20"/>
        </w:rPr>
        <w:fldChar w:fldCharType="separate"/>
      </w:r>
      <w:r w:rsidR="00F54134" w:rsidRPr="00031EB4">
        <w:rPr>
          <w:rFonts w:ascii="Times New Roman" w:hAnsi="Times New Roman" w:cs="Times New Roman"/>
          <w:noProof/>
          <w:sz w:val="20"/>
          <w:vertAlign w:val="superscript"/>
        </w:rPr>
        <w:t>13</w:t>
      </w:r>
      <w:r w:rsidR="00893259" w:rsidRPr="00031EB4">
        <w:rPr>
          <w:rFonts w:ascii="Times New Roman" w:hAnsi="Times New Roman" w:cs="Times New Roman"/>
          <w:sz w:val="20"/>
        </w:rPr>
        <w:fldChar w:fldCharType="end"/>
      </w:r>
      <w:r w:rsidR="00893259" w:rsidRPr="00031EB4">
        <w:rPr>
          <w:rFonts w:ascii="Times New Roman" w:hAnsi="Times New Roman" w:cs="Times New Roman"/>
          <w:sz w:val="20"/>
        </w:rPr>
        <w:t xml:space="preserve"> </w:t>
      </w:r>
    </w:p>
    <w:p w14:paraId="67B40E37" w14:textId="0FE3198F" w:rsidR="00335AD5" w:rsidRPr="00031EB4" w:rsidRDefault="00893259" w:rsidP="00E22714">
      <w:pPr>
        <w:spacing w:line="240" w:lineRule="auto"/>
        <w:rPr>
          <w:rFonts w:ascii="Times New Roman" w:hAnsi="Times New Roman" w:cs="Times New Roman"/>
        </w:rPr>
      </w:pPr>
      <w:r w:rsidRPr="00031EB4">
        <w:rPr>
          <w:rFonts w:ascii="Times New Roman" w:hAnsi="Times New Roman" w:cs="Times New Roman"/>
          <w:sz w:val="20"/>
        </w:rPr>
        <w:t xml:space="preserve">The </w:t>
      </w:r>
      <w:r w:rsidR="00EE2A2E" w:rsidRPr="00031EB4">
        <w:rPr>
          <w:rFonts w:ascii="Times New Roman" w:hAnsi="Times New Roman" w:cs="Times New Roman"/>
          <w:sz w:val="20"/>
        </w:rPr>
        <w:t xml:space="preserve">lagged effects </w:t>
      </w:r>
      <w:r w:rsidRPr="00031EB4">
        <w:rPr>
          <w:rFonts w:ascii="Times New Roman" w:hAnsi="Times New Roman" w:cs="Times New Roman"/>
          <w:sz w:val="20"/>
        </w:rPr>
        <w:t xml:space="preserve">of austerity may take decades to become apparent. Long-term demographic records show that especially severe environmental change can </w:t>
      </w:r>
      <w:r w:rsidR="00335AD5" w:rsidRPr="00031EB4">
        <w:rPr>
          <w:rFonts w:ascii="Times New Roman" w:hAnsi="Times New Roman" w:cs="Times New Roman"/>
          <w:sz w:val="20"/>
        </w:rPr>
        <w:t>cause lower cognitive functioning, increased morbidity, and an increased mortality risk to be carried by exposed populations throughout their lives.</w:t>
      </w:r>
      <w:r w:rsidR="00335AD5" w:rsidRPr="00031EB4">
        <w:rPr>
          <w:rFonts w:ascii="Times New Roman" w:hAnsi="Times New Roman" w:cs="Times New Roman"/>
          <w:sz w:val="20"/>
        </w:rPr>
        <w:fldChar w:fldCharType="begin" w:fldLock="1"/>
      </w:r>
      <w:r w:rsidR="00674834" w:rsidRPr="00031EB4">
        <w:rPr>
          <w:rFonts w:ascii="Times New Roman" w:hAnsi="Times New Roman" w:cs="Times New Roman"/>
          <w:sz w:val="20"/>
        </w:rPr>
        <w:instrText>ADDIN CSL_CITATION { "citationItems" : [ { "id" : "ITEM-1", "itemData" : { "DOI" : "10.1093/ije/dyt115", "abstract" : "We present two enhancements to existing methods for visualizing vital statistics data. Data from the Human Mortality Database were used and vital statistics from England and Wales are used for illustration. The simpler of these methods involves coplotting mean age of death with its variance, and the more complex of these methods is to present data as a contour plot. The coplot method shows the effect of the 20th century\u2019s epidemiological transitions. The contour plot method allows more complex and subtle age, period and cohort effects to be seen. The contour plot shows the effects of broad improvements in public health over the 20th century, including vast reductions in rates of childhood mortality, reduced baseline mortality risks during adulthood and the postponement of higher mortality risks to older ages. They also show the effects of the two world wars and the 1918 influenza pandemic on men of fighting age, women and children. The contour plots also show a cohort effect for people born around 1918, suggesting a possible epigenetic effect of parental exposure to the pandemic which shortened the cohort\u2019s lifespan and which has so far received little attention. Although this article focuses on data from England and Wales, the associated online appendices contain equivalent visualizations for almost 50 series of data available on the Human Mortality Database. We expect that further analyses of these visualizations will reveal further insights into global public health.", "author" : [ { "dropping-particle" : "", "family" : "Minton", "given" : "J", "non-dropping-particle" : "", "parse-names" : false, "suffix" : "" }, { "dropping-particle" : "", "family" : "Vanderbloemen", "given" : "L", "non-dropping-particle" : "", "parse-names" : false, "suffix" : "" }, { "dropping-particle" : "", "family" : "Dorling", "given" : "D", "non-dropping-particle" : "", "parse-names" : false, "suffix" : "" } ], "container-title" : "International Journal of Epidemiology", "id" : "ITEM-1", "issue" : "4", "issued" : { "date-parts" : [ [ "2013" ] ] }, "page" : "1164-1176", "title" : "Visualizing Europe\u2019s demographic scars with coplots and contour plots", "type" : "article-journal", "volume" : "42" }, "uris" : [ "http://www.mendeley.com/documents/?uuid=39de76e3-0889-44c7-9d3b-c4352af67b58" ] } ], "mendeley" : { "formattedCitation" : "&lt;sup&gt;21&lt;/sup&gt;", "plainTextFormattedCitation" : "21", "previouslyFormattedCitation" : "&lt;sup&gt;21&lt;/sup&gt;" }, "properties" : { "noteIndex" : 0 }, "schema" : "https://github.com/citation-style-language/schema/raw/master/csl-citation.json" }</w:instrText>
      </w:r>
      <w:r w:rsidR="00335AD5" w:rsidRPr="00031EB4">
        <w:rPr>
          <w:rFonts w:ascii="Times New Roman" w:hAnsi="Times New Roman" w:cs="Times New Roman"/>
          <w:sz w:val="20"/>
        </w:rPr>
        <w:fldChar w:fldCharType="separate"/>
      </w:r>
      <w:r w:rsidR="00674834" w:rsidRPr="00031EB4">
        <w:rPr>
          <w:rFonts w:ascii="Times New Roman" w:hAnsi="Times New Roman" w:cs="Times New Roman"/>
          <w:noProof/>
          <w:sz w:val="20"/>
          <w:vertAlign w:val="superscript"/>
        </w:rPr>
        <w:t>21</w:t>
      </w:r>
      <w:r w:rsidR="00335AD5" w:rsidRPr="00031EB4">
        <w:rPr>
          <w:rFonts w:ascii="Times New Roman" w:hAnsi="Times New Roman" w:cs="Times New Roman"/>
          <w:sz w:val="20"/>
        </w:rPr>
        <w:fldChar w:fldCharType="end"/>
      </w:r>
      <w:r w:rsidR="00335AD5" w:rsidRPr="00031EB4">
        <w:rPr>
          <w:rFonts w:ascii="Times New Roman" w:hAnsi="Times New Roman" w:cs="Times New Roman"/>
          <w:sz w:val="20"/>
        </w:rPr>
        <w:t xml:space="preserve"> </w:t>
      </w:r>
      <w:r w:rsidR="005856B2" w:rsidRPr="00031EB4">
        <w:rPr>
          <w:rFonts w:ascii="Times New Roman" w:hAnsi="Times New Roman" w:cs="Times New Roman"/>
          <w:sz w:val="20"/>
        </w:rPr>
        <w:t>E</w:t>
      </w:r>
      <w:r w:rsidR="00335AD5" w:rsidRPr="00031EB4">
        <w:rPr>
          <w:rFonts w:ascii="Times New Roman" w:hAnsi="Times New Roman" w:cs="Times New Roman"/>
          <w:sz w:val="20"/>
        </w:rPr>
        <w:t>vidence of more subtle cohort effects associated with shifts in labour market conditions have been identified for specific types of mortality</w:t>
      </w:r>
      <w:r w:rsidR="00510F95" w:rsidRPr="00031EB4">
        <w:rPr>
          <w:rFonts w:ascii="Times New Roman" w:hAnsi="Times New Roman" w:cs="Times New Roman"/>
          <w:sz w:val="20"/>
        </w:rPr>
        <w:t xml:space="preserve">. Research exploring </w:t>
      </w:r>
      <w:r w:rsidR="00923071" w:rsidRPr="00031EB4">
        <w:rPr>
          <w:rFonts w:ascii="Times New Roman" w:hAnsi="Times New Roman" w:cs="Times New Roman"/>
          <w:sz w:val="20"/>
        </w:rPr>
        <w:t xml:space="preserve">patterns in </w:t>
      </w:r>
      <w:r w:rsidR="00510F95" w:rsidRPr="00031EB4">
        <w:rPr>
          <w:rFonts w:ascii="Times New Roman" w:hAnsi="Times New Roman" w:cs="Times New Roman"/>
          <w:sz w:val="20"/>
        </w:rPr>
        <w:t xml:space="preserve">Scottish alcohol mortality and suicide trends has, for example, </w:t>
      </w:r>
      <w:r w:rsidR="00923071" w:rsidRPr="00031EB4">
        <w:rPr>
          <w:rFonts w:ascii="Times New Roman" w:hAnsi="Times New Roman" w:cs="Times New Roman"/>
          <w:sz w:val="20"/>
        </w:rPr>
        <w:t>indicated there may be cohort effects associated with the years in which people first enter the formal labour market, with higher rates of suicide and alcohol-related deaths amongst males, in particular, who started their work life after the start of ‘neoliberal’ labour market reforms in the early 1980s, compared with cohorts who first started work in the 1970s and before.</w:t>
      </w:r>
      <w:r w:rsidR="00923071" w:rsidRPr="00031EB4">
        <w:rPr>
          <w:rFonts w:ascii="Times New Roman" w:hAnsi="Times New Roman" w:cs="Times New Roman"/>
          <w:sz w:val="20"/>
        </w:rPr>
        <w:fldChar w:fldCharType="begin" w:fldLock="1"/>
      </w:r>
      <w:r w:rsidR="00674834" w:rsidRPr="00031EB4">
        <w:rPr>
          <w:rFonts w:ascii="Times New Roman" w:hAnsi="Times New Roman" w:cs="Times New Roman"/>
          <w:sz w:val="20"/>
        </w:rPr>
        <w:instrText>ADDIN CSL_CITATION { "citationItems" : [ { "id" : "ITEM-1", "itemData" : { "author" : [ { "dropping-particle" : "", "family" : "Parkinson", "given" : "J", "non-dropping-particle" : "", "parse-names" : false, "suffix" : "" }, { "dropping-particle" : "", "family" : "Minton", "given" : "J", "non-dropping-particle" : "", "parse-names" : false, "suffix" : "" }, { "dropping-particle" : "", "family" : "Lewsey", "given" : "J", "non-dropping-particle" : "", "parse-names" : false, "suffix" : "" }, { "dropping-particle" : "", "family" : "Bouttell", "given" : "J", "non-dropping-particle" : "", "parse-names" : false, "suffix" : "" }, { "dropping-particle" : "", "family" : "McCartney", "given" : "G", "non-dropping-particle" : "", "parse-names" : false, "suffix" : "" } ], "container-title" : "Under Review", "id" : "ITEM-1", "issued" : { "date-parts" : [ [ "0" ] ] }, "title" : "Recent cohort effects in suicide in Scotland: a legacy of the 1980s?", "type" : "article-journal" }, "uris" : [ "http://www.mendeley.com/documents/?uuid=80611dd9-3fa8-46d8-b4a6-6915f39434e6" ] }, { "id" : "ITEM-2", "itemData" : { "DOI" : "10.1016/j.puhe.2015.12.013", "ISSN" : "00333506", "author" : [ { "dropping-particle" : "", "family" : "McCartney", "given" : "G.", "non-dropping-particle" : "", "parse-names" : false, "suffix" : "" }, { "dropping-particle" : "", "family" : "Bouttell", "given" : "J.", "non-dropping-particle" : "", "parse-names" : false, "suffix" : "" }, { "dropping-particle" : "", "family" : "Craig", "given" : "N.", "non-dropping-particle" : "", "parse-names" : false, "suffix" : "" }, { "dropping-particle" : "", "family" : "Craig", "given" : "P.", "non-dropping-particle" : "", "parse-names" : false, "suffix" : "" }, { "dropping-particle" : "", "family" : "Graham", "given" : "L.", "non-dropping-particle" : "", "parse-names" : false, "suffix" : "" }, { "dropping-particle" : "", "family" : "Lakha", "given" : "F.", "non-dropping-particle" : "", "parse-names" : false, "suffix" : "" }, { "dropping-particle" : "", "family" : "Lewsey", "given" : "J.", "non-dropping-particle" : "", "parse-names" : false, "suffix" : "" }, { "dropping-particle" : "", "family" : "McAdams", "given" : "R.", "non-dropping-particle" : "", "parse-names" : false, "suffix" : "" }, { "dropping-particle" : "", "family" : "MacPherson", "given" : "M.", "non-dropping-particle" : "", "parse-names" : false, "suffix" : "" }, { "dropping-particle" : "", "family" : "Minton", "given" : "J.", "non-dropping-particle" : "", "parse-names" : false, "suffix" : "" }, { "dropping-particle" : "", "family" : "Parkinson", "given" : "J.", "non-dropping-particle" : "", "parse-names" : false, "suffix" : "" }, { "dropping-particle" : "", "family" : "Robinson", "given" : "M.", "non-dropping-particle" : "", "parse-names" : false, "suffix" : "" }, { "dropping-particle" : "", "family" : "Shipton", "given" : "D.", "non-dropping-particle" : "", "parse-names" : false, "suffix" : "" }, { "dropping-particle" : "", "family" : "Taulbut", "given" : "M.", "non-dropping-particle" : "", "parse-names" : false, "suffix" : "" }, { "dropping-particle" : "", "family" : "Walsh", "given" : "D.", "non-dropping-particle" : "", "parse-names" : false, "suffix" : "" }, { "dropping-particle" : "", "family" : "Beeston", "given" : "C.", "non-dropping-particle" : "", "parse-names" : false, "suffix" : "" } ], "container-title" : "Public Health", "id" : "ITEM-2", "issued" : { "date-parts" : [ [ "2016", "3" ] ] }, "page" : "13-23", "title" : "Explaining trends in alcohol-related harms in Scotland, 1991\u20132011 (I): the role of incomes, effects of socio-economic and political adversity and demographic change", "type" : "article-journal", "volume" : "132" }, "uris" : [ "http://www.mendeley.com/documents/?uuid=d391b605-0fc0-401d-aa0f-abd97e581d71" ] } ], "mendeley" : { "formattedCitation" : "&lt;sup&gt;17,22&lt;/sup&gt;", "plainTextFormattedCitation" : "17,22", "previouslyFormattedCitation" : "&lt;sup&gt;17,22&lt;/sup&gt;" }, "properties" : { "noteIndex" : 0 }, "schema" : "https://github.com/citation-style-language/schema/raw/master/csl-citation.json" }</w:instrText>
      </w:r>
      <w:r w:rsidR="00923071" w:rsidRPr="00031EB4">
        <w:rPr>
          <w:rFonts w:ascii="Times New Roman" w:hAnsi="Times New Roman" w:cs="Times New Roman"/>
          <w:sz w:val="20"/>
        </w:rPr>
        <w:fldChar w:fldCharType="separate"/>
      </w:r>
      <w:r w:rsidR="00674834" w:rsidRPr="00031EB4">
        <w:rPr>
          <w:rFonts w:ascii="Times New Roman" w:hAnsi="Times New Roman" w:cs="Times New Roman"/>
          <w:noProof/>
          <w:sz w:val="20"/>
          <w:vertAlign w:val="superscript"/>
        </w:rPr>
        <w:t>17,22</w:t>
      </w:r>
      <w:r w:rsidR="00923071" w:rsidRPr="00031EB4">
        <w:rPr>
          <w:rFonts w:ascii="Times New Roman" w:hAnsi="Times New Roman" w:cs="Times New Roman"/>
          <w:sz w:val="20"/>
        </w:rPr>
        <w:fldChar w:fldCharType="end"/>
      </w:r>
      <w:r w:rsidR="00923071" w:rsidRPr="00031EB4">
        <w:rPr>
          <w:rFonts w:ascii="Times New Roman" w:hAnsi="Times New Roman" w:cs="Times New Roman"/>
          <w:sz w:val="20"/>
        </w:rPr>
        <w:t xml:space="preserve"> </w:t>
      </w:r>
    </w:p>
    <w:p w14:paraId="4ED1E4C1" w14:textId="77777777" w:rsidR="00E323A4" w:rsidRPr="00031EB4" w:rsidRDefault="00E323A4" w:rsidP="00E22714">
      <w:pPr>
        <w:pStyle w:val="Heading2"/>
        <w:spacing w:line="240" w:lineRule="auto"/>
        <w:rPr>
          <w:rFonts w:ascii="Times New Roman" w:hAnsi="Times New Roman" w:cs="Times New Roman"/>
          <w:b/>
          <w:color w:val="auto"/>
          <w:sz w:val="20"/>
        </w:rPr>
      </w:pPr>
      <w:r w:rsidRPr="00031EB4">
        <w:rPr>
          <w:rFonts w:ascii="Times New Roman" w:hAnsi="Times New Roman" w:cs="Times New Roman"/>
          <w:b/>
          <w:color w:val="auto"/>
          <w:sz w:val="20"/>
        </w:rPr>
        <w:t>Limitations</w:t>
      </w:r>
    </w:p>
    <w:p w14:paraId="6541978D" w14:textId="29BDAB07" w:rsidR="00E323A4" w:rsidRPr="00031EB4" w:rsidRDefault="00E323A4" w:rsidP="00E22714">
      <w:pPr>
        <w:spacing w:line="240" w:lineRule="auto"/>
        <w:rPr>
          <w:rFonts w:ascii="Times New Roman" w:hAnsi="Times New Roman" w:cs="Times New Roman"/>
          <w:sz w:val="20"/>
        </w:rPr>
      </w:pPr>
      <w:r w:rsidRPr="00031EB4">
        <w:rPr>
          <w:rFonts w:ascii="Times New Roman" w:hAnsi="Times New Roman" w:cs="Times New Roman"/>
          <w:sz w:val="20"/>
        </w:rPr>
        <w:t xml:space="preserve">Population estimates for ages over 90 years are not routinely available disaggregated by age in single years as part of standard UK population estimates, and are estimated by the ONS. </w:t>
      </w:r>
      <w:r w:rsidR="00736234" w:rsidRPr="00031EB4">
        <w:rPr>
          <w:rFonts w:ascii="Times New Roman" w:hAnsi="Times New Roman" w:cs="Times New Roman"/>
          <w:sz w:val="20"/>
        </w:rPr>
        <w:t>Our</w:t>
      </w:r>
      <w:r w:rsidRPr="00031EB4">
        <w:rPr>
          <w:rFonts w:ascii="Times New Roman" w:hAnsi="Times New Roman" w:cs="Times New Roman"/>
          <w:sz w:val="20"/>
        </w:rPr>
        <w:t xml:space="preserve"> results indicate that much of the additional burden of excess mortality has been at some of the oldest ages, </w:t>
      </w:r>
      <w:r w:rsidR="00736234" w:rsidRPr="00031EB4">
        <w:rPr>
          <w:rFonts w:ascii="Times New Roman" w:hAnsi="Times New Roman" w:cs="Times New Roman"/>
          <w:sz w:val="20"/>
        </w:rPr>
        <w:t xml:space="preserve">and </w:t>
      </w:r>
      <w:r w:rsidRPr="00031EB4">
        <w:rPr>
          <w:rFonts w:ascii="Times New Roman" w:hAnsi="Times New Roman" w:cs="Times New Roman"/>
          <w:sz w:val="20"/>
        </w:rPr>
        <w:t>we consider</w:t>
      </w:r>
      <w:r w:rsidR="00736234" w:rsidRPr="00031EB4">
        <w:rPr>
          <w:rFonts w:ascii="Times New Roman" w:hAnsi="Times New Roman" w:cs="Times New Roman"/>
          <w:sz w:val="20"/>
        </w:rPr>
        <w:t>ed</w:t>
      </w:r>
      <w:r w:rsidRPr="00031EB4">
        <w:rPr>
          <w:rFonts w:ascii="Times New Roman" w:hAnsi="Times New Roman" w:cs="Times New Roman"/>
          <w:sz w:val="20"/>
        </w:rPr>
        <w:t xml:space="preserve"> it important to produce estimates of total excess deaths up to 95 years, despite these limitations. Effective measurement and </w:t>
      </w:r>
      <w:r w:rsidRPr="00031EB4">
        <w:rPr>
          <w:rFonts w:ascii="Times New Roman" w:hAnsi="Times New Roman" w:cs="Times New Roman"/>
          <w:sz w:val="20"/>
        </w:rPr>
        <w:lastRenderedPageBreak/>
        <w:t xml:space="preserve">dissemination of age-disaggregated population and death counts at and above the age of 90 years should be a national record keeping priority. </w:t>
      </w:r>
    </w:p>
    <w:p w14:paraId="205FFB74" w14:textId="43D2E1A0" w:rsidR="00E323A4" w:rsidRPr="00031EB4" w:rsidRDefault="00E323A4" w:rsidP="00E22714">
      <w:pPr>
        <w:spacing w:line="240" w:lineRule="auto"/>
        <w:rPr>
          <w:rFonts w:ascii="Times New Roman" w:hAnsi="Times New Roman" w:cs="Times New Roman"/>
          <w:sz w:val="20"/>
        </w:rPr>
      </w:pPr>
      <w:r w:rsidRPr="00031EB4">
        <w:rPr>
          <w:rFonts w:ascii="Times New Roman" w:hAnsi="Times New Roman" w:cs="Times New Roman"/>
          <w:sz w:val="20"/>
        </w:rPr>
        <w:t>As has been noted many times, “all models are wrong, but some are useful”.</w:t>
      </w:r>
      <w:r w:rsidR="008D06C0" w:rsidRPr="00031EB4">
        <w:rPr>
          <w:rFonts w:ascii="Times New Roman" w:hAnsi="Times New Roman" w:cs="Times New Roman"/>
          <w:sz w:val="20"/>
        </w:rPr>
        <w:fldChar w:fldCharType="begin" w:fldLock="1"/>
      </w:r>
      <w:r w:rsidR="00674834" w:rsidRPr="00031EB4">
        <w:rPr>
          <w:rFonts w:ascii="Times New Roman" w:hAnsi="Times New Roman" w:cs="Times New Roman"/>
          <w:sz w:val="20"/>
        </w:rPr>
        <w:instrText>ADDIN CSL_CITATION { "citationItems" : [ { "id" : "ITEM-1", "itemData" : { "DOI" : "10.1080/01621459.1976.10480949", "ISSN" : "0162-1459", "author" : [ { "dropping-particle" : "", "family" : "Box", "given" : "George E. P.", "non-dropping-particle" : "", "parse-names" : false, "suffix" : "" } ], "container-title" : "Journal of the American Statistical Association", "id" : "ITEM-1", "issue" : "356", "issued" : { "date-parts" : [ [ "1976", "12" ] ] }, "page" : "791-799", "title" : "Science and Statistics", "type" : "article-journal", "volume" : "71" }, "uris" : [ "http://www.mendeley.com/documents/?uuid=764a703d-3937-433a-bfc3-e3f0a08558b6" ] } ], "mendeley" : { "formattedCitation" : "&lt;sup&gt;23&lt;/sup&gt;", "plainTextFormattedCitation" : "23", "previouslyFormattedCitation" : "&lt;sup&gt;23&lt;/sup&gt;" }, "properties" : { "noteIndex" : 0 }, "schema" : "https://github.com/citation-style-language/schema/raw/master/csl-citation.json" }</w:instrText>
      </w:r>
      <w:r w:rsidR="008D06C0" w:rsidRPr="00031EB4">
        <w:rPr>
          <w:rFonts w:ascii="Times New Roman" w:hAnsi="Times New Roman" w:cs="Times New Roman"/>
          <w:sz w:val="20"/>
        </w:rPr>
        <w:fldChar w:fldCharType="separate"/>
      </w:r>
      <w:r w:rsidR="00674834" w:rsidRPr="00031EB4">
        <w:rPr>
          <w:rFonts w:ascii="Times New Roman" w:hAnsi="Times New Roman" w:cs="Times New Roman"/>
          <w:noProof/>
          <w:sz w:val="20"/>
          <w:vertAlign w:val="superscript"/>
        </w:rPr>
        <w:t>23</w:t>
      </w:r>
      <w:r w:rsidR="008D06C0" w:rsidRPr="00031EB4">
        <w:rPr>
          <w:rFonts w:ascii="Times New Roman" w:hAnsi="Times New Roman" w:cs="Times New Roman"/>
          <w:sz w:val="20"/>
        </w:rPr>
        <w:fldChar w:fldCharType="end"/>
      </w:r>
      <w:r w:rsidR="008D06C0" w:rsidRPr="00031EB4">
        <w:rPr>
          <w:rFonts w:ascii="Times New Roman" w:hAnsi="Times New Roman" w:cs="Times New Roman"/>
          <w:sz w:val="20"/>
        </w:rPr>
        <w:t xml:space="preserve"> </w:t>
      </w:r>
      <w:r w:rsidR="008A3E12" w:rsidRPr="00031EB4">
        <w:rPr>
          <w:rFonts w:ascii="Times New Roman" w:hAnsi="Times New Roman" w:cs="Times New Roman"/>
          <w:sz w:val="20"/>
        </w:rPr>
        <w:t>Our</w:t>
      </w:r>
      <w:r w:rsidRPr="00031EB4">
        <w:rPr>
          <w:rFonts w:ascii="Times New Roman" w:hAnsi="Times New Roman" w:cs="Times New Roman"/>
          <w:sz w:val="20"/>
        </w:rPr>
        <w:t xml:space="preserve"> model</w:t>
      </w:r>
      <w:r w:rsidR="008A3E12" w:rsidRPr="00031EB4">
        <w:rPr>
          <w:rFonts w:ascii="Times New Roman" w:hAnsi="Times New Roman" w:cs="Times New Roman"/>
          <w:sz w:val="20"/>
        </w:rPr>
        <w:t>s are</w:t>
      </w:r>
      <w:r w:rsidRPr="00031EB4">
        <w:rPr>
          <w:rFonts w:ascii="Times New Roman" w:hAnsi="Times New Roman" w:cs="Times New Roman"/>
          <w:sz w:val="20"/>
        </w:rPr>
        <w:t xml:space="preserve"> ‘wrong’ in the sense that </w:t>
      </w:r>
      <w:r w:rsidR="008A3E12" w:rsidRPr="00031EB4">
        <w:rPr>
          <w:rFonts w:ascii="Times New Roman" w:hAnsi="Times New Roman" w:cs="Times New Roman"/>
          <w:sz w:val="20"/>
        </w:rPr>
        <w:t>they</w:t>
      </w:r>
      <w:r w:rsidRPr="00031EB4">
        <w:rPr>
          <w:rFonts w:ascii="Times New Roman" w:hAnsi="Times New Roman" w:cs="Times New Roman"/>
          <w:sz w:val="20"/>
        </w:rPr>
        <w:t xml:space="preserve"> appl</w:t>
      </w:r>
      <w:r w:rsidR="008A3E12" w:rsidRPr="00031EB4">
        <w:rPr>
          <w:rFonts w:ascii="Times New Roman" w:hAnsi="Times New Roman" w:cs="Times New Roman"/>
          <w:sz w:val="20"/>
        </w:rPr>
        <w:t>y</w:t>
      </w:r>
      <w:r w:rsidRPr="00031EB4">
        <w:rPr>
          <w:rFonts w:ascii="Times New Roman" w:hAnsi="Times New Roman" w:cs="Times New Roman"/>
          <w:sz w:val="20"/>
        </w:rPr>
        <w:t xml:space="preserve"> projected mortality rates to observed population counts for a number of consecutive years, and of course different mortality rates at any particular age would affect the number of people alive and thus exposed to the mortality rate of people one year older in the following year. However, we </w:t>
      </w:r>
      <w:r w:rsidR="008A3E12" w:rsidRPr="00031EB4">
        <w:rPr>
          <w:rFonts w:ascii="Times New Roman" w:hAnsi="Times New Roman" w:cs="Times New Roman"/>
          <w:sz w:val="20"/>
        </w:rPr>
        <w:t xml:space="preserve">believe </w:t>
      </w:r>
      <w:r w:rsidR="001139AD" w:rsidRPr="00031EB4">
        <w:rPr>
          <w:rFonts w:ascii="Times New Roman" w:hAnsi="Times New Roman" w:cs="Times New Roman"/>
          <w:sz w:val="20"/>
        </w:rPr>
        <w:t xml:space="preserve">our </w:t>
      </w:r>
      <w:r w:rsidRPr="00031EB4">
        <w:rPr>
          <w:rFonts w:ascii="Times New Roman" w:hAnsi="Times New Roman" w:cs="Times New Roman"/>
          <w:sz w:val="20"/>
        </w:rPr>
        <w:t>approach is appropriate for aggregate quantification of harms or benefits, because otherwise sufficiently large premature mortality could give the impression that deleterious trends are actually positive</w:t>
      </w:r>
      <w:r w:rsidR="00EE2A2E" w:rsidRPr="00031EB4">
        <w:rPr>
          <w:rFonts w:ascii="Times New Roman" w:hAnsi="Times New Roman" w:cs="Times New Roman"/>
          <w:sz w:val="20"/>
        </w:rPr>
        <w:t xml:space="preserve"> as only less frail people survive to older ages</w:t>
      </w:r>
      <w:r w:rsidR="00F54134" w:rsidRPr="00031EB4">
        <w:rPr>
          <w:rFonts w:ascii="Times New Roman" w:hAnsi="Times New Roman" w:cs="Times New Roman"/>
          <w:sz w:val="20"/>
        </w:rPr>
        <w:t>.</w:t>
      </w:r>
      <w:r w:rsidRPr="00031EB4">
        <w:rPr>
          <w:rFonts w:ascii="Times New Roman" w:hAnsi="Times New Roman" w:cs="Times New Roman"/>
          <w:sz w:val="20"/>
        </w:rPr>
        <w:t xml:space="preserve"> </w:t>
      </w:r>
    </w:p>
    <w:p w14:paraId="716CFC8E" w14:textId="18078D4D" w:rsidR="00265747" w:rsidRPr="00031EB4" w:rsidRDefault="00265747" w:rsidP="00E22714">
      <w:pPr>
        <w:spacing w:line="240" w:lineRule="auto"/>
        <w:rPr>
          <w:rFonts w:ascii="Times New Roman" w:hAnsi="Times New Roman" w:cs="Times New Roman"/>
          <w:b/>
          <w:sz w:val="20"/>
        </w:rPr>
      </w:pPr>
      <w:r w:rsidRPr="00031EB4">
        <w:rPr>
          <w:rFonts w:ascii="Times New Roman" w:hAnsi="Times New Roman" w:cs="Times New Roman"/>
          <w:b/>
          <w:sz w:val="20"/>
        </w:rPr>
        <w:t>Conclusion</w:t>
      </w:r>
    </w:p>
    <w:p w14:paraId="7AFD28A8" w14:textId="3324C49F" w:rsidR="00E22B24" w:rsidRPr="00031EB4" w:rsidRDefault="00C5674C" w:rsidP="00E22714">
      <w:pPr>
        <w:spacing w:line="240" w:lineRule="auto"/>
        <w:rPr>
          <w:rFonts w:ascii="Times New Roman" w:hAnsi="Times New Roman" w:cs="Times New Roman"/>
          <w:sz w:val="20"/>
        </w:rPr>
      </w:pPr>
      <w:r w:rsidRPr="00031EB4">
        <w:rPr>
          <w:rFonts w:ascii="Times New Roman" w:hAnsi="Times New Roman" w:cs="Times New Roman"/>
          <w:sz w:val="20"/>
        </w:rPr>
        <w:t>Overall, the model estimates suggest there has been a deleterious shift in ‘the fundamentals’ of mortality improvements, similar to that seen after 2008 in economic growth</w:t>
      </w:r>
      <w:r w:rsidR="00D45B10" w:rsidRPr="00031EB4">
        <w:rPr>
          <w:rFonts w:ascii="Times New Roman" w:hAnsi="Times New Roman" w:cs="Times New Roman"/>
          <w:sz w:val="20"/>
        </w:rPr>
        <w:t xml:space="preserve"> (Figure 1)</w:t>
      </w:r>
      <w:r w:rsidRPr="00031EB4">
        <w:rPr>
          <w:rFonts w:ascii="Times New Roman" w:hAnsi="Times New Roman" w:cs="Times New Roman"/>
          <w:sz w:val="20"/>
        </w:rPr>
        <w:t xml:space="preserve">, and that this has resulted </w:t>
      </w:r>
      <w:r w:rsidR="00736234" w:rsidRPr="00031EB4">
        <w:rPr>
          <w:rFonts w:ascii="Times New Roman" w:hAnsi="Times New Roman" w:cs="Times New Roman"/>
          <w:sz w:val="20"/>
        </w:rPr>
        <w:t xml:space="preserve">in </w:t>
      </w:r>
      <w:r w:rsidR="00420F9A" w:rsidRPr="00031EB4">
        <w:rPr>
          <w:rFonts w:ascii="Times New Roman" w:hAnsi="Times New Roman" w:cs="Times New Roman"/>
          <w:sz w:val="20"/>
        </w:rPr>
        <w:t xml:space="preserve">many </w:t>
      </w:r>
      <w:r w:rsidRPr="00031EB4">
        <w:rPr>
          <w:rFonts w:ascii="Times New Roman" w:hAnsi="Times New Roman" w:cs="Times New Roman"/>
          <w:sz w:val="20"/>
        </w:rPr>
        <w:t xml:space="preserve">more deaths that would otherwise have been expected. </w:t>
      </w:r>
      <w:r w:rsidR="00CB02A4" w:rsidRPr="00031EB4">
        <w:rPr>
          <w:rFonts w:ascii="Times New Roman" w:hAnsi="Times New Roman" w:cs="Times New Roman"/>
          <w:sz w:val="20"/>
        </w:rPr>
        <w:t>But u</w:t>
      </w:r>
      <w:r w:rsidRPr="00031EB4">
        <w:rPr>
          <w:rFonts w:ascii="Times New Roman" w:hAnsi="Times New Roman" w:cs="Times New Roman"/>
          <w:sz w:val="20"/>
        </w:rPr>
        <w:t xml:space="preserve">nlike the change to the fundamental of economic growth, which occurred after 2008, </w:t>
      </w:r>
      <w:r w:rsidR="00D45B10" w:rsidRPr="00031EB4">
        <w:rPr>
          <w:rFonts w:ascii="Times New Roman" w:hAnsi="Times New Roman" w:cs="Times New Roman"/>
          <w:sz w:val="20"/>
        </w:rPr>
        <w:t xml:space="preserve">all-cause </w:t>
      </w:r>
      <w:r w:rsidRPr="00031EB4">
        <w:rPr>
          <w:rFonts w:ascii="Times New Roman" w:hAnsi="Times New Roman" w:cs="Times New Roman"/>
          <w:sz w:val="20"/>
        </w:rPr>
        <w:t>mortality trends worsened in England and Wales after 2012</w:t>
      </w:r>
      <w:r w:rsidR="00CB02A4" w:rsidRPr="00031EB4">
        <w:rPr>
          <w:rFonts w:ascii="Times New Roman" w:hAnsi="Times New Roman" w:cs="Times New Roman"/>
          <w:sz w:val="20"/>
        </w:rPr>
        <w:t xml:space="preserve">, and have tended to become progressively worse each year since. </w:t>
      </w:r>
      <w:r w:rsidR="00066C09" w:rsidRPr="00031EB4">
        <w:rPr>
          <w:rFonts w:ascii="Times New Roman" w:hAnsi="Times New Roman" w:cs="Times New Roman"/>
          <w:sz w:val="20"/>
        </w:rPr>
        <w:t xml:space="preserve">If these continue, mortality improvements experienced by successive generations will have ceased in England &amp; Wales. </w:t>
      </w:r>
      <w:r w:rsidR="00CB02A4" w:rsidRPr="00031EB4">
        <w:rPr>
          <w:rFonts w:ascii="Times New Roman" w:hAnsi="Times New Roman" w:cs="Times New Roman"/>
          <w:sz w:val="20"/>
        </w:rPr>
        <w:t xml:space="preserve">Despite the relatively generous </w:t>
      </w:r>
      <w:r w:rsidR="00F54134" w:rsidRPr="00031EB4">
        <w:rPr>
          <w:rFonts w:ascii="Times New Roman" w:hAnsi="Times New Roman" w:cs="Times New Roman"/>
          <w:sz w:val="20"/>
        </w:rPr>
        <w:t xml:space="preserve">and continuing </w:t>
      </w:r>
      <w:r w:rsidR="00CB02A4" w:rsidRPr="00031EB4">
        <w:rPr>
          <w:rFonts w:ascii="Times New Roman" w:hAnsi="Times New Roman" w:cs="Times New Roman"/>
          <w:sz w:val="20"/>
        </w:rPr>
        <w:t xml:space="preserve">political support for pensions </w:t>
      </w:r>
      <w:r w:rsidR="00EE2A2E" w:rsidRPr="00031EB4">
        <w:rPr>
          <w:rFonts w:ascii="Times New Roman" w:hAnsi="Times New Roman" w:cs="Times New Roman"/>
          <w:sz w:val="20"/>
        </w:rPr>
        <w:t xml:space="preserve">uprating </w:t>
      </w:r>
      <w:r w:rsidR="00CB02A4" w:rsidRPr="00031EB4">
        <w:rPr>
          <w:rFonts w:ascii="Times New Roman" w:hAnsi="Times New Roman" w:cs="Times New Roman"/>
          <w:sz w:val="20"/>
        </w:rPr>
        <w:t>through the ‘Triple Lock’ guarantee,</w:t>
      </w:r>
      <w:r w:rsidR="00EE2A2E" w:rsidRPr="00031EB4">
        <w:rPr>
          <w:rFonts w:ascii="Times New Roman" w:hAnsi="Times New Roman" w:cs="Times New Roman"/>
          <w:sz w:val="20"/>
        </w:rPr>
        <w:fldChar w:fldCharType="begin" w:fldLock="1"/>
      </w:r>
      <w:r w:rsidR="00674834" w:rsidRPr="00031EB4">
        <w:rPr>
          <w:rFonts w:ascii="Times New Roman" w:hAnsi="Times New Roman" w:cs="Times New Roman"/>
          <w:sz w:val="20"/>
        </w:rPr>
        <w:instrText>ADDIN CSL_CITATION { "citationItems" : [ { "id" : "ITEM-1", "itemData" : { "author" : [ { "dropping-particle" : "", "family" : "Thurley", "given" : "D", "non-dropping-particle" : "", "parse-names" : false, "suffix" : "" } ], "id" : "ITEM-1", "issued" : { "date-parts" : [ [ "2016" ] ] }, "number" : "SN-05649", "publisher-place" : "London", "title" : "State Pension uprating - 2010 onwards", "type" : "report" }, "uris" : [ "http://www.mendeley.com/documents/?uuid=99e9d7bc-ba94-4cf1-9619-27c23ff8a29b" ] }, { "id" : "ITEM-2", "itemData" : { "URL" : "http://www.bbc.co.uk/news/business-36937107", "author" : [ { "dropping-particle" : "", "family" : "BBC", "given" : "", "non-dropping-particle" : "", "parse-names" : false, "suffix" : "" } ], "id" : "ITEM-2", "issued" : { "date-parts" : [ [ "2016" ] ] }, "title" : "Triple-lock pension guarantee stands, says Downing Street", "type" : "webpage" }, "uris" : [ "http://www.mendeley.com/documents/?uuid=8cae8e42-be7c-47ff-9809-775d12486446" ] } ], "mendeley" : { "formattedCitation" : "&lt;sup&gt;19,20&lt;/sup&gt;", "plainTextFormattedCitation" : "19,20", "previouslyFormattedCitation" : "&lt;sup&gt;19,20&lt;/sup&gt;" }, "properties" : { "noteIndex" : 0 }, "schema" : "https://github.com/citation-style-language/schema/raw/master/csl-citation.json" }</w:instrText>
      </w:r>
      <w:r w:rsidR="00EE2A2E" w:rsidRPr="00031EB4">
        <w:rPr>
          <w:rFonts w:ascii="Times New Roman" w:hAnsi="Times New Roman" w:cs="Times New Roman"/>
          <w:sz w:val="20"/>
        </w:rPr>
        <w:fldChar w:fldCharType="separate"/>
      </w:r>
      <w:r w:rsidR="00674834" w:rsidRPr="00031EB4">
        <w:rPr>
          <w:rFonts w:ascii="Times New Roman" w:hAnsi="Times New Roman" w:cs="Times New Roman"/>
          <w:noProof/>
          <w:sz w:val="20"/>
          <w:vertAlign w:val="superscript"/>
        </w:rPr>
        <w:t>19,20</w:t>
      </w:r>
      <w:r w:rsidR="00EE2A2E" w:rsidRPr="00031EB4">
        <w:rPr>
          <w:rFonts w:ascii="Times New Roman" w:hAnsi="Times New Roman" w:cs="Times New Roman"/>
          <w:sz w:val="20"/>
        </w:rPr>
        <w:fldChar w:fldCharType="end"/>
      </w:r>
      <w:r w:rsidR="00CB02A4" w:rsidRPr="00031EB4">
        <w:rPr>
          <w:rFonts w:ascii="Times New Roman" w:hAnsi="Times New Roman" w:cs="Times New Roman"/>
          <w:sz w:val="20"/>
        </w:rPr>
        <w:t xml:space="preserve"> and the shockingly harsh increases in conditionality</w:t>
      </w:r>
      <w:r w:rsidR="00F54134" w:rsidRPr="00031EB4">
        <w:rPr>
          <w:rFonts w:ascii="Times New Roman" w:hAnsi="Times New Roman" w:cs="Times New Roman"/>
          <w:sz w:val="20"/>
        </w:rPr>
        <w:t>,</w:t>
      </w:r>
      <w:r w:rsidR="00CB02A4" w:rsidRPr="00031EB4">
        <w:rPr>
          <w:rFonts w:ascii="Times New Roman" w:hAnsi="Times New Roman" w:cs="Times New Roman"/>
          <w:sz w:val="20"/>
        </w:rPr>
        <w:t xml:space="preserve"> sanctioning</w:t>
      </w:r>
      <w:r w:rsidR="00F54134" w:rsidRPr="00031EB4">
        <w:rPr>
          <w:rFonts w:ascii="Times New Roman" w:hAnsi="Times New Roman" w:cs="Times New Roman"/>
          <w:sz w:val="20"/>
        </w:rPr>
        <w:t>,</w:t>
      </w:r>
      <w:r w:rsidR="00F54134" w:rsidRPr="00031EB4">
        <w:rPr>
          <w:rFonts w:ascii="Times New Roman" w:hAnsi="Times New Roman" w:cs="Times New Roman"/>
          <w:sz w:val="20"/>
        </w:rPr>
        <w:fldChar w:fldCharType="begin" w:fldLock="1"/>
      </w:r>
      <w:r w:rsidR="00674834" w:rsidRPr="00031EB4">
        <w:rPr>
          <w:rFonts w:ascii="Times New Roman" w:hAnsi="Times New Roman" w:cs="Times New Roman"/>
          <w:sz w:val="20"/>
        </w:rPr>
        <w:instrText>ADDIN CSL_CITATION { "citationItems" : [ { "id" : "ITEM-1", "itemData" : { "author" : [ { "dropping-particle" : "", "family" : "Webster", "given" : "D", "non-dropping-particle" : "", "parse-names" : false, "suffix" : "" } ], "id" : "ITEM-1", "issued" : { "date-parts" : [ [ "2016" ] ] }, "publisher-place" : "Glasgow", "title" : "Briefing: The DWP's JSA/ESA Sanctions Statistics Release, 17 August 2016", "type" : "report" }, "uris" : [ "http://www.mendeley.com/documents/?uuid=811bf5a9-7b60-4cf3-a499-8328f482a300" ] } ], "mendeley" : { "formattedCitation" : "&lt;sup&gt;24&lt;/sup&gt;", "plainTextFormattedCitation" : "24", "previouslyFormattedCitation" : "&lt;sup&gt;24&lt;/sup&gt;" }, "properties" : { "noteIndex" : 0 }, "schema" : "https://github.com/citation-style-language/schema/raw/master/csl-citation.json" }</w:instrText>
      </w:r>
      <w:r w:rsidR="00F54134" w:rsidRPr="00031EB4">
        <w:rPr>
          <w:rFonts w:ascii="Times New Roman" w:hAnsi="Times New Roman" w:cs="Times New Roman"/>
          <w:sz w:val="20"/>
        </w:rPr>
        <w:fldChar w:fldCharType="separate"/>
      </w:r>
      <w:r w:rsidR="00674834" w:rsidRPr="00031EB4">
        <w:rPr>
          <w:rFonts w:ascii="Times New Roman" w:hAnsi="Times New Roman" w:cs="Times New Roman"/>
          <w:noProof/>
          <w:sz w:val="20"/>
          <w:vertAlign w:val="superscript"/>
        </w:rPr>
        <w:t>24</w:t>
      </w:r>
      <w:r w:rsidR="00F54134" w:rsidRPr="00031EB4">
        <w:rPr>
          <w:rFonts w:ascii="Times New Roman" w:hAnsi="Times New Roman" w:cs="Times New Roman"/>
          <w:sz w:val="20"/>
        </w:rPr>
        <w:fldChar w:fldCharType="end"/>
      </w:r>
      <w:r w:rsidR="00F54134" w:rsidRPr="00031EB4">
        <w:rPr>
          <w:rFonts w:ascii="Times New Roman" w:hAnsi="Times New Roman" w:cs="Times New Roman"/>
          <w:sz w:val="20"/>
        </w:rPr>
        <w:t xml:space="preserve"> and </w:t>
      </w:r>
      <w:r w:rsidR="00D45B10" w:rsidRPr="00031EB4">
        <w:rPr>
          <w:rFonts w:ascii="Times New Roman" w:hAnsi="Times New Roman" w:cs="Times New Roman"/>
          <w:sz w:val="20"/>
        </w:rPr>
        <w:t>food bank use</w:t>
      </w:r>
      <w:r w:rsidR="00F54134" w:rsidRPr="00031EB4">
        <w:rPr>
          <w:rFonts w:ascii="Times New Roman" w:hAnsi="Times New Roman" w:cs="Times New Roman"/>
          <w:sz w:val="20"/>
        </w:rPr>
        <w:fldChar w:fldCharType="begin" w:fldLock="1"/>
      </w:r>
      <w:r w:rsidR="00674834" w:rsidRPr="00031EB4">
        <w:rPr>
          <w:rFonts w:ascii="Times New Roman" w:hAnsi="Times New Roman" w:cs="Times New Roman"/>
          <w:sz w:val="20"/>
        </w:rPr>
        <w:instrText>ADDIN CSL_CITATION { "citationItems" : [ { "id" : "ITEM-1", "itemData" : { "DOI" : "10.1111/area.12233", "ISSN" : "00040894", "author" : [ { "dropping-particle" : "", "family" : "Lambie-Mumford", "given" : "Hannah", "non-dropping-particle" : "", "parse-names" : false, "suffix" : "" }, { "dropping-particle" : "", "family" : "Green", "given" : "Mark A", "non-dropping-particle" : "", "parse-names" : false, "suffix" : "" } ], "container-title" : "Area", "id" : "ITEM-1", "issued" : { "date-parts" : [ [ "2015", "10" ] ] }, "page" : "n/a-n/a", "title" : "Austerity, welfare reform and the rising use of food banks by children in England and Wales", "type" : "article-journal" }, "uris" : [ "http://www.mendeley.com/documents/?uuid=3bb37626-daef-47c9-bcc3-99993218af52" ] } ], "mendeley" : { "formattedCitation" : "&lt;sup&gt;18&lt;/sup&gt;", "plainTextFormattedCitation" : "18", "previouslyFormattedCitation" : "&lt;sup&gt;18&lt;/sup&gt;" }, "properties" : { "noteIndex" : 0 }, "schema" : "https://github.com/citation-style-language/schema/raw/master/csl-citation.json" }</w:instrText>
      </w:r>
      <w:r w:rsidR="00F54134" w:rsidRPr="00031EB4">
        <w:rPr>
          <w:rFonts w:ascii="Times New Roman" w:hAnsi="Times New Roman" w:cs="Times New Roman"/>
          <w:sz w:val="20"/>
        </w:rPr>
        <w:fldChar w:fldCharType="separate"/>
      </w:r>
      <w:r w:rsidR="00674834" w:rsidRPr="00031EB4">
        <w:rPr>
          <w:rFonts w:ascii="Times New Roman" w:hAnsi="Times New Roman" w:cs="Times New Roman"/>
          <w:noProof/>
          <w:sz w:val="20"/>
          <w:vertAlign w:val="superscript"/>
        </w:rPr>
        <w:t>18</w:t>
      </w:r>
      <w:r w:rsidR="00F54134" w:rsidRPr="00031EB4">
        <w:rPr>
          <w:rFonts w:ascii="Times New Roman" w:hAnsi="Times New Roman" w:cs="Times New Roman"/>
          <w:sz w:val="20"/>
        </w:rPr>
        <w:fldChar w:fldCharType="end"/>
      </w:r>
      <w:r w:rsidR="00D45B10" w:rsidRPr="00031EB4">
        <w:rPr>
          <w:rFonts w:ascii="Times New Roman" w:hAnsi="Times New Roman" w:cs="Times New Roman"/>
          <w:sz w:val="20"/>
        </w:rPr>
        <w:t xml:space="preserve"> </w:t>
      </w:r>
      <w:r w:rsidR="00CB02A4" w:rsidRPr="00031EB4">
        <w:rPr>
          <w:rFonts w:ascii="Times New Roman" w:hAnsi="Times New Roman" w:cs="Times New Roman"/>
          <w:sz w:val="20"/>
        </w:rPr>
        <w:t>for recipients of working age unemployment s</w:t>
      </w:r>
      <w:r w:rsidR="00420F9A" w:rsidRPr="00031EB4">
        <w:rPr>
          <w:rFonts w:ascii="Times New Roman" w:hAnsi="Times New Roman" w:cs="Times New Roman"/>
          <w:sz w:val="20"/>
        </w:rPr>
        <w:t>ocial security,</w:t>
      </w:r>
      <w:r w:rsidR="00674834" w:rsidRPr="00031EB4">
        <w:rPr>
          <w:rFonts w:ascii="Times New Roman" w:hAnsi="Times New Roman" w:cs="Times New Roman"/>
          <w:sz w:val="20"/>
        </w:rPr>
        <w:fldChar w:fldCharType="begin" w:fldLock="1"/>
      </w:r>
      <w:r w:rsidR="00674834" w:rsidRPr="00031EB4">
        <w:rPr>
          <w:rFonts w:ascii="Times New Roman" w:hAnsi="Times New Roman" w:cs="Times New Roman"/>
          <w:sz w:val="20"/>
        </w:rPr>
        <w:instrText>ADDIN CSL_CITATION { "citationItems" : [ { "id" : "ITEM-1", "itemData" : { "DOI" : "10.1136/bmj.h1775", "ISBN" : "9788578110796", "ISSN" : "1756-1833", "PMID" : "25854525", "abstract" : "Deals with the questions:\\r\\nWhere are food banks opening?\\r\\nWhy are food banks distributing more food?\\r\\nImplications of rising food bank use\\r\\n", "author" : [ { "dropping-particle" : "", "family" : "Loopstra", "given" : "Rachel", "non-dropping-particle" : "", "parse-names" : false, "suffix" : "" }, { "dropping-particle" : "", "family" : "Reeves", "given" : "Aaron", "non-dropping-particle" : "", "parse-names" : false, "suffix" : "" }, { "dropping-particle" : "", "family" : "Taylor-Robinson", "given" : "David", "non-dropping-particle" : "", "parse-names" : false, "suffix" : "" }, { "dropping-particle" : "", "family" : "Barr", "given" : "Ben", "non-dropping-particle" : "", "parse-names" : false, "suffix" : "" }, { "dropping-particle" : "", "family" : "McKee", "given" : "Martin", "non-dropping-particle" : "", "parse-names" : false, "suffix" : "" }, { "dropping-particle" : "", "family" : "Stuckler", "given" : "David", "non-dropping-particle" : "", "parse-names" : false, "suffix" : "" } ], "container-title" : "Bmj", "id" : "ITEM-1", "issue" : "apr08 9", "issued" : { "date-parts" : [ [ "2015" ] ] }, "page" : "h1775-h1775", "title" : "Austerity, sanctions, and the rise of food banks in the UK", "type" : "article-journal", "volume" : "350" }, "uris" : [ "http://www.mendeley.com/documents/?uuid=53b00049-08fe-4a79-b50d-15280ea001e4" ] } ], "mendeley" : { "formattedCitation" : "&lt;sup&gt;25&lt;/sup&gt;", "plainTextFormattedCitation" : "25", "previouslyFormattedCitation" : "&lt;sup&gt;25&lt;/sup&gt;" }, "properties" : { "noteIndex" : 0 }, "schema" : "https://github.com/citation-style-language/schema/raw/master/csl-citation.json" }</w:instrText>
      </w:r>
      <w:r w:rsidR="00674834" w:rsidRPr="00031EB4">
        <w:rPr>
          <w:rFonts w:ascii="Times New Roman" w:hAnsi="Times New Roman" w:cs="Times New Roman"/>
          <w:sz w:val="20"/>
        </w:rPr>
        <w:fldChar w:fldCharType="separate"/>
      </w:r>
      <w:r w:rsidR="00674834" w:rsidRPr="00031EB4">
        <w:rPr>
          <w:rFonts w:ascii="Times New Roman" w:hAnsi="Times New Roman" w:cs="Times New Roman"/>
          <w:noProof/>
          <w:sz w:val="20"/>
          <w:vertAlign w:val="superscript"/>
        </w:rPr>
        <w:t>25</w:t>
      </w:r>
      <w:r w:rsidR="00674834" w:rsidRPr="00031EB4">
        <w:rPr>
          <w:rFonts w:ascii="Times New Roman" w:hAnsi="Times New Roman" w:cs="Times New Roman"/>
          <w:sz w:val="20"/>
        </w:rPr>
        <w:fldChar w:fldCharType="end"/>
      </w:r>
      <w:r w:rsidR="00420F9A" w:rsidRPr="00031EB4">
        <w:rPr>
          <w:rFonts w:ascii="Times New Roman" w:hAnsi="Times New Roman" w:cs="Times New Roman"/>
          <w:sz w:val="20"/>
        </w:rPr>
        <w:t xml:space="preserve"> it is amongst the elderly</w:t>
      </w:r>
      <w:r w:rsidR="00803A7F" w:rsidRPr="00031EB4">
        <w:rPr>
          <w:rFonts w:ascii="Times New Roman" w:hAnsi="Times New Roman" w:cs="Times New Roman"/>
          <w:sz w:val="20"/>
        </w:rPr>
        <w:t>,</w:t>
      </w:r>
      <w:r w:rsidR="00420F9A" w:rsidRPr="00031EB4">
        <w:rPr>
          <w:rFonts w:ascii="Times New Roman" w:hAnsi="Times New Roman" w:cs="Times New Roman"/>
          <w:sz w:val="20"/>
        </w:rPr>
        <w:t xml:space="preserve"> rather than working age</w:t>
      </w:r>
      <w:r w:rsidR="00803A7F" w:rsidRPr="00031EB4">
        <w:rPr>
          <w:rFonts w:ascii="Times New Roman" w:hAnsi="Times New Roman" w:cs="Times New Roman"/>
          <w:sz w:val="20"/>
        </w:rPr>
        <w:t>,</w:t>
      </w:r>
      <w:r w:rsidR="00420F9A" w:rsidRPr="00031EB4">
        <w:rPr>
          <w:rFonts w:ascii="Times New Roman" w:hAnsi="Times New Roman" w:cs="Times New Roman"/>
          <w:sz w:val="20"/>
        </w:rPr>
        <w:t xml:space="preserve"> that the human costs of worsening public service provision can be counted in additional deaths by the tens of </w:t>
      </w:r>
      <w:proofErr w:type="spellStart"/>
      <w:r w:rsidR="00420F9A" w:rsidRPr="00031EB4">
        <w:rPr>
          <w:rFonts w:ascii="Times New Roman" w:hAnsi="Times New Roman" w:cs="Times New Roman"/>
          <w:sz w:val="20"/>
        </w:rPr>
        <w:t>thousand</w:t>
      </w:r>
      <w:proofErr w:type="spellEnd"/>
      <w:r w:rsidR="00420F9A" w:rsidRPr="00031EB4">
        <w:rPr>
          <w:rFonts w:ascii="Times New Roman" w:hAnsi="Times New Roman" w:cs="Times New Roman"/>
          <w:sz w:val="20"/>
        </w:rPr>
        <w:t xml:space="preserve">. </w:t>
      </w:r>
    </w:p>
    <w:p w14:paraId="50F0BCEA" w14:textId="77777777" w:rsidR="00CD1548" w:rsidRDefault="00CD1548" w:rsidP="00E22714">
      <w:pPr>
        <w:spacing w:line="240" w:lineRule="auto"/>
        <w:rPr>
          <w:rFonts w:ascii="Times New Roman" w:hAnsi="Times New Roman" w:cs="Times New Roman"/>
          <w:b/>
          <w:sz w:val="24"/>
          <w:szCs w:val="24"/>
        </w:rPr>
      </w:pPr>
    </w:p>
    <w:p w14:paraId="20ED7497" w14:textId="3E86B594" w:rsidR="00D80E19" w:rsidRDefault="00CD1548" w:rsidP="00E22714">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Declaration of interests </w:t>
      </w:r>
    </w:p>
    <w:p w14:paraId="76914811" w14:textId="16A17AEC" w:rsidR="00CD1548" w:rsidRPr="00CD1548" w:rsidRDefault="00CD1548" w:rsidP="00E22714">
      <w:pPr>
        <w:spacing w:line="240" w:lineRule="auto"/>
        <w:rPr>
          <w:rFonts w:ascii="Times New Roman" w:hAnsi="Times New Roman" w:cs="Times New Roman"/>
          <w:sz w:val="20"/>
          <w:szCs w:val="20"/>
        </w:rPr>
      </w:pPr>
      <w:r>
        <w:rPr>
          <w:rFonts w:ascii="Times New Roman" w:hAnsi="Times New Roman" w:cs="Times New Roman"/>
          <w:sz w:val="20"/>
          <w:szCs w:val="20"/>
        </w:rPr>
        <w:t>Danny Dorling is a member of Public Health England’s Mortality Surveillance</w:t>
      </w:r>
      <w:bookmarkStart w:id="0" w:name="_GoBack"/>
      <w:bookmarkEnd w:id="0"/>
      <w:r>
        <w:rPr>
          <w:rFonts w:ascii="Times New Roman" w:hAnsi="Times New Roman" w:cs="Times New Roman"/>
          <w:sz w:val="20"/>
          <w:szCs w:val="20"/>
        </w:rPr>
        <w:t xml:space="preserve"> Committee. No other authors have any declarations of interest. </w:t>
      </w:r>
    </w:p>
    <w:p w14:paraId="509E80B9" w14:textId="77777777" w:rsidR="00D80E19" w:rsidRPr="00031EB4" w:rsidRDefault="00D80E19" w:rsidP="00E22714">
      <w:pPr>
        <w:spacing w:line="240" w:lineRule="auto"/>
        <w:rPr>
          <w:rFonts w:ascii="Times New Roman" w:eastAsiaTheme="majorEastAsia" w:hAnsi="Times New Roman" w:cs="Times New Roman"/>
          <w:sz w:val="32"/>
          <w:szCs w:val="32"/>
        </w:rPr>
      </w:pPr>
      <w:r w:rsidRPr="00031EB4">
        <w:rPr>
          <w:rFonts w:ascii="Times New Roman" w:hAnsi="Times New Roman" w:cs="Times New Roman"/>
        </w:rPr>
        <w:br w:type="page"/>
      </w:r>
    </w:p>
    <w:p w14:paraId="6BBD1810" w14:textId="77777777" w:rsidR="00D80E19" w:rsidRPr="00031EB4" w:rsidRDefault="00D80E19" w:rsidP="00E22714">
      <w:pPr>
        <w:pStyle w:val="Heading1"/>
        <w:spacing w:line="240" w:lineRule="auto"/>
        <w:rPr>
          <w:rFonts w:ascii="Times New Roman" w:hAnsi="Times New Roman" w:cs="Times New Roman"/>
          <w:b/>
          <w:color w:val="auto"/>
          <w:sz w:val="24"/>
          <w:szCs w:val="24"/>
        </w:rPr>
      </w:pPr>
      <w:commentRangeStart w:id="1"/>
      <w:r w:rsidRPr="00031EB4">
        <w:rPr>
          <w:rFonts w:ascii="Times New Roman" w:hAnsi="Times New Roman" w:cs="Times New Roman"/>
          <w:b/>
          <w:color w:val="auto"/>
          <w:sz w:val="24"/>
          <w:szCs w:val="24"/>
        </w:rPr>
        <w:lastRenderedPageBreak/>
        <w:t xml:space="preserve">References </w:t>
      </w:r>
      <w:commentRangeEnd w:id="1"/>
      <w:r w:rsidR="000B273E" w:rsidRPr="00031EB4">
        <w:rPr>
          <w:rStyle w:val="CommentReference"/>
          <w:rFonts w:ascii="Times New Roman" w:eastAsiaTheme="minorHAnsi" w:hAnsi="Times New Roman" w:cs="Times New Roman"/>
          <w:b/>
          <w:color w:val="auto"/>
          <w:sz w:val="24"/>
          <w:szCs w:val="24"/>
        </w:rPr>
        <w:commentReference w:id="1"/>
      </w:r>
    </w:p>
    <w:p w14:paraId="50511C5E" w14:textId="77777777" w:rsidR="00D80E19" w:rsidRPr="00031EB4" w:rsidRDefault="00D80E19" w:rsidP="00E22714">
      <w:pPr>
        <w:spacing w:line="240" w:lineRule="auto"/>
        <w:rPr>
          <w:rFonts w:ascii="Times New Roman" w:hAnsi="Times New Roman" w:cs="Times New Roman"/>
        </w:rPr>
      </w:pPr>
    </w:p>
    <w:p w14:paraId="585590C3" w14:textId="725DEA33" w:rsidR="00066C09" w:rsidRPr="00031EB4" w:rsidRDefault="001862B7" w:rsidP="00066C09">
      <w:pPr>
        <w:widowControl w:val="0"/>
        <w:autoSpaceDE w:val="0"/>
        <w:autoSpaceDN w:val="0"/>
        <w:adjustRightInd w:val="0"/>
        <w:spacing w:line="240" w:lineRule="auto"/>
        <w:ind w:left="640" w:hanging="640"/>
        <w:rPr>
          <w:rFonts w:ascii="Times New Roman" w:hAnsi="Times New Roman" w:cs="Times New Roman"/>
          <w:noProof/>
          <w:szCs w:val="24"/>
        </w:rPr>
      </w:pPr>
      <w:r w:rsidRPr="00031EB4">
        <w:rPr>
          <w:rFonts w:ascii="Times New Roman" w:hAnsi="Times New Roman" w:cs="Times New Roman"/>
        </w:rPr>
        <w:fldChar w:fldCharType="begin" w:fldLock="1"/>
      </w:r>
      <w:r w:rsidRPr="00031EB4">
        <w:rPr>
          <w:rFonts w:ascii="Times New Roman" w:hAnsi="Times New Roman" w:cs="Times New Roman"/>
        </w:rPr>
        <w:instrText xml:space="preserve">ADDIN Mendeley Bibliography CSL_BIBLIOGRAPHY </w:instrText>
      </w:r>
      <w:r w:rsidRPr="00031EB4">
        <w:rPr>
          <w:rFonts w:ascii="Times New Roman" w:hAnsi="Times New Roman" w:cs="Times New Roman"/>
        </w:rPr>
        <w:fldChar w:fldCharType="separate"/>
      </w:r>
      <w:r w:rsidR="00066C09" w:rsidRPr="00031EB4">
        <w:rPr>
          <w:rFonts w:ascii="Times New Roman" w:hAnsi="Times New Roman" w:cs="Times New Roman"/>
          <w:noProof/>
          <w:szCs w:val="24"/>
        </w:rPr>
        <w:t>1</w:t>
      </w:r>
      <w:r w:rsidR="00066C09" w:rsidRPr="00031EB4">
        <w:rPr>
          <w:rFonts w:ascii="Times New Roman" w:hAnsi="Times New Roman" w:cs="Times New Roman"/>
          <w:noProof/>
          <w:szCs w:val="24"/>
        </w:rPr>
        <w:tab/>
        <w:t xml:space="preserve">Loopstra R, McKee M, Katikireddi S V., Taylor-Robinson D, Barr B, Stuckler D. Austerity and old-age mortality in England: a longitudinal cross-local area analysis, 2007-2013. </w:t>
      </w:r>
      <w:r w:rsidR="00066C09" w:rsidRPr="00031EB4">
        <w:rPr>
          <w:rFonts w:ascii="Times New Roman" w:hAnsi="Times New Roman" w:cs="Times New Roman"/>
          <w:i/>
          <w:iCs/>
          <w:noProof/>
          <w:szCs w:val="24"/>
        </w:rPr>
        <w:t>J R Soc Med</w:t>
      </w:r>
      <w:r w:rsidR="00066C09" w:rsidRPr="00031EB4">
        <w:rPr>
          <w:rFonts w:ascii="Times New Roman" w:hAnsi="Times New Roman" w:cs="Times New Roman"/>
          <w:noProof/>
          <w:szCs w:val="24"/>
        </w:rPr>
        <w:t xml:space="preserve"> 2016; </w:t>
      </w:r>
      <w:r w:rsidR="00066C09" w:rsidRPr="00031EB4">
        <w:rPr>
          <w:rFonts w:ascii="Times New Roman" w:hAnsi="Times New Roman" w:cs="Times New Roman"/>
          <w:b/>
          <w:bCs/>
          <w:noProof/>
          <w:szCs w:val="24"/>
        </w:rPr>
        <w:t>109</w:t>
      </w:r>
      <w:r w:rsidR="00066C09" w:rsidRPr="00031EB4">
        <w:rPr>
          <w:rFonts w:ascii="Times New Roman" w:hAnsi="Times New Roman" w:cs="Times New Roman"/>
          <w:noProof/>
          <w:szCs w:val="24"/>
        </w:rPr>
        <w:t>: 109–16.</w:t>
      </w:r>
    </w:p>
    <w:p w14:paraId="659F6440" w14:textId="77777777" w:rsidR="00066C09" w:rsidRPr="00031EB4" w:rsidRDefault="00066C09" w:rsidP="00066C09">
      <w:pPr>
        <w:widowControl w:val="0"/>
        <w:autoSpaceDE w:val="0"/>
        <w:autoSpaceDN w:val="0"/>
        <w:adjustRightInd w:val="0"/>
        <w:spacing w:line="240" w:lineRule="auto"/>
        <w:ind w:left="640" w:hanging="640"/>
        <w:rPr>
          <w:rFonts w:ascii="Times New Roman" w:hAnsi="Times New Roman" w:cs="Times New Roman"/>
          <w:noProof/>
          <w:szCs w:val="24"/>
        </w:rPr>
      </w:pPr>
      <w:r w:rsidRPr="00031EB4">
        <w:rPr>
          <w:rFonts w:ascii="Times New Roman" w:hAnsi="Times New Roman" w:cs="Times New Roman"/>
          <w:noProof/>
          <w:szCs w:val="24"/>
        </w:rPr>
        <w:t>2</w:t>
      </w:r>
      <w:r w:rsidRPr="00031EB4">
        <w:rPr>
          <w:rFonts w:ascii="Times New Roman" w:hAnsi="Times New Roman" w:cs="Times New Roman"/>
          <w:noProof/>
          <w:szCs w:val="24"/>
        </w:rPr>
        <w:tab/>
        <w:t xml:space="preserve">Dorling D. Why are old people in Britain dying before their time? </w:t>
      </w:r>
      <w:r w:rsidRPr="00031EB4">
        <w:rPr>
          <w:rFonts w:ascii="Times New Roman" w:hAnsi="Times New Roman" w:cs="Times New Roman"/>
          <w:i/>
          <w:iCs/>
          <w:noProof/>
          <w:szCs w:val="24"/>
        </w:rPr>
        <w:t>New Statesman</w:t>
      </w:r>
      <w:r w:rsidRPr="00031EB4">
        <w:rPr>
          <w:rFonts w:ascii="Times New Roman" w:hAnsi="Times New Roman" w:cs="Times New Roman"/>
          <w:noProof/>
          <w:szCs w:val="24"/>
        </w:rPr>
        <w:t xml:space="preserve"> 2014; : 34–8.</w:t>
      </w:r>
    </w:p>
    <w:p w14:paraId="2ED5DC2B" w14:textId="77777777" w:rsidR="00066C09" w:rsidRPr="00031EB4" w:rsidRDefault="00066C09" w:rsidP="00066C09">
      <w:pPr>
        <w:widowControl w:val="0"/>
        <w:autoSpaceDE w:val="0"/>
        <w:autoSpaceDN w:val="0"/>
        <w:adjustRightInd w:val="0"/>
        <w:spacing w:line="240" w:lineRule="auto"/>
        <w:ind w:left="640" w:hanging="640"/>
        <w:rPr>
          <w:rFonts w:ascii="Times New Roman" w:hAnsi="Times New Roman" w:cs="Times New Roman"/>
          <w:noProof/>
          <w:szCs w:val="24"/>
        </w:rPr>
      </w:pPr>
      <w:r w:rsidRPr="00031EB4">
        <w:rPr>
          <w:rFonts w:ascii="Times New Roman" w:hAnsi="Times New Roman" w:cs="Times New Roman"/>
          <w:noProof/>
          <w:szCs w:val="24"/>
        </w:rPr>
        <w:t>3</w:t>
      </w:r>
      <w:r w:rsidRPr="00031EB4">
        <w:rPr>
          <w:rFonts w:ascii="Times New Roman" w:hAnsi="Times New Roman" w:cs="Times New Roman"/>
          <w:noProof/>
          <w:szCs w:val="24"/>
        </w:rPr>
        <w:tab/>
        <w:t>Public Health England. Recent trends in life expectancy at older ages. London, 2015 https://www.gov.uk/government/uploads/system/uploads/attachment_data/file/403477/Recent_trends_in_life_expectancy_at_older_ages.pdf.</w:t>
      </w:r>
    </w:p>
    <w:p w14:paraId="5D6C2D32" w14:textId="77777777" w:rsidR="00066C09" w:rsidRPr="00031EB4" w:rsidRDefault="00066C09" w:rsidP="00066C09">
      <w:pPr>
        <w:widowControl w:val="0"/>
        <w:autoSpaceDE w:val="0"/>
        <w:autoSpaceDN w:val="0"/>
        <w:adjustRightInd w:val="0"/>
        <w:spacing w:line="240" w:lineRule="auto"/>
        <w:ind w:left="640" w:hanging="640"/>
        <w:rPr>
          <w:rFonts w:ascii="Times New Roman" w:hAnsi="Times New Roman" w:cs="Times New Roman"/>
          <w:noProof/>
          <w:szCs w:val="24"/>
        </w:rPr>
      </w:pPr>
      <w:r w:rsidRPr="00031EB4">
        <w:rPr>
          <w:rFonts w:ascii="Times New Roman" w:hAnsi="Times New Roman" w:cs="Times New Roman"/>
          <w:noProof/>
          <w:szCs w:val="24"/>
        </w:rPr>
        <w:t>4</w:t>
      </w:r>
      <w:r w:rsidRPr="00031EB4">
        <w:rPr>
          <w:rFonts w:ascii="Times New Roman" w:hAnsi="Times New Roman" w:cs="Times New Roman"/>
          <w:noProof/>
          <w:szCs w:val="24"/>
        </w:rPr>
        <w:tab/>
        <w:t>Green M, Dorling D, Minton J. The Geography of a rapid rise in mortality in England and Wales, 2014-2015. 2016.</w:t>
      </w:r>
    </w:p>
    <w:p w14:paraId="1A0EAD42" w14:textId="77777777" w:rsidR="00066C09" w:rsidRPr="00031EB4" w:rsidRDefault="00066C09" w:rsidP="00066C09">
      <w:pPr>
        <w:widowControl w:val="0"/>
        <w:autoSpaceDE w:val="0"/>
        <w:autoSpaceDN w:val="0"/>
        <w:adjustRightInd w:val="0"/>
        <w:spacing w:line="240" w:lineRule="auto"/>
        <w:ind w:left="640" w:hanging="640"/>
        <w:rPr>
          <w:rFonts w:ascii="Times New Roman" w:hAnsi="Times New Roman" w:cs="Times New Roman"/>
          <w:noProof/>
          <w:szCs w:val="24"/>
        </w:rPr>
      </w:pPr>
      <w:r w:rsidRPr="00031EB4">
        <w:rPr>
          <w:rFonts w:ascii="Times New Roman" w:hAnsi="Times New Roman" w:cs="Times New Roman"/>
          <w:noProof/>
          <w:szCs w:val="24"/>
        </w:rPr>
        <w:t>5</w:t>
      </w:r>
      <w:r w:rsidRPr="00031EB4">
        <w:rPr>
          <w:rFonts w:ascii="Times New Roman" w:hAnsi="Times New Roman" w:cs="Times New Roman"/>
          <w:noProof/>
          <w:szCs w:val="24"/>
        </w:rPr>
        <w:tab/>
        <w:t xml:space="preserve">Minton J, Shaw R, Green M, Vanderbloemen L, McCartney G, Pickett K. Two cheers for a small giant? Why we need better ways of seeing data. A commentary on: ‘Rising morbidity and mortality in midlife among white non-Hispanic (WNH) Americans in the 21st century’. </w:t>
      </w:r>
      <w:r w:rsidRPr="00031EB4">
        <w:rPr>
          <w:rFonts w:ascii="Times New Roman" w:hAnsi="Times New Roman" w:cs="Times New Roman"/>
          <w:i/>
          <w:iCs/>
          <w:noProof/>
          <w:szCs w:val="24"/>
        </w:rPr>
        <w:t>Int J Epidemiol</w:t>
      </w:r>
      <w:r w:rsidRPr="00031EB4">
        <w:rPr>
          <w:rFonts w:ascii="Times New Roman" w:hAnsi="Times New Roman" w:cs="Times New Roman"/>
          <w:noProof/>
          <w:szCs w:val="24"/>
        </w:rPr>
        <w:t xml:space="preserve"> 2016. DOI:10.1093/ije/dyw095.</w:t>
      </w:r>
    </w:p>
    <w:p w14:paraId="40198B80" w14:textId="77777777" w:rsidR="00066C09" w:rsidRPr="00031EB4" w:rsidRDefault="00066C09" w:rsidP="00066C09">
      <w:pPr>
        <w:widowControl w:val="0"/>
        <w:autoSpaceDE w:val="0"/>
        <w:autoSpaceDN w:val="0"/>
        <w:adjustRightInd w:val="0"/>
        <w:spacing w:line="240" w:lineRule="auto"/>
        <w:ind w:left="640" w:hanging="640"/>
        <w:rPr>
          <w:rFonts w:ascii="Times New Roman" w:hAnsi="Times New Roman" w:cs="Times New Roman"/>
          <w:noProof/>
          <w:szCs w:val="24"/>
        </w:rPr>
      </w:pPr>
      <w:r w:rsidRPr="00031EB4">
        <w:rPr>
          <w:rFonts w:ascii="Times New Roman" w:hAnsi="Times New Roman" w:cs="Times New Roman"/>
          <w:noProof/>
          <w:szCs w:val="24"/>
        </w:rPr>
        <w:t>6</w:t>
      </w:r>
      <w:r w:rsidRPr="00031EB4">
        <w:rPr>
          <w:rFonts w:ascii="Times New Roman" w:hAnsi="Times New Roman" w:cs="Times New Roman"/>
          <w:noProof/>
          <w:szCs w:val="24"/>
        </w:rPr>
        <w:tab/>
        <w:t xml:space="preserve">Leon DA. Trends in European life expectancy: a salutary view. </w:t>
      </w:r>
      <w:r w:rsidRPr="00031EB4">
        <w:rPr>
          <w:rFonts w:ascii="Times New Roman" w:hAnsi="Times New Roman" w:cs="Times New Roman"/>
          <w:i/>
          <w:iCs/>
          <w:noProof/>
          <w:szCs w:val="24"/>
        </w:rPr>
        <w:t>Int J Epidemiol</w:t>
      </w:r>
      <w:r w:rsidRPr="00031EB4">
        <w:rPr>
          <w:rFonts w:ascii="Times New Roman" w:hAnsi="Times New Roman" w:cs="Times New Roman"/>
          <w:noProof/>
          <w:szCs w:val="24"/>
        </w:rPr>
        <w:t xml:space="preserve"> 2011; </w:t>
      </w:r>
      <w:r w:rsidRPr="00031EB4">
        <w:rPr>
          <w:rFonts w:ascii="Times New Roman" w:hAnsi="Times New Roman" w:cs="Times New Roman"/>
          <w:b/>
          <w:bCs/>
          <w:noProof/>
          <w:szCs w:val="24"/>
        </w:rPr>
        <w:t>40</w:t>
      </w:r>
      <w:r w:rsidRPr="00031EB4">
        <w:rPr>
          <w:rFonts w:ascii="Times New Roman" w:hAnsi="Times New Roman" w:cs="Times New Roman"/>
          <w:noProof/>
          <w:szCs w:val="24"/>
        </w:rPr>
        <w:t>: 271–7.</w:t>
      </w:r>
    </w:p>
    <w:p w14:paraId="2F099521" w14:textId="77777777" w:rsidR="00066C09" w:rsidRPr="00031EB4" w:rsidRDefault="00066C09" w:rsidP="00066C09">
      <w:pPr>
        <w:widowControl w:val="0"/>
        <w:autoSpaceDE w:val="0"/>
        <w:autoSpaceDN w:val="0"/>
        <w:adjustRightInd w:val="0"/>
        <w:spacing w:line="240" w:lineRule="auto"/>
        <w:ind w:left="640" w:hanging="640"/>
        <w:rPr>
          <w:rFonts w:ascii="Times New Roman" w:hAnsi="Times New Roman" w:cs="Times New Roman"/>
          <w:noProof/>
          <w:szCs w:val="24"/>
        </w:rPr>
      </w:pPr>
      <w:r w:rsidRPr="00031EB4">
        <w:rPr>
          <w:rFonts w:ascii="Times New Roman" w:hAnsi="Times New Roman" w:cs="Times New Roman"/>
          <w:noProof/>
          <w:szCs w:val="24"/>
        </w:rPr>
        <w:t>7</w:t>
      </w:r>
      <w:r w:rsidRPr="00031EB4">
        <w:rPr>
          <w:rFonts w:ascii="Times New Roman" w:hAnsi="Times New Roman" w:cs="Times New Roman"/>
          <w:noProof/>
          <w:szCs w:val="24"/>
        </w:rPr>
        <w:tab/>
        <w:t xml:space="preserve">Woolf SH, Johnson RE, Phillips RL, Philipsen M. Giving Everyone the Health of the Educated: An Examination of Whether Social Change Would Save More Lives Than Medical Advances. </w:t>
      </w:r>
      <w:r w:rsidRPr="00031EB4">
        <w:rPr>
          <w:rFonts w:ascii="Times New Roman" w:hAnsi="Times New Roman" w:cs="Times New Roman"/>
          <w:i/>
          <w:iCs/>
          <w:noProof/>
          <w:szCs w:val="24"/>
        </w:rPr>
        <w:t>Am J Public Health</w:t>
      </w:r>
      <w:r w:rsidRPr="00031EB4">
        <w:rPr>
          <w:rFonts w:ascii="Times New Roman" w:hAnsi="Times New Roman" w:cs="Times New Roman"/>
          <w:noProof/>
          <w:szCs w:val="24"/>
        </w:rPr>
        <w:t xml:space="preserve"> 2007; </w:t>
      </w:r>
      <w:r w:rsidRPr="00031EB4">
        <w:rPr>
          <w:rFonts w:ascii="Times New Roman" w:hAnsi="Times New Roman" w:cs="Times New Roman"/>
          <w:b/>
          <w:bCs/>
          <w:noProof/>
          <w:szCs w:val="24"/>
        </w:rPr>
        <w:t>97</w:t>
      </w:r>
      <w:r w:rsidRPr="00031EB4">
        <w:rPr>
          <w:rFonts w:ascii="Times New Roman" w:hAnsi="Times New Roman" w:cs="Times New Roman"/>
          <w:noProof/>
          <w:szCs w:val="24"/>
        </w:rPr>
        <w:t>: 679–83.</w:t>
      </w:r>
    </w:p>
    <w:p w14:paraId="1DAACE7C" w14:textId="77777777" w:rsidR="00066C09" w:rsidRPr="00031EB4" w:rsidRDefault="00066C09" w:rsidP="00066C09">
      <w:pPr>
        <w:widowControl w:val="0"/>
        <w:autoSpaceDE w:val="0"/>
        <w:autoSpaceDN w:val="0"/>
        <w:adjustRightInd w:val="0"/>
        <w:spacing w:line="240" w:lineRule="auto"/>
        <w:ind w:left="640" w:hanging="640"/>
        <w:rPr>
          <w:rFonts w:ascii="Times New Roman" w:hAnsi="Times New Roman" w:cs="Times New Roman"/>
          <w:noProof/>
          <w:szCs w:val="24"/>
        </w:rPr>
      </w:pPr>
      <w:r w:rsidRPr="00031EB4">
        <w:rPr>
          <w:rFonts w:ascii="Times New Roman" w:hAnsi="Times New Roman" w:cs="Times New Roman"/>
          <w:noProof/>
          <w:szCs w:val="24"/>
        </w:rPr>
        <w:t>8</w:t>
      </w:r>
      <w:r w:rsidRPr="00031EB4">
        <w:rPr>
          <w:rFonts w:ascii="Times New Roman" w:hAnsi="Times New Roman" w:cs="Times New Roman"/>
          <w:noProof/>
          <w:szCs w:val="24"/>
        </w:rPr>
        <w:tab/>
        <w:t>Human Mortality Database. Univ. California, Berkeley (USA), Max Plank Inst. Demogr. Res. 2014. www.mortality.org.</w:t>
      </w:r>
    </w:p>
    <w:p w14:paraId="3CC02711" w14:textId="77777777" w:rsidR="00066C09" w:rsidRPr="00031EB4" w:rsidRDefault="00066C09" w:rsidP="00066C09">
      <w:pPr>
        <w:widowControl w:val="0"/>
        <w:autoSpaceDE w:val="0"/>
        <w:autoSpaceDN w:val="0"/>
        <w:adjustRightInd w:val="0"/>
        <w:spacing w:line="240" w:lineRule="auto"/>
        <w:ind w:left="640" w:hanging="640"/>
        <w:rPr>
          <w:rFonts w:ascii="Times New Roman" w:hAnsi="Times New Roman" w:cs="Times New Roman"/>
          <w:noProof/>
          <w:szCs w:val="24"/>
        </w:rPr>
      </w:pPr>
      <w:r w:rsidRPr="00031EB4">
        <w:rPr>
          <w:rFonts w:ascii="Times New Roman" w:hAnsi="Times New Roman" w:cs="Times New Roman"/>
          <w:noProof/>
          <w:szCs w:val="24"/>
        </w:rPr>
        <w:t>9</w:t>
      </w:r>
      <w:r w:rsidRPr="00031EB4">
        <w:rPr>
          <w:rFonts w:ascii="Times New Roman" w:hAnsi="Times New Roman" w:cs="Times New Roman"/>
          <w:noProof/>
          <w:szCs w:val="24"/>
        </w:rPr>
        <w:tab/>
        <w:t>Stuckler D, Basu S. The Body Economic: Eight experiments in economic recovery, from Iceland to Greece. London: Penguin, 2013.</w:t>
      </w:r>
    </w:p>
    <w:p w14:paraId="32A77D9C" w14:textId="77777777" w:rsidR="00066C09" w:rsidRPr="00031EB4" w:rsidRDefault="00066C09" w:rsidP="00066C09">
      <w:pPr>
        <w:widowControl w:val="0"/>
        <w:autoSpaceDE w:val="0"/>
        <w:autoSpaceDN w:val="0"/>
        <w:adjustRightInd w:val="0"/>
        <w:spacing w:line="240" w:lineRule="auto"/>
        <w:ind w:left="640" w:hanging="640"/>
        <w:rPr>
          <w:rFonts w:ascii="Times New Roman" w:hAnsi="Times New Roman" w:cs="Times New Roman"/>
          <w:noProof/>
          <w:szCs w:val="24"/>
        </w:rPr>
      </w:pPr>
      <w:r w:rsidRPr="00031EB4">
        <w:rPr>
          <w:rFonts w:ascii="Times New Roman" w:hAnsi="Times New Roman" w:cs="Times New Roman"/>
          <w:noProof/>
          <w:szCs w:val="24"/>
        </w:rPr>
        <w:t>10</w:t>
      </w:r>
      <w:r w:rsidRPr="00031EB4">
        <w:rPr>
          <w:rFonts w:ascii="Times New Roman" w:hAnsi="Times New Roman" w:cs="Times New Roman"/>
          <w:noProof/>
          <w:szCs w:val="24"/>
        </w:rPr>
        <w:tab/>
        <w:t>Mills J. File containing number of death registrations by single year of age for England &amp; Wales and the UK 1961-2014; and Mid-year population estimates by single year of age for England &amp; Wales and the UK 1961-2014. 2015. https://www.ons.gov.uk/file?uri=/peoplepopulationandcommunity/populationandmigration/populationestimates/adhocs/005825populationestimatesforenglandandwales1961to2014singleyearofage0to105/ewuksyoadeathspopdata19612014cmifilevaluesforissue10122015.xls.</w:t>
      </w:r>
    </w:p>
    <w:p w14:paraId="5E8A999E" w14:textId="77777777" w:rsidR="00066C09" w:rsidRPr="00031EB4" w:rsidRDefault="00066C09" w:rsidP="00066C09">
      <w:pPr>
        <w:widowControl w:val="0"/>
        <w:autoSpaceDE w:val="0"/>
        <w:autoSpaceDN w:val="0"/>
        <w:adjustRightInd w:val="0"/>
        <w:spacing w:line="240" w:lineRule="auto"/>
        <w:ind w:left="640" w:hanging="640"/>
        <w:rPr>
          <w:rFonts w:ascii="Times New Roman" w:hAnsi="Times New Roman" w:cs="Times New Roman"/>
          <w:noProof/>
          <w:szCs w:val="24"/>
        </w:rPr>
      </w:pPr>
      <w:r w:rsidRPr="00031EB4">
        <w:rPr>
          <w:rFonts w:ascii="Times New Roman" w:hAnsi="Times New Roman" w:cs="Times New Roman"/>
          <w:noProof/>
          <w:szCs w:val="24"/>
        </w:rPr>
        <w:t>11</w:t>
      </w:r>
      <w:r w:rsidRPr="00031EB4">
        <w:rPr>
          <w:rFonts w:ascii="Times New Roman" w:hAnsi="Times New Roman" w:cs="Times New Roman"/>
          <w:noProof/>
          <w:szCs w:val="24"/>
        </w:rPr>
        <w:tab/>
        <w:t>ONS. UK Mid year estimates 2015. 2016. https://www.ons.gov.uk/file?uri=/peoplepopulationandcommunity/populationandmigration/populationestimates/datasets/populationestimatesforukenglandandwalesscotlandandnorthernireland/mid2015/ukmye2015.zip.</w:t>
      </w:r>
    </w:p>
    <w:p w14:paraId="06343B56" w14:textId="77777777" w:rsidR="00066C09" w:rsidRPr="00031EB4" w:rsidRDefault="00066C09" w:rsidP="00066C09">
      <w:pPr>
        <w:widowControl w:val="0"/>
        <w:autoSpaceDE w:val="0"/>
        <w:autoSpaceDN w:val="0"/>
        <w:adjustRightInd w:val="0"/>
        <w:spacing w:line="240" w:lineRule="auto"/>
        <w:ind w:left="640" w:hanging="640"/>
        <w:rPr>
          <w:rFonts w:ascii="Times New Roman" w:hAnsi="Times New Roman" w:cs="Times New Roman"/>
          <w:noProof/>
          <w:szCs w:val="24"/>
        </w:rPr>
      </w:pPr>
      <w:r w:rsidRPr="00031EB4">
        <w:rPr>
          <w:rFonts w:ascii="Times New Roman" w:hAnsi="Times New Roman" w:cs="Times New Roman"/>
          <w:noProof/>
          <w:szCs w:val="24"/>
        </w:rPr>
        <w:t>12</w:t>
      </w:r>
      <w:r w:rsidRPr="00031EB4">
        <w:rPr>
          <w:rFonts w:ascii="Times New Roman" w:hAnsi="Times New Roman" w:cs="Times New Roman"/>
          <w:noProof/>
          <w:szCs w:val="24"/>
        </w:rPr>
        <w:tab/>
        <w:t xml:space="preserve">Makeham WM. On the Law of Mortality and the Construction of Annuity Tables. </w:t>
      </w:r>
      <w:r w:rsidRPr="00031EB4">
        <w:rPr>
          <w:rFonts w:ascii="Times New Roman" w:hAnsi="Times New Roman" w:cs="Times New Roman"/>
          <w:i/>
          <w:iCs/>
          <w:noProof/>
          <w:szCs w:val="24"/>
        </w:rPr>
        <w:t>Assur Mag J Inst Actuar</w:t>
      </w:r>
      <w:r w:rsidRPr="00031EB4">
        <w:rPr>
          <w:rFonts w:ascii="Times New Roman" w:hAnsi="Times New Roman" w:cs="Times New Roman"/>
          <w:noProof/>
          <w:szCs w:val="24"/>
        </w:rPr>
        <w:t xml:space="preserve"> 1860; </w:t>
      </w:r>
      <w:r w:rsidRPr="00031EB4">
        <w:rPr>
          <w:rFonts w:ascii="Times New Roman" w:hAnsi="Times New Roman" w:cs="Times New Roman"/>
          <w:b/>
          <w:bCs/>
          <w:noProof/>
          <w:szCs w:val="24"/>
        </w:rPr>
        <w:t>8</w:t>
      </w:r>
      <w:r w:rsidRPr="00031EB4">
        <w:rPr>
          <w:rFonts w:ascii="Times New Roman" w:hAnsi="Times New Roman" w:cs="Times New Roman"/>
          <w:noProof/>
          <w:szCs w:val="24"/>
        </w:rPr>
        <w:t>: 301–10.</w:t>
      </w:r>
    </w:p>
    <w:p w14:paraId="1CD50C2A" w14:textId="77777777" w:rsidR="00066C09" w:rsidRPr="00031EB4" w:rsidRDefault="00066C09" w:rsidP="00066C09">
      <w:pPr>
        <w:widowControl w:val="0"/>
        <w:autoSpaceDE w:val="0"/>
        <w:autoSpaceDN w:val="0"/>
        <w:adjustRightInd w:val="0"/>
        <w:spacing w:line="240" w:lineRule="auto"/>
        <w:ind w:left="640" w:hanging="640"/>
        <w:rPr>
          <w:rFonts w:ascii="Times New Roman" w:hAnsi="Times New Roman" w:cs="Times New Roman"/>
          <w:noProof/>
          <w:szCs w:val="24"/>
        </w:rPr>
      </w:pPr>
      <w:r w:rsidRPr="00031EB4">
        <w:rPr>
          <w:rFonts w:ascii="Times New Roman" w:hAnsi="Times New Roman" w:cs="Times New Roman"/>
          <w:noProof/>
          <w:szCs w:val="24"/>
        </w:rPr>
        <w:t>13</w:t>
      </w:r>
      <w:r w:rsidRPr="00031EB4">
        <w:rPr>
          <w:rFonts w:ascii="Times New Roman" w:hAnsi="Times New Roman" w:cs="Times New Roman"/>
          <w:noProof/>
          <w:szCs w:val="24"/>
        </w:rPr>
        <w:tab/>
        <w:t>Lafond S, Arora S, Charlesworth A, McKeon A. Into the red? The state of the NHS’ finances: An analysis of NHS expenditure between 2010 and 2014. 2014 http://www.nuffieldtrust.org.uk/sites/files/nuffield/publication/into-the-red-report.pdf.</w:t>
      </w:r>
    </w:p>
    <w:p w14:paraId="34406A65" w14:textId="77777777" w:rsidR="00066C09" w:rsidRPr="00031EB4" w:rsidRDefault="00066C09" w:rsidP="00066C09">
      <w:pPr>
        <w:widowControl w:val="0"/>
        <w:autoSpaceDE w:val="0"/>
        <w:autoSpaceDN w:val="0"/>
        <w:adjustRightInd w:val="0"/>
        <w:spacing w:line="240" w:lineRule="auto"/>
        <w:ind w:left="640" w:hanging="640"/>
        <w:rPr>
          <w:rFonts w:ascii="Times New Roman" w:hAnsi="Times New Roman" w:cs="Times New Roman"/>
          <w:noProof/>
          <w:szCs w:val="24"/>
        </w:rPr>
      </w:pPr>
      <w:r w:rsidRPr="00031EB4">
        <w:rPr>
          <w:rFonts w:ascii="Times New Roman" w:hAnsi="Times New Roman" w:cs="Times New Roman"/>
          <w:noProof/>
          <w:szCs w:val="24"/>
        </w:rPr>
        <w:t>14</w:t>
      </w:r>
      <w:r w:rsidRPr="00031EB4">
        <w:rPr>
          <w:rFonts w:ascii="Times New Roman" w:hAnsi="Times New Roman" w:cs="Times New Roman"/>
          <w:noProof/>
          <w:szCs w:val="24"/>
        </w:rPr>
        <w:tab/>
        <w:t xml:space="preserve">Chang S-S, Stuckler D, Yip P, Gunnell D. Impact of 2008 global economic crisis on suicide: time trend study in 54 countries. </w:t>
      </w:r>
      <w:r w:rsidRPr="00031EB4">
        <w:rPr>
          <w:rFonts w:ascii="Times New Roman" w:hAnsi="Times New Roman" w:cs="Times New Roman"/>
          <w:i/>
          <w:iCs/>
          <w:noProof/>
          <w:szCs w:val="24"/>
        </w:rPr>
        <w:t>BMJ</w:t>
      </w:r>
      <w:r w:rsidRPr="00031EB4">
        <w:rPr>
          <w:rFonts w:ascii="Times New Roman" w:hAnsi="Times New Roman" w:cs="Times New Roman"/>
          <w:noProof/>
          <w:szCs w:val="24"/>
        </w:rPr>
        <w:t xml:space="preserve"> 2013; </w:t>
      </w:r>
      <w:r w:rsidRPr="00031EB4">
        <w:rPr>
          <w:rFonts w:ascii="Times New Roman" w:hAnsi="Times New Roman" w:cs="Times New Roman"/>
          <w:b/>
          <w:bCs/>
          <w:noProof/>
          <w:szCs w:val="24"/>
        </w:rPr>
        <w:t>347</w:t>
      </w:r>
      <w:r w:rsidRPr="00031EB4">
        <w:rPr>
          <w:rFonts w:ascii="Times New Roman" w:hAnsi="Times New Roman" w:cs="Times New Roman"/>
          <w:noProof/>
          <w:szCs w:val="24"/>
        </w:rPr>
        <w:t>: f5239–f5239.</w:t>
      </w:r>
    </w:p>
    <w:p w14:paraId="263E74F1" w14:textId="77777777" w:rsidR="00066C09" w:rsidRPr="00031EB4" w:rsidRDefault="00066C09" w:rsidP="00066C09">
      <w:pPr>
        <w:widowControl w:val="0"/>
        <w:autoSpaceDE w:val="0"/>
        <w:autoSpaceDN w:val="0"/>
        <w:adjustRightInd w:val="0"/>
        <w:spacing w:line="240" w:lineRule="auto"/>
        <w:ind w:left="640" w:hanging="640"/>
        <w:rPr>
          <w:rFonts w:ascii="Times New Roman" w:hAnsi="Times New Roman" w:cs="Times New Roman"/>
          <w:noProof/>
          <w:szCs w:val="24"/>
        </w:rPr>
      </w:pPr>
      <w:r w:rsidRPr="00031EB4">
        <w:rPr>
          <w:rFonts w:ascii="Times New Roman" w:hAnsi="Times New Roman" w:cs="Times New Roman"/>
          <w:noProof/>
          <w:szCs w:val="24"/>
        </w:rPr>
        <w:t>15</w:t>
      </w:r>
      <w:r w:rsidRPr="00031EB4">
        <w:rPr>
          <w:rFonts w:ascii="Times New Roman" w:hAnsi="Times New Roman" w:cs="Times New Roman"/>
          <w:noProof/>
          <w:szCs w:val="24"/>
        </w:rPr>
        <w:tab/>
        <w:t xml:space="preserve">Newton JN, Briggs ADM, Murray CJL, </w:t>
      </w:r>
      <w:r w:rsidRPr="00031EB4">
        <w:rPr>
          <w:rFonts w:ascii="Times New Roman" w:hAnsi="Times New Roman" w:cs="Times New Roman"/>
          <w:i/>
          <w:iCs/>
          <w:noProof/>
          <w:szCs w:val="24"/>
        </w:rPr>
        <w:t>et al.</w:t>
      </w:r>
      <w:r w:rsidRPr="00031EB4">
        <w:rPr>
          <w:rFonts w:ascii="Times New Roman" w:hAnsi="Times New Roman" w:cs="Times New Roman"/>
          <w:noProof/>
          <w:szCs w:val="24"/>
        </w:rPr>
        <w:t xml:space="preserve"> Changes in health in England, with analysis by English regions and areas of deprivation, 1990–2013. </w:t>
      </w:r>
      <w:r w:rsidRPr="00031EB4">
        <w:rPr>
          <w:rFonts w:ascii="Times New Roman" w:hAnsi="Times New Roman" w:cs="Times New Roman"/>
          <w:i/>
          <w:iCs/>
          <w:noProof/>
          <w:szCs w:val="24"/>
        </w:rPr>
        <w:t>Lancet</w:t>
      </w:r>
      <w:r w:rsidRPr="00031EB4">
        <w:rPr>
          <w:rFonts w:ascii="Times New Roman" w:hAnsi="Times New Roman" w:cs="Times New Roman"/>
          <w:noProof/>
          <w:szCs w:val="24"/>
        </w:rPr>
        <w:t xml:space="preserve"> 2015. DOI:10.1016/S0140-6736(15)00195-6.</w:t>
      </w:r>
    </w:p>
    <w:p w14:paraId="451909A2" w14:textId="77777777" w:rsidR="00066C09" w:rsidRPr="00031EB4" w:rsidRDefault="00066C09" w:rsidP="00066C09">
      <w:pPr>
        <w:widowControl w:val="0"/>
        <w:autoSpaceDE w:val="0"/>
        <w:autoSpaceDN w:val="0"/>
        <w:adjustRightInd w:val="0"/>
        <w:spacing w:line="240" w:lineRule="auto"/>
        <w:ind w:left="640" w:hanging="640"/>
        <w:rPr>
          <w:rFonts w:ascii="Times New Roman" w:hAnsi="Times New Roman" w:cs="Times New Roman"/>
          <w:noProof/>
          <w:szCs w:val="24"/>
        </w:rPr>
      </w:pPr>
      <w:r w:rsidRPr="00031EB4">
        <w:rPr>
          <w:rFonts w:ascii="Times New Roman" w:hAnsi="Times New Roman" w:cs="Times New Roman"/>
          <w:noProof/>
          <w:szCs w:val="24"/>
        </w:rPr>
        <w:lastRenderedPageBreak/>
        <w:t>16</w:t>
      </w:r>
      <w:r w:rsidRPr="00031EB4">
        <w:rPr>
          <w:rFonts w:ascii="Times New Roman" w:hAnsi="Times New Roman" w:cs="Times New Roman"/>
          <w:noProof/>
          <w:szCs w:val="24"/>
        </w:rPr>
        <w:tab/>
        <w:t>ONS. Measuring National well-being: Life in the UK: 2016. http://www.ons.gov.uk/peoplepopulationandcommunity/wellbeing/articles/measuringnationalwellbeing/2016.</w:t>
      </w:r>
    </w:p>
    <w:p w14:paraId="6C935BA6" w14:textId="77777777" w:rsidR="00066C09" w:rsidRPr="00031EB4" w:rsidRDefault="00066C09" w:rsidP="00066C09">
      <w:pPr>
        <w:widowControl w:val="0"/>
        <w:autoSpaceDE w:val="0"/>
        <w:autoSpaceDN w:val="0"/>
        <w:adjustRightInd w:val="0"/>
        <w:spacing w:line="240" w:lineRule="auto"/>
        <w:ind w:left="640" w:hanging="640"/>
        <w:rPr>
          <w:rFonts w:ascii="Times New Roman" w:hAnsi="Times New Roman" w:cs="Times New Roman"/>
          <w:noProof/>
          <w:szCs w:val="24"/>
        </w:rPr>
      </w:pPr>
      <w:r w:rsidRPr="00031EB4">
        <w:rPr>
          <w:rFonts w:ascii="Times New Roman" w:hAnsi="Times New Roman" w:cs="Times New Roman"/>
          <w:noProof/>
          <w:szCs w:val="24"/>
        </w:rPr>
        <w:t>17</w:t>
      </w:r>
      <w:r w:rsidRPr="00031EB4">
        <w:rPr>
          <w:rFonts w:ascii="Times New Roman" w:hAnsi="Times New Roman" w:cs="Times New Roman"/>
          <w:noProof/>
          <w:szCs w:val="24"/>
        </w:rPr>
        <w:tab/>
        <w:t xml:space="preserve">Parkinson J, Minton J, Lewsey J, Bouttell J, McCartney G. Recent cohort effects in suicide in Scotland: a legacy of the 1980s? </w:t>
      </w:r>
      <w:r w:rsidRPr="00031EB4">
        <w:rPr>
          <w:rFonts w:ascii="Times New Roman" w:hAnsi="Times New Roman" w:cs="Times New Roman"/>
          <w:i/>
          <w:iCs/>
          <w:noProof/>
          <w:szCs w:val="24"/>
        </w:rPr>
        <w:t>Under Rev</w:t>
      </w:r>
      <w:r w:rsidRPr="00031EB4">
        <w:rPr>
          <w:rFonts w:ascii="Times New Roman" w:hAnsi="Times New Roman" w:cs="Times New Roman"/>
          <w:noProof/>
          <w:szCs w:val="24"/>
        </w:rPr>
        <w:t>.</w:t>
      </w:r>
    </w:p>
    <w:p w14:paraId="6C2FDA4D" w14:textId="77777777" w:rsidR="00066C09" w:rsidRPr="00031EB4" w:rsidRDefault="00066C09" w:rsidP="00066C09">
      <w:pPr>
        <w:widowControl w:val="0"/>
        <w:autoSpaceDE w:val="0"/>
        <w:autoSpaceDN w:val="0"/>
        <w:adjustRightInd w:val="0"/>
        <w:spacing w:line="240" w:lineRule="auto"/>
        <w:ind w:left="640" w:hanging="640"/>
        <w:rPr>
          <w:rFonts w:ascii="Times New Roman" w:hAnsi="Times New Roman" w:cs="Times New Roman"/>
          <w:noProof/>
          <w:szCs w:val="24"/>
        </w:rPr>
      </w:pPr>
      <w:r w:rsidRPr="00031EB4">
        <w:rPr>
          <w:rFonts w:ascii="Times New Roman" w:hAnsi="Times New Roman" w:cs="Times New Roman"/>
          <w:noProof/>
          <w:szCs w:val="24"/>
        </w:rPr>
        <w:t>18</w:t>
      </w:r>
      <w:r w:rsidRPr="00031EB4">
        <w:rPr>
          <w:rFonts w:ascii="Times New Roman" w:hAnsi="Times New Roman" w:cs="Times New Roman"/>
          <w:noProof/>
          <w:szCs w:val="24"/>
        </w:rPr>
        <w:tab/>
        <w:t xml:space="preserve">Lambie-Mumford H, Green MA. Austerity, welfare reform and the rising use of food banks by children in England and Wales. </w:t>
      </w:r>
      <w:r w:rsidRPr="00031EB4">
        <w:rPr>
          <w:rFonts w:ascii="Times New Roman" w:hAnsi="Times New Roman" w:cs="Times New Roman"/>
          <w:i/>
          <w:iCs/>
          <w:noProof/>
          <w:szCs w:val="24"/>
        </w:rPr>
        <w:t>Area</w:t>
      </w:r>
      <w:r w:rsidRPr="00031EB4">
        <w:rPr>
          <w:rFonts w:ascii="Times New Roman" w:hAnsi="Times New Roman" w:cs="Times New Roman"/>
          <w:noProof/>
          <w:szCs w:val="24"/>
        </w:rPr>
        <w:t xml:space="preserve"> 2015; : n/a-n/a.</w:t>
      </w:r>
    </w:p>
    <w:p w14:paraId="02D6A480" w14:textId="77777777" w:rsidR="00066C09" w:rsidRPr="00031EB4" w:rsidRDefault="00066C09" w:rsidP="00066C09">
      <w:pPr>
        <w:widowControl w:val="0"/>
        <w:autoSpaceDE w:val="0"/>
        <w:autoSpaceDN w:val="0"/>
        <w:adjustRightInd w:val="0"/>
        <w:spacing w:line="240" w:lineRule="auto"/>
        <w:ind w:left="640" w:hanging="640"/>
        <w:rPr>
          <w:rFonts w:ascii="Times New Roman" w:hAnsi="Times New Roman" w:cs="Times New Roman"/>
          <w:noProof/>
          <w:szCs w:val="24"/>
        </w:rPr>
      </w:pPr>
      <w:r w:rsidRPr="00031EB4">
        <w:rPr>
          <w:rFonts w:ascii="Times New Roman" w:hAnsi="Times New Roman" w:cs="Times New Roman"/>
          <w:noProof/>
          <w:szCs w:val="24"/>
        </w:rPr>
        <w:t>19</w:t>
      </w:r>
      <w:r w:rsidRPr="00031EB4">
        <w:rPr>
          <w:rFonts w:ascii="Times New Roman" w:hAnsi="Times New Roman" w:cs="Times New Roman"/>
          <w:noProof/>
          <w:szCs w:val="24"/>
        </w:rPr>
        <w:tab/>
        <w:t>Thurley D. State Pension uprating - 2010 onwards. London, 2016 http://researchbriefings.files.parliament.uk/documents/SN05649/SN05649.pdf.</w:t>
      </w:r>
    </w:p>
    <w:p w14:paraId="7F7184F5" w14:textId="77777777" w:rsidR="00066C09" w:rsidRPr="00031EB4" w:rsidRDefault="00066C09" w:rsidP="00066C09">
      <w:pPr>
        <w:widowControl w:val="0"/>
        <w:autoSpaceDE w:val="0"/>
        <w:autoSpaceDN w:val="0"/>
        <w:adjustRightInd w:val="0"/>
        <w:spacing w:line="240" w:lineRule="auto"/>
        <w:ind w:left="640" w:hanging="640"/>
        <w:rPr>
          <w:rFonts w:ascii="Times New Roman" w:hAnsi="Times New Roman" w:cs="Times New Roman"/>
          <w:noProof/>
          <w:szCs w:val="24"/>
        </w:rPr>
      </w:pPr>
      <w:r w:rsidRPr="00031EB4">
        <w:rPr>
          <w:rFonts w:ascii="Times New Roman" w:hAnsi="Times New Roman" w:cs="Times New Roman"/>
          <w:noProof/>
          <w:szCs w:val="24"/>
        </w:rPr>
        <w:t>20</w:t>
      </w:r>
      <w:r w:rsidRPr="00031EB4">
        <w:rPr>
          <w:rFonts w:ascii="Times New Roman" w:hAnsi="Times New Roman" w:cs="Times New Roman"/>
          <w:noProof/>
          <w:szCs w:val="24"/>
        </w:rPr>
        <w:tab/>
        <w:t>BBC. Triple-lock pension guarantee stands, says Downing Street. 2016. http://www.bbc.co.uk/news/business-36937107.</w:t>
      </w:r>
    </w:p>
    <w:p w14:paraId="4106AFA1" w14:textId="77777777" w:rsidR="00066C09" w:rsidRPr="00031EB4" w:rsidRDefault="00066C09" w:rsidP="00066C09">
      <w:pPr>
        <w:widowControl w:val="0"/>
        <w:autoSpaceDE w:val="0"/>
        <w:autoSpaceDN w:val="0"/>
        <w:adjustRightInd w:val="0"/>
        <w:spacing w:line="240" w:lineRule="auto"/>
        <w:ind w:left="640" w:hanging="640"/>
        <w:rPr>
          <w:rFonts w:ascii="Times New Roman" w:hAnsi="Times New Roman" w:cs="Times New Roman"/>
          <w:noProof/>
          <w:szCs w:val="24"/>
        </w:rPr>
      </w:pPr>
      <w:r w:rsidRPr="00031EB4">
        <w:rPr>
          <w:rFonts w:ascii="Times New Roman" w:hAnsi="Times New Roman" w:cs="Times New Roman"/>
          <w:noProof/>
          <w:szCs w:val="24"/>
        </w:rPr>
        <w:t>21</w:t>
      </w:r>
      <w:r w:rsidRPr="00031EB4">
        <w:rPr>
          <w:rFonts w:ascii="Times New Roman" w:hAnsi="Times New Roman" w:cs="Times New Roman"/>
          <w:noProof/>
          <w:szCs w:val="24"/>
        </w:rPr>
        <w:tab/>
        <w:t xml:space="preserve">Minton J, Vanderbloemen L, Dorling D. Visualizing Europe’s demographic scars with coplots and contour plots. </w:t>
      </w:r>
      <w:r w:rsidRPr="00031EB4">
        <w:rPr>
          <w:rFonts w:ascii="Times New Roman" w:hAnsi="Times New Roman" w:cs="Times New Roman"/>
          <w:i/>
          <w:iCs/>
          <w:noProof/>
          <w:szCs w:val="24"/>
        </w:rPr>
        <w:t>Int J Epidemiol</w:t>
      </w:r>
      <w:r w:rsidRPr="00031EB4">
        <w:rPr>
          <w:rFonts w:ascii="Times New Roman" w:hAnsi="Times New Roman" w:cs="Times New Roman"/>
          <w:noProof/>
          <w:szCs w:val="24"/>
        </w:rPr>
        <w:t xml:space="preserve"> 2013; </w:t>
      </w:r>
      <w:r w:rsidRPr="00031EB4">
        <w:rPr>
          <w:rFonts w:ascii="Times New Roman" w:hAnsi="Times New Roman" w:cs="Times New Roman"/>
          <w:b/>
          <w:bCs/>
          <w:noProof/>
          <w:szCs w:val="24"/>
        </w:rPr>
        <w:t>42</w:t>
      </w:r>
      <w:r w:rsidRPr="00031EB4">
        <w:rPr>
          <w:rFonts w:ascii="Times New Roman" w:hAnsi="Times New Roman" w:cs="Times New Roman"/>
          <w:noProof/>
          <w:szCs w:val="24"/>
        </w:rPr>
        <w:t>: 1164–76.</w:t>
      </w:r>
    </w:p>
    <w:p w14:paraId="388C9160" w14:textId="77777777" w:rsidR="00066C09" w:rsidRPr="00031EB4" w:rsidRDefault="00066C09" w:rsidP="00066C09">
      <w:pPr>
        <w:widowControl w:val="0"/>
        <w:autoSpaceDE w:val="0"/>
        <w:autoSpaceDN w:val="0"/>
        <w:adjustRightInd w:val="0"/>
        <w:spacing w:line="240" w:lineRule="auto"/>
        <w:ind w:left="640" w:hanging="640"/>
        <w:rPr>
          <w:rFonts w:ascii="Times New Roman" w:hAnsi="Times New Roman" w:cs="Times New Roman"/>
          <w:noProof/>
          <w:szCs w:val="24"/>
        </w:rPr>
      </w:pPr>
      <w:r w:rsidRPr="00031EB4">
        <w:rPr>
          <w:rFonts w:ascii="Times New Roman" w:hAnsi="Times New Roman" w:cs="Times New Roman"/>
          <w:noProof/>
          <w:szCs w:val="24"/>
        </w:rPr>
        <w:t>22</w:t>
      </w:r>
      <w:r w:rsidRPr="00031EB4">
        <w:rPr>
          <w:rFonts w:ascii="Times New Roman" w:hAnsi="Times New Roman" w:cs="Times New Roman"/>
          <w:noProof/>
          <w:szCs w:val="24"/>
        </w:rPr>
        <w:tab/>
        <w:t xml:space="preserve">McCartney G, Bouttell J, Craig N, </w:t>
      </w:r>
      <w:r w:rsidRPr="00031EB4">
        <w:rPr>
          <w:rFonts w:ascii="Times New Roman" w:hAnsi="Times New Roman" w:cs="Times New Roman"/>
          <w:i/>
          <w:iCs/>
          <w:noProof/>
          <w:szCs w:val="24"/>
        </w:rPr>
        <w:t>et al.</w:t>
      </w:r>
      <w:r w:rsidRPr="00031EB4">
        <w:rPr>
          <w:rFonts w:ascii="Times New Roman" w:hAnsi="Times New Roman" w:cs="Times New Roman"/>
          <w:noProof/>
          <w:szCs w:val="24"/>
        </w:rPr>
        <w:t xml:space="preserve"> Explaining trends in alcohol-related harms in Scotland, 1991–2011 (I): the role of incomes, effects of socio-economic and political adversity and demographic change. </w:t>
      </w:r>
      <w:r w:rsidRPr="00031EB4">
        <w:rPr>
          <w:rFonts w:ascii="Times New Roman" w:hAnsi="Times New Roman" w:cs="Times New Roman"/>
          <w:i/>
          <w:iCs/>
          <w:noProof/>
          <w:szCs w:val="24"/>
        </w:rPr>
        <w:t>Public Health</w:t>
      </w:r>
      <w:r w:rsidRPr="00031EB4">
        <w:rPr>
          <w:rFonts w:ascii="Times New Roman" w:hAnsi="Times New Roman" w:cs="Times New Roman"/>
          <w:noProof/>
          <w:szCs w:val="24"/>
        </w:rPr>
        <w:t xml:space="preserve"> 2016; </w:t>
      </w:r>
      <w:r w:rsidRPr="00031EB4">
        <w:rPr>
          <w:rFonts w:ascii="Times New Roman" w:hAnsi="Times New Roman" w:cs="Times New Roman"/>
          <w:b/>
          <w:bCs/>
          <w:noProof/>
          <w:szCs w:val="24"/>
        </w:rPr>
        <w:t>132</w:t>
      </w:r>
      <w:r w:rsidRPr="00031EB4">
        <w:rPr>
          <w:rFonts w:ascii="Times New Roman" w:hAnsi="Times New Roman" w:cs="Times New Roman"/>
          <w:noProof/>
          <w:szCs w:val="24"/>
        </w:rPr>
        <w:t>: 13–23.</w:t>
      </w:r>
    </w:p>
    <w:p w14:paraId="03B1DA35" w14:textId="77777777" w:rsidR="00066C09" w:rsidRPr="00031EB4" w:rsidRDefault="00066C09" w:rsidP="00066C09">
      <w:pPr>
        <w:widowControl w:val="0"/>
        <w:autoSpaceDE w:val="0"/>
        <w:autoSpaceDN w:val="0"/>
        <w:adjustRightInd w:val="0"/>
        <w:spacing w:line="240" w:lineRule="auto"/>
        <w:ind w:left="640" w:hanging="640"/>
        <w:rPr>
          <w:rFonts w:ascii="Times New Roman" w:hAnsi="Times New Roman" w:cs="Times New Roman"/>
          <w:noProof/>
          <w:szCs w:val="24"/>
        </w:rPr>
      </w:pPr>
      <w:r w:rsidRPr="00031EB4">
        <w:rPr>
          <w:rFonts w:ascii="Times New Roman" w:hAnsi="Times New Roman" w:cs="Times New Roman"/>
          <w:noProof/>
          <w:szCs w:val="24"/>
        </w:rPr>
        <w:t>23</w:t>
      </w:r>
      <w:r w:rsidRPr="00031EB4">
        <w:rPr>
          <w:rFonts w:ascii="Times New Roman" w:hAnsi="Times New Roman" w:cs="Times New Roman"/>
          <w:noProof/>
          <w:szCs w:val="24"/>
        </w:rPr>
        <w:tab/>
        <w:t xml:space="preserve">Box GEP. Science and Statistics. </w:t>
      </w:r>
      <w:r w:rsidRPr="00031EB4">
        <w:rPr>
          <w:rFonts w:ascii="Times New Roman" w:hAnsi="Times New Roman" w:cs="Times New Roman"/>
          <w:i/>
          <w:iCs/>
          <w:noProof/>
          <w:szCs w:val="24"/>
        </w:rPr>
        <w:t>J Am Stat Assoc</w:t>
      </w:r>
      <w:r w:rsidRPr="00031EB4">
        <w:rPr>
          <w:rFonts w:ascii="Times New Roman" w:hAnsi="Times New Roman" w:cs="Times New Roman"/>
          <w:noProof/>
          <w:szCs w:val="24"/>
        </w:rPr>
        <w:t xml:space="preserve"> 1976; </w:t>
      </w:r>
      <w:r w:rsidRPr="00031EB4">
        <w:rPr>
          <w:rFonts w:ascii="Times New Roman" w:hAnsi="Times New Roman" w:cs="Times New Roman"/>
          <w:b/>
          <w:bCs/>
          <w:noProof/>
          <w:szCs w:val="24"/>
        </w:rPr>
        <w:t>71</w:t>
      </w:r>
      <w:r w:rsidRPr="00031EB4">
        <w:rPr>
          <w:rFonts w:ascii="Times New Roman" w:hAnsi="Times New Roman" w:cs="Times New Roman"/>
          <w:noProof/>
          <w:szCs w:val="24"/>
        </w:rPr>
        <w:t>: 791–9.</w:t>
      </w:r>
    </w:p>
    <w:p w14:paraId="590CDDEC" w14:textId="77777777" w:rsidR="00066C09" w:rsidRPr="00031EB4" w:rsidRDefault="00066C09" w:rsidP="00066C09">
      <w:pPr>
        <w:widowControl w:val="0"/>
        <w:autoSpaceDE w:val="0"/>
        <w:autoSpaceDN w:val="0"/>
        <w:adjustRightInd w:val="0"/>
        <w:spacing w:line="240" w:lineRule="auto"/>
        <w:ind w:left="640" w:hanging="640"/>
        <w:rPr>
          <w:rFonts w:ascii="Times New Roman" w:hAnsi="Times New Roman" w:cs="Times New Roman"/>
          <w:noProof/>
          <w:szCs w:val="24"/>
        </w:rPr>
      </w:pPr>
      <w:r w:rsidRPr="00031EB4">
        <w:rPr>
          <w:rFonts w:ascii="Times New Roman" w:hAnsi="Times New Roman" w:cs="Times New Roman"/>
          <w:noProof/>
          <w:szCs w:val="24"/>
        </w:rPr>
        <w:t>24</w:t>
      </w:r>
      <w:r w:rsidRPr="00031EB4">
        <w:rPr>
          <w:rFonts w:ascii="Times New Roman" w:hAnsi="Times New Roman" w:cs="Times New Roman"/>
          <w:noProof/>
          <w:szCs w:val="24"/>
        </w:rPr>
        <w:tab/>
        <w:t>Webster D. Briefing: The DWP’s JSA/ESA Sanctions Statistics Release, 17 August 2016. Glasgow, 2016 http://www.cpag.org.uk/sites/default/files/uploads/16-08 Sanctions Stats Briefing - D Webster.docx.</w:t>
      </w:r>
    </w:p>
    <w:p w14:paraId="5DAA8930" w14:textId="77777777" w:rsidR="00066C09" w:rsidRPr="00031EB4" w:rsidRDefault="00066C09" w:rsidP="00066C09">
      <w:pPr>
        <w:widowControl w:val="0"/>
        <w:autoSpaceDE w:val="0"/>
        <w:autoSpaceDN w:val="0"/>
        <w:adjustRightInd w:val="0"/>
        <w:spacing w:line="240" w:lineRule="auto"/>
        <w:ind w:left="640" w:hanging="640"/>
        <w:rPr>
          <w:rFonts w:ascii="Times New Roman" w:hAnsi="Times New Roman" w:cs="Times New Roman"/>
          <w:noProof/>
        </w:rPr>
      </w:pPr>
      <w:r w:rsidRPr="00031EB4">
        <w:rPr>
          <w:rFonts w:ascii="Times New Roman" w:hAnsi="Times New Roman" w:cs="Times New Roman"/>
          <w:noProof/>
          <w:szCs w:val="24"/>
        </w:rPr>
        <w:t>25</w:t>
      </w:r>
      <w:r w:rsidRPr="00031EB4">
        <w:rPr>
          <w:rFonts w:ascii="Times New Roman" w:hAnsi="Times New Roman" w:cs="Times New Roman"/>
          <w:noProof/>
          <w:szCs w:val="24"/>
        </w:rPr>
        <w:tab/>
        <w:t xml:space="preserve">Loopstra R, Reeves A, Taylor-Robinson D, Barr B, McKee M, Stuckler D. Austerity, sanctions, and the rise of food banks in the UK. </w:t>
      </w:r>
      <w:r w:rsidRPr="00031EB4">
        <w:rPr>
          <w:rFonts w:ascii="Times New Roman" w:hAnsi="Times New Roman" w:cs="Times New Roman"/>
          <w:i/>
          <w:iCs/>
          <w:noProof/>
          <w:szCs w:val="24"/>
        </w:rPr>
        <w:t>Bmj</w:t>
      </w:r>
      <w:r w:rsidRPr="00031EB4">
        <w:rPr>
          <w:rFonts w:ascii="Times New Roman" w:hAnsi="Times New Roman" w:cs="Times New Roman"/>
          <w:noProof/>
          <w:szCs w:val="24"/>
        </w:rPr>
        <w:t xml:space="preserve"> 2015; </w:t>
      </w:r>
      <w:r w:rsidRPr="00031EB4">
        <w:rPr>
          <w:rFonts w:ascii="Times New Roman" w:hAnsi="Times New Roman" w:cs="Times New Roman"/>
          <w:b/>
          <w:bCs/>
          <w:noProof/>
          <w:szCs w:val="24"/>
        </w:rPr>
        <w:t>350</w:t>
      </w:r>
      <w:r w:rsidRPr="00031EB4">
        <w:rPr>
          <w:rFonts w:ascii="Times New Roman" w:hAnsi="Times New Roman" w:cs="Times New Roman"/>
          <w:noProof/>
          <w:szCs w:val="24"/>
        </w:rPr>
        <w:t>: h1775–h1775.</w:t>
      </w:r>
    </w:p>
    <w:p w14:paraId="1D1C0074" w14:textId="77777777" w:rsidR="00D80E19" w:rsidRPr="00031EB4" w:rsidRDefault="001862B7" w:rsidP="00E22714">
      <w:pPr>
        <w:spacing w:line="240" w:lineRule="auto"/>
        <w:rPr>
          <w:rFonts w:ascii="Times New Roman" w:hAnsi="Times New Roman" w:cs="Times New Roman"/>
        </w:rPr>
      </w:pPr>
      <w:r w:rsidRPr="00031EB4">
        <w:rPr>
          <w:rFonts w:ascii="Times New Roman" w:hAnsi="Times New Roman" w:cs="Times New Roman"/>
        </w:rPr>
        <w:fldChar w:fldCharType="end"/>
      </w:r>
    </w:p>
    <w:p w14:paraId="564A2354" w14:textId="6D9DF9BA" w:rsidR="00D80E19" w:rsidRPr="00031EB4" w:rsidRDefault="00D80E19" w:rsidP="00E22714">
      <w:pPr>
        <w:spacing w:line="240" w:lineRule="auto"/>
        <w:rPr>
          <w:rFonts w:ascii="Times New Roman" w:eastAsiaTheme="majorEastAsia" w:hAnsi="Times New Roman" w:cs="Times New Roman"/>
          <w:sz w:val="32"/>
          <w:szCs w:val="32"/>
        </w:rPr>
      </w:pPr>
    </w:p>
    <w:sectPr w:rsidR="00D80E19" w:rsidRPr="00031EB4" w:rsidSect="00111C57">
      <w:type w:val="continuous"/>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Green, Mark" w:date="2016-10-07T16:19:00Z" w:initials="GM">
    <w:p w14:paraId="34FCE06C" w14:textId="35EE17F1" w:rsidR="001446CE" w:rsidRDefault="001446CE">
      <w:pPr>
        <w:pStyle w:val="CommentText"/>
      </w:pPr>
      <w:r>
        <w:rPr>
          <w:rStyle w:val="CommentReference"/>
        </w:rPr>
        <w:annotationRef/>
      </w:r>
      <w:r>
        <w:t xml:space="preserve">Don’t forget to reference to </w:t>
      </w:r>
      <w:proofErr w:type="spellStart"/>
      <w:r>
        <w:t>SocARXIV</w:t>
      </w:r>
      <w:proofErr w:type="spellEnd"/>
      <w:r>
        <w:t xml:space="preserve"> (</w:t>
      </w:r>
      <w:hyperlink r:id="rId1" w:history="1">
        <w:r w:rsidRPr="00E11EF5">
          <w:rPr>
            <w:rStyle w:val="Hyperlink"/>
          </w:rPr>
          <w:t>https://osf.io/9g378/</w:t>
        </w:r>
      </w:hyperlink>
      <w:r>
        <w:t>) for our paper pare (ref 4) especially since it was your idea!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4FCE06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1C979F" w14:textId="77777777" w:rsidR="006F0F50" w:rsidRDefault="006F0F50" w:rsidP="008F0C36">
      <w:pPr>
        <w:spacing w:after="0" w:line="240" w:lineRule="auto"/>
      </w:pPr>
      <w:r>
        <w:separator/>
      </w:r>
    </w:p>
  </w:endnote>
  <w:endnote w:type="continuationSeparator" w:id="0">
    <w:p w14:paraId="39BF9F69" w14:textId="77777777" w:rsidR="006F0F50" w:rsidRDefault="006F0F50" w:rsidP="008F0C36">
      <w:pPr>
        <w:spacing w:after="0" w:line="240" w:lineRule="auto"/>
      </w:pPr>
      <w:r>
        <w:continuationSeparator/>
      </w:r>
    </w:p>
  </w:endnote>
  <w:endnote w:type="continuationNotice" w:id="1">
    <w:p w14:paraId="1FC6988C" w14:textId="77777777" w:rsidR="006F0F50" w:rsidRDefault="006F0F5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76079392"/>
      <w:docPartObj>
        <w:docPartGallery w:val="Page Numbers (Bottom of Page)"/>
        <w:docPartUnique/>
      </w:docPartObj>
    </w:sdtPr>
    <w:sdtEndPr>
      <w:rPr>
        <w:noProof/>
      </w:rPr>
    </w:sdtEndPr>
    <w:sdtContent>
      <w:p w14:paraId="785833B5" w14:textId="16820887" w:rsidR="001446CE" w:rsidRDefault="001446CE">
        <w:pPr>
          <w:pStyle w:val="Footer"/>
          <w:jc w:val="center"/>
        </w:pPr>
        <w:r>
          <w:fldChar w:fldCharType="begin"/>
        </w:r>
        <w:r>
          <w:instrText xml:space="preserve"> PAGE   \* MERGEFORMAT </w:instrText>
        </w:r>
        <w:r>
          <w:fldChar w:fldCharType="separate"/>
        </w:r>
        <w:r w:rsidR="00CD1548">
          <w:rPr>
            <w:noProof/>
          </w:rPr>
          <w:t>11</w:t>
        </w:r>
        <w:r>
          <w:rPr>
            <w:noProof/>
          </w:rPr>
          <w:fldChar w:fldCharType="end"/>
        </w:r>
      </w:p>
    </w:sdtContent>
  </w:sdt>
  <w:p w14:paraId="225FBFF0" w14:textId="77777777" w:rsidR="001446CE" w:rsidRDefault="001446C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AFCC6B" w14:textId="77777777" w:rsidR="006F0F50" w:rsidRDefault="006F0F50" w:rsidP="008F0C36">
      <w:pPr>
        <w:spacing w:after="0" w:line="240" w:lineRule="auto"/>
      </w:pPr>
      <w:r>
        <w:separator/>
      </w:r>
    </w:p>
  </w:footnote>
  <w:footnote w:type="continuationSeparator" w:id="0">
    <w:p w14:paraId="40C75575" w14:textId="77777777" w:rsidR="006F0F50" w:rsidRDefault="006F0F50" w:rsidP="008F0C36">
      <w:pPr>
        <w:spacing w:after="0" w:line="240" w:lineRule="auto"/>
      </w:pPr>
      <w:r>
        <w:continuationSeparator/>
      </w:r>
    </w:p>
  </w:footnote>
  <w:footnote w:type="continuationNotice" w:id="1">
    <w:p w14:paraId="66EA100C" w14:textId="77777777" w:rsidR="006F0F50" w:rsidRDefault="006F0F50">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777EFE" w14:textId="77777777" w:rsidR="001446CE" w:rsidRDefault="001446C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A4418E"/>
    <w:multiLevelType w:val="hybridMultilevel"/>
    <w:tmpl w:val="B4D033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reen, Mark">
    <w15:presenceInfo w15:providerId="AD" w15:userId="S-1-5-21-137024685-2204166116-4157399963-3485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D9E"/>
    <w:rsid w:val="00014B1F"/>
    <w:rsid w:val="00014F0F"/>
    <w:rsid w:val="00016584"/>
    <w:rsid w:val="00031EB4"/>
    <w:rsid w:val="00066C09"/>
    <w:rsid w:val="00071F07"/>
    <w:rsid w:val="00073D67"/>
    <w:rsid w:val="00075CB9"/>
    <w:rsid w:val="00076DDE"/>
    <w:rsid w:val="00085EB6"/>
    <w:rsid w:val="00091E17"/>
    <w:rsid w:val="000A579F"/>
    <w:rsid w:val="000B273E"/>
    <w:rsid w:val="000B27ED"/>
    <w:rsid w:val="000C3871"/>
    <w:rsid w:val="000D55B1"/>
    <w:rsid w:val="00111C57"/>
    <w:rsid w:val="001139AD"/>
    <w:rsid w:val="0011555F"/>
    <w:rsid w:val="0013694A"/>
    <w:rsid w:val="00137271"/>
    <w:rsid w:val="001446CE"/>
    <w:rsid w:val="00146EAA"/>
    <w:rsid w:val="0018105E"/>
    <w:rsid w:val="001862B7"/>
    <w:rsid w:val="001B0956"/>
    <w:rsid w:val="001D686D"/>
    <w:rsid w:val="001D7D9E"/>
    <w:rsid w:val="0020496D"/>
    <w:rsid w:val="002074F1"/>
    <w:rsid w:val="00211ED3"/>
    <w:rsid w:val="00223EF3"/>
    <w:rsid w:val="00230C74"/>
    <w:rsid w:val="002424F4"/>
    <w:rsid w:val="00255549"/>
    <w:rsid w:val="00265747"/>
    <w:rsid w:val="0027163A"/>
    <w:rsid w:val="0029193A"/>
    <w:rsid w:val="002C4DFE"/>
    <w:rsid w:val="002E27FD"/>
    <w:rsid w:val="002E2937"/>
    <w:rsid w:val="002E3FE0"/>
    <w:rsid w:val="002F1EB9"/>
    <w:rsid w:val="00305EB9"/>
    <w:rsid w:val="003126D0"/>
    <w:rsid w:val="00335AD5"/>
    <w:rsid w:val="00360F11"/>
    <w:rsid w:val="003779CB"/>
    <w:rsid w:val="003C472A"/>
    <w:rsid w:val="00420F9A"/>
    <w:rsid w:val="00424B52"/>
    <w:rsid w:val="00436D09"/>
    <w:rsid w:val="00445B0B"/>
    <w:rsid w:val="00455A1A"/>
    <w:rsid w:val="00455D91"/>
    <w:rsid w:val="004578B7"/>
    <w:rsid w:val="00466E1B"/>
    <w:rsid w:val="004722A5"/>
    <w:rsid w:val="00487107"/>
    <w:rsid w:val="004A2A80"/>
    <w:rsid w:val="004A7E39"/>
    <w:rsid w:val="004B259F"/>
    <w:rsid w:val="004C372C"/>
    <w:rsid w:val="004D5091"/>
    <w:rsid w:val="004F376E"/>
    <w:rsid w:val="004F5839"/>
    <w:rsid w:val="00504956"/>
    <w:rsid w:val="00510F95"/>
    <w:rsid w:val="00521040"/>
    <w:rsid w:val="00530909"/>
    <w:rsid w:val="00540164"/>
    <w:rsid w:val="005421AD"/>
    <w:rsid w:val="00550D00"/>
    <w:rsid w:val="0055282F"/>
    <w:rsid w:val="00560035"/>
    <w:rsid w:val="00574224"/>
    <w:rsid w:val="0057497B"/>
    <w:rsid w:val="005856B2"/>
    <w:rsid w:val="00587573"/>
    <w:rsid w:val="005B12E3"/>
    <w:rsid w:val="005C403A"/>
    <w:rsid w:val="005D0BC1"/>
    <w:rsid w:val="0060192B"/>
    <w:rsid w:val="00602B76"/>
    <w:rsid w:val="006112F4"/>
    <w:rsid w:val="00626377"/>
    <w:rsid w:val="0063324F"/>
    <w:rsid w:val="00656B3F"/>
    <w:rsid w:val="00671E81"/>
    <w:rsid w:val="00672EC6"/>
    <w:rsid w:val="00674834"/>
    <w:rsid w:val="00681540"/>
    <w:rsid w:val="00683C38"/>
    <w:rsid w:val="00691A2E"/>
    <w:rsid w:val="006B38EC"/>
    <w:rsid w:val="006C3C37"/>
    <w:rsid w:val="006D0954"/>
    <w:rsid w:val="006E0B54"/>
    <w:rsid w:val="006E2A99"/>
    <w:rsid w:val="006E34A9"/>
    <w:rsid w:val="006F0F50"/>
    <w:rsid w:val="006F3E68"/>
    <w:rsid w:val="00735CC9"/>
    <w:rsid w:val="00736234"/>
    <w:rsid w:val="007405AE"/>
    <w:rsid w:val="00747C48"/>
    <w:rsid w:val="00776936"/>
    <w:rsid w:val="007818D4"/>
    <w:rsid w:val="007846F6"/>
    <w:rsid w:val="007870EB"/>
    <w:rsid w:val="007A2D73"/>
    <w:rsid w:val="0080204B"/>
    <w:rsid w:val="00803A7F"/>
    <w:rsid w:val="008074B2"/>
    <w:rsid w:val="00812161"/>
    <w:rsid w:val="00815060"/>
    <w:rsid w:val="00822AB3"/>
    <w:rsid w:val="00830A6C"/>
    <w:rsid w:val="008347BD"/>
    <w:rsid w:val="00842123"/>
    <w:rsid w:val="00893259"/>
    <w:rsid w:val="008A3E12"/>
    <w:rsid w:val="008C441F"/>
    <w:rsid w:val="008D06C0"/>
    <w:rsid w:val="008D2BF0"/>
    <w:rsid w:val="008D618D"/>
    <w:rsid w:val="008E510C"/>
    <w:rsid w:val="008F0C36"/>
    <w:rsid w:val="00905B97"/>
    <w:rsid w:val="00906C3A"/>
    <w:rsid w:val="00910EF2"/>
    <w:rsid w:val="00923071"/>
    <w:rsid w:val="00924B11"/>
    <w:rsid w:val="00951C3C"/>
    <w:rsid w:val="00962428"/>
    <w:rsid w:val="009674C6"/>
    <w:rsid w:val="00981ADB"/>
    <w:rsid w:val="009866A2"/>
    <w:rsid w:val="00993C33"/>
    <w:rsid w:val="009B47F3"/>
    <w:rsid w:val="009C6742"/>
    <w:rsid w:val="009D47DA"/>
    <w:rsid w:val="00A20A14"/>
    <w:rsid w:val="00A42E90"/>
    <w:rsid w:val="00A432E5"/>
    <w:rsid w:val="00A56C32"/>
    <w:rsid w:val="00A71467"/>
    <w:rsid w:val="00A8037D"/>
    <w:rsid w:val="00AB25E5"/>
    <w:rsid w:val="00AC7DA4"/>
    <w:rsid w:val="00AF3184"/>
    <w:rsid w:val="00B14C65"/>
    <w:rsid w:val="00B279B3"/>
    <w:rsid w:val="00B43A0B"/>
    <w:rsid w:val="00B51CB3"/>
    <w:rsid w:val="00B64833"/>
    <w:rsid w:val="00B801AF"/>
    <w:rsid w:val="00B97354"/>
    <w:rsid w:val="00BF538E"/>
    <w:rsid w:val="00C40FC7"/>
    <w:rsid w:val="00C4295E"/>
    <w:rsid w:val="00C5674C"/>
    <w:rsid w:val="00C753FB"/>
    <w:rsid w:val="00C772D0"/>
    <w:rsid w:val="00C82AF3"/>
    <w:rsid w:val="00C93B83"/>
    <w:rsid w:val="00CB02A4"/>
    <w:rsid w:val="00CD1548"/>
    <w:rsid w:val="00CD4DA8"/>
    <w:rsid w:val="00CD5658"/>
    <w:rsid w:val="00CE0B2C"/>
    <w:rsid w:val="00CF3304"/>
    <w:rsid w:val="00D00C28"/>
    <w:rsid w:val="00D076AC"/>
    <w:rsid w:val="00D1519A"/>
    <w:rsid w:val="00D45B10"/>
    <w:rsid w:val="00D80E19"/>
    <w:rsid w:val="00DA26E4"/>
    <w:rsid w:val="00DA2EEA"/>
    <w:rsid w:val="00DD52D5"/>
    <w:rsid w:val="00E062EE"/>
    <w:rsid w:val="00E10AAF"/>
    <w:rsid w:val="00E13702"/>
    <w:rsid w:val="00E22714"/>
    <w:rsid w:val="00E22B24"/>
    <w:rsid w:val="00E273AE"/>
    <w:rsid w:val="00E323A4"/>
    <w:rsid w:val="00E3557A"/>
    <w:rsid w:val="00E408EA"/>
    <w:rsid w:val="00E6003F"/>
    <w:rsid w:val="00E92F54"/>
    <w:rsid w:val="00EC5EAE"/>
    <w:rsid w:val="00EE2A2E"/>
    <w:rsid w:val="00EE2A97"/>
    <w:rsid w:val="00EF02BD"/>
    <w:rsid w:val="00F33EBB"/>
    <w:rsid w:val="00F54134"/>
    <w:rsid w:val="00F61151"/>
    <w:rsid w:val="00F712B2"/>
    <w:rsid w:val="00F725D4"/>
    <w:rsid w:val="00F82EEE"/>
    <w:rsid w:val="00F843BF"/>
    <w:rsid w:val="00F95600"/>
    <w:rsid w:val="00FB305E"/>
    <w:rsid w:val="00FF475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CA5FD8"/>
  <w15:docId w15:val="{F27B9C36-6A6F-43AE-A27B-7A433A465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80E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753F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4212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0E1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753FB"/>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910E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10EF2"/>
    <w:rPr>
      <w:sz w:val="16"/>
      <w:szCs w:val="16"/>
    </w:rPr>
  </w:style>
  <w:style w:type="paragraph" w:styleId="CommentText">
    <w:name w:val="annotation text"/>
    <w:basedOn w:val="Normal"/>
    <w:link w:val="CommentTextChar"/>
    <w:uiPriority w:val="99"/>
    <w:semiHidden/>
    <w:unhideWhenUsed/>
    <w:rsid w:val="00910EF2"/>
    <w:pPr>
      <w:spacing w:line="240" w:lineRule="auto"/>
    </w:pPr>
    <w:rPr>
      <w:sz w:val="20"/>
      <w:szCs w:val="20"/>
    </w:rPr>
  </w:style>
  <w:style w:type="character" w:customStyle="1" w:styleId="CommentTextChar">
    <w:name w:val="Comment Text Char"/>
    <w:basedOn w:val="DefaultParagraphFont"/>
    <w:link w:val="CommentText"/>
    <w:uiPriority w:val="99"/>
    <w:semiHidden/>
    <w:rsid w:val="00910EF2"/>
    <w:rPr>
      <w:sz w:val="20"/>
      <w:szCs w:val="20"/>
    </w:rPr>
  </w:style>
  <w:style w:type="paragraph" w:styleId="BalloonText">
    <w:name w:val="Balloon Text"/>
    <w:basedOn w:val="Normal"/>
    <w:link w:val="BalloonTextChar"/>
    <w:uiPriority w:val="99"/>
    <w:semiHidden/>
    <w:unhideWhenUsed/>
    <w:rsid w:val="00910E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0EF2"/>
    <w:rPr>
      <w:rFonts w:ascii="Segoe UI" w:hAnsi="Segoe UI" w:cs="Segoe UI"/>
      <w:sz w:val="18"/>
      <w:szCs w:val="18"/>
    </w:rPr>
  </w:style>
  <w:style w:type="paragraph" w:styleId="ListParagraph">
    <w:name w:val="List Paragraph"/>
    <w:basedOn w:val="Normal"/>
    <w:uiPriority w:val="34"/>
    <w:qFormat/>
    <w:rsid w:val="00981ADB"/>
    <w:pPr>
      <w:ind w:left="720"/>
      <w:contextualSpacing/>
    </w:pPr>
  </w:style>
  <w:style w:type="paragraph" w:styleId="Caption">
    <w:name w:val="caption"/>
    <w:basedOn w:val="Normal"/>
    <w:next w:val="Normal"/>
    <w:uiPriority w:val="35"/>
    <w:unhideWhenUsed/>
    <w:qFormat/>
    <w:rsid w:val="00E323A4"/>
    <w:pPr>
      <w:spacing w:after="200" w:line="240" w:lineRule="auto"/>
    </w:pPr>
    <w:rPr>
      <w:i/>
      <w:iCs/>
      <w:color w:val="44546A" w:themeColor="text2"/>
      <w:sz w:val="18"/>
      <w:szCs w:val="18"/>
    </w:rPr>
  </w:style>
  <w:style w:type="paragraph" w:styleId="CommentSubject">
    <w:name w:val="annotation subject"/>
    <w:basedOn w:val="CommentText"/>
    <w:next w:val="CommentText"/>
    <w:link w:val="CommentSubjectChar"/>
    <w:uiPriority w:val="99"/>
    <w:semiHidden/>
    <w:unhideWhenUsed/>
    <w:rsid w:val="00924B11"/>
    <w:rPr>
      <w:b/>
      <w:bCs/>
    </w:rPr>
  </w:style>
  <w:style w:type="character" w:customStyle="1" w:styleId="CommentSubjectChar">
    <w:name w:val="Comment Subject Char"/>
    <w:basedOn w:val="CommentTextChar"/>
    <w:link w:val="CommentSubject"/>
    <w:uiPriority w:val="99"/>
    <w:semiHidden/>
    <w:rsid w:val="00924B11"/>
    <w:rPr>
      <w:b/>
      <w:bCs/>
      <w:sz w:val="20"/>
      <w:szCs w:val="20"/>
    </w:rPr>
  </w:style>
  <w:style w:type="paragraph" w:styleId="FootnoteText">
    <w:name w:val="footnote text"/>
    <w:basedOn w:val="Normal"/>
    <w:link w:val="FootnoteTextChar"/>
    <w:uiPriority w:val="99"/>
    <w:semiHidden/>
    <w:unhideWhenUsed/>
    <w:rsid w:val="008F0C3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F0C36"/>
    <w:rPr>
      <w:sz w:val="20"/>
      <w:szCs w:val="20"/>
    </w:rPr>
  </w:style>
  <w:style w:type="character" w:styleId="FootnoteReference">
    <w:name w:val="footnote reference"/>
    <w:basedOn w:val="DefaultParagraphFont"/>
    <w:uiPriority w:val="99"/>
    <w:semiHidden/>
    <w:unhideWhenUsed/>
    <w:rsid w:val="008F0C36"/>
    <w:rPr>
      <w:vertAlign w:val="superscript"/>
    </w:rPr>
  </w:style>
  <w:style w:type="paragraph" w:styleId="Revision">
    <w:name w:val="Revision"/>
    <w:hidden/>
    <w:uiPriority w:val="99"/>
    <w:semiHidden/>
    <w:rsid w:val="00E3557A"/>
    <w:pPr>
      <w:spacing w:after="0" w:line="240" w:lineRule="auto"/>
    </w:pPr>
  </w:style>
  <w:style w:type="character" w:customStyle="1" w:styleId="Heading3Char">
    <w:name w:val="Heading 3 Char"/>
    <w:basedOn w:val="DefaultParagraphFont"/>
    <w:link w:val="Heading3"/>
    <w:uiPriority w:val="9"/>
    <w:rsid w:val="00842123"/>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076D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6DDE"/>
  </w:style>
  <w:style w:type="paragraph" w:styleId="Footer">
    <w:name w:val="footer"/>
    <w:basedOn w:val="Normal"/>
    <w:link w:val="FooterChar"/>
    <w:uiPriority w:val="99"/>
    <w:unhideWhenUsed/>
    <w:rsid w:val="00076D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6DDE"/>
  </w:style>
  <w:style w:type="character" w:styleId="LineNumber">
    <w:name w:val="line number"/>
    <w:basedOn w:val="DefaultParagraphFont"/>
    <w:uiPriority w:val="99"/>
    <w:semiHidden/>
    <w:unhideWhenUsed/>
    <w:rsid w:val="00076DDE"/>
  </w:style>
  <w:style w:type="character" w:styleId="Hyperlink">
    <w:name w:val="Hyperlink"/>
    <w:basedOn w:val="DefaultParagraphFont"/>
    <w:uiPriority w:val="99"/>
    <w:unhideWhenUsed/>
    <w:rsid w:val="007405A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9501023">
      <w:bodyDiv w:val="1"/>
      <w:marLeft w:val="0"/>
      <w:marRight w:val="0"/>
      <w:marTop w:val="0"/>
      <w:marBottom w:val="0"/>
      <w:divBdr>
        <w:top w:val="none" w:sz="0" w:space="0" w:color="auto"/>
        <w:left w:val="none" w:sz="0" w:space="0" w:color="auto"/>
        <w:bottom w:val="none" w:sz="0" w:space="0" w:color="auto"/>
        <w:right w:val="none" w:sz="0" w:space="0" w:color="auto"/>
      </w:divBdr>
    </w:div>
    <w:div w:id="812648086">
      <w:bodyDiv w:val="1"/>
      <w:marLeft w:val="0"/>
      <w:marRight w:val="0"/>
      <w:marTop w:val="0"/>
      <w:marBottom w:val="0"/>
      <w:divBdr>
        <w:top w:val="none" w:sz="0" w:space="0" w:color="auto"/>
        <w:left w:val="none" w:sz="0" w:space="0" w:color="auto"/>
        <w:bottom w:val="none" w:sz="0" w:space="0" w:color="auto"/>
        <w:right w:val="none" w:sz="0" w:space="0" w:color="auto"/>
      </w:divBdr>
    </w:div>
    <w:div w:id="1507593855">
      <w:bodyDiv w:val="1"/>
      <w:marLeft w:val="0"/>
      <w:marRight w:val="0"/>
      <w:marTop w:val="0"/>
      <w:marBottom w:val="0"/>
      <w:divBdr>
        <w:top w:val="none" w:sz="0" w:space="0" w:color="auto"/>
        <w:left w:val="none" w:sz="0" w:space="0" w:color="auto"/>
        <w:bottom w:val="none" w:sz="0" w:space="0" w:color="auto"/>
        <w:right w:val="none" w:sz="0" w:space="0" w:color="auto"/>
      </w:divBdr>
    </w:div>
    <w:div w:id="1594973984">
      <w:bodyDiv w:val="1"/>
      <w:marLeft w:val="0"/>
      <w:marRight w:val="0"/>
      <w:marTop w:val="0"/>
      <w:marBottom w:val="0"/>
      <w:divBdr>
        <w:top w:val="none" w:sz="0" w:space="0" w:color="auto"/>
        <w:left w:val="none" w:sz="0" w:space="0" w:color="auto"/>
        <w:bottom w:val="none" w:sz="0" w:space="0" w:color="auto"/>
        <w:right w:val="none" w:sz="0" w:space="0" w:color="auto"/>
      </w:divBdr>
    </w:div>
    <w:div w:id="2111658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osf.io/9g378/"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mailto:jonathan.minton@glasgow.ac.uk"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A0B087-96F7-43F3-9A4E-81292065D6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11</Pages>
  <Words>12728</Words>
  <Characters>72553</Characters>
  <Application>Microsoft Office Word</Application>
  <DocSecurity>0</DocSecurity>
  <Lines>604</Lines>
  <Paragraphs>170</Paragraphs>
  <ScaleCrop>false</ScaleCrop>
  <HeadingPairs>
    <vt:vector size="2" baseType="variant">
      <vt:variant>
        <vt:lpstr>Title</vt:lpstr>
      </vt:variant>
      <vt:variant>
        <vt:i4>1</vt:i4>
      </vt:variant>
    </vt:vector>
  </HeadingPairs>
  <TitlesOfParts>
    <vt:vector size="1" baseType="lpstr">
      <vt:lpstr/>
    </vt:vector>
  </TitlesOfParts>
  <Company>University of Glasgow</Company>
  <LinksUpToDate>false</LinksUpToDate>
  <CharactersWithSpaces>85111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Minton</dc:creator>
  <cp:lastModifiedBy>Jonathan Minton</cp:lastModifiedBy>
  <cp:revision>8</cp:revision>
  <dcterms:created xsi:type="dcterms:W3CDTF">2016-10-09T14:36:00Z</dcterms:created>
  <dcterms:modified xsi:type="dcterms:W3CDTF">2016-10-11T10:46:00Z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http://www.zotero.org/styles/the-lancet</vt:lpwstr>
  </property>
  <property fmtid="{D5CDD505-2E9C-101B-9397-08002B2CF9AE}" pid="4" name="Mendeley Recent Style Id 0_1">
    <vt:lpwstr>http://www.zotero.org/styles/american-sociological-association</vt:lpwstr>
  </property>
  <property fmtid="{D5CDD505-2E9C-101B-9397-08002B2CF9AE}" pid="5" name="Mendeley Recent Style Name 0_1">
    <vt:lpwstr>American Sociological Association</vt:lpwstr>
  </property>
  <property fmtid="{D5CDD505-2E9C-101B-9397-08002B2CF9AE}" pid="6" name="Mendeley Recent Style Id 1_1">
    <vt:lpwstr>http://www.zotero.org/styles/chicago-author-date</vt:lpwstr>
  </property>
  <property fmtid="{D5CDD505-2E9C-101B-9397-08002B2CF9AE}" pid="7" name="Mendeley Recent Style Name 1_1">
    <vt:lpwstr>Chicago Manual of Style 16th edition (author-date)</vt:lpwstr>
  </property>
  <property fmtid="{D5CDD505-2E9C-101B-9397-08002B2CF9AE}" pid="8" name="Mendeley Recent Style Id 2_1">
    <vt:lpwstr>http://www.zotero.org/styles/environment-and-planning-a</vt:lpwstr>
  </property>
  <property fmtid="{D5CDD505-2E9C-101B-9397-08002B2CF9AE}" pid="9" name="Mendeley Recent Style Name 2_1">
    <vt:lpwstr>Environment and Planning A</vt:lpwstr>
  </property>
  <property fmtid="{D5CDD505-2E9C-101B-9397-08002B2CF9AE}" pid="10" name="Mendeley Recent Style Id 3_1">
    <vt:lpwstr>http://www.zotero.org/styles/european-journal-of-epidemiology</vt:lpwstr>
  </property>
  <property fmtid="{D5CDD505-2E9C-101B-9397-08002B2CF9AE}" pid="11" name="Mendeley Recent Style Name 3_1">
    <vt:lpwstr>European Journal of Epidemiology</vt:lpwstr>
  </property>
  <property fmtid="{D5CDD505-2E9C-101B-9397-08002B2CF9AE}" pid="12" name="Mendeley Recent Style Id 4_1">
    <vt:lpwstr>http://www.zotero.org/styles/ieee</vt:lpwstr>
  </property>
  <property fmtid="{D5CDD505-2E9C-101B-9397-08002B2CF9AE}" pid="13" name="Mendeley Recent Style Name 4_1">
    <vt:lpwstr>IEEE</vt:lpwstr>
  </property>
  <property fmtid="{D5CDD505-2E9C-101B-9397-08002B2CF9AE}" pid="14" name="Mendeley Recent Style Id 5_1">
    <vt:lpwstr>http://www.zotero.org/styles/journal-of-epidemiology-and-community-health</vt:lpwstr>
  </property>
  <property fmtid="{D5CDD505-2E9C-101B-9397-08002B2CF9AE}" pid="15" name="Mendeley Recent Style Name 5_1">
    <vt:lpwstr>Journal of Epidemiology and Community Health</vt:lpwstr>
  </property>
  <property fmtid="{D5CDD505-2E9C-101B-9397-08002B2CF9AE}" pid="16" name="Mendeley Recent Style Id 6_1">
    <vt:lpwstr>http://www.zotero.org/styles/modern-humanities-research-association</vt:lpwstr>
  </property>
  <property fmtid="{D5CDD505-2E9C-101B-9397-08002B2CF9AE}" pid="17" name="Mendeley Recent Style Name 6_1">
    <vt:lpwstr>Modern Humanities Research Association 3rd edition (note with bibliography)</vt:lpwstr>
  </property>
  <property fmtid="{D5CDD505-2E9C-101B-9397-08002B2CF9AE}" pid="18" name="Mendeley Recent Style Id 7_1">
    <vt:lpwstr>http://www.zotero.org/styles/modern-language-association</vt:lpwstr>
  </property>
  <property fmtid="{D5CDD505-2E9C-101B-9397-08002B2CF9AE}" pid="19" name="Mendeley Recent Style Name 7_1">
    <vt:lpwstr>Modern Language Association 7th edition</vt:lpwstr>
  </property>
  <property fmtid="{D5CDD505-2E9C-101B-9397-08002B2CF9AE}" pid="20" name="Mendeley Recent Style Id 8_1">
    <vt:lpwstr>http://www.zotero.org/styles/the-lancet</vt:lpwstr>
  </property>
  <property fmtid="{D5CDD505-2E9C-101B-9397-08002B2CF9AE}" pid="21" name="Mendeley Recent Style Name 8_1">
    <vt:lpwstr>The Lancet</vt:lpwstr>
  </property>
  <property fmtid="{D5CDD505-2E9C-101B-9397-08002B2CF9AE}" pid="22" name="Mendeley Recent Style Id 9_1">
    <vt:lpwstr>http://www.zotero.org/styles/vancouver</vt:lpwstr>
  </property>
  <property fmtid="{D5CDD505-2E9C-101B-9397-08002B2CF9AE}" pid="23" name="Mendeley Recent Style Name 9_1">
    <vt:lpwstr>Vancouver</vt:lpwstr>
  </property>
  <property fmtid="{D5CDD505-2E9C-101B-9397-08002B2CF9AE}" pid="24" name="Mendeley Unique User Id_1">
    <vt:lpwstr>e8453a48-ceaf-3d0c-b380-7da2e09f5b65</vt:lpwstr>
  </property>
</Properties>
</file>