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8EAF0" w14:textId="39AC29EE" w:rsidR="00E22714" w:rsidRPr="00E22714" w:rsidRDefault="00E22714" w:rsidP="00E22714">
      <w:pPr>
        <w:pStyle w:val="Heading1"/>
        <w:spacing w:line="240" w:lineRule="auto"/>
        <w:rPr>
          <w:rFonts w:ascii="Times New Roman" w:hAnsi="Times New Roman" w:cs="Times New Roman"/>
          <w:b/>
          <w:color w:val="auto"/>
          <w:sz w:val="24"/>
        </w:rPr>
      </w:pPr>
      <w:r w:rsidRPr="00E22714">
        <w:rPr>
          <w:rFonts w:ascii="Times New Roman" w:hAnsi="Times New Roman" w:cs="Times New Roman"/>
          <w:b/>
          <w:color w:val="auto"/>
          <w:sz w:val="24"/>
        </w:rPr>
        <w:t>Title page</w:t>
      </w:r>
    </w:p>
    <w:p w14:paraId="3C7A44BF" w14:textId="77777777" w:rsidR="00E22714" w:rsidRDefault="00E22714" w:rsidP="00E22714">
      <w:pPr>
        <w:spacing w:line="240" w:lineRule="auto"/>
      </w:pPr>
    </w:p>
    <w:p w14:paraId="276BBC64" w14:textId="15E2A7E1" w:rsidR="00E22714" w:rsidRDefault="00E22714" w:rsidP="00E22714">
      <w:pPr>
        <w:spacing w:line="240" w:lineRule="auto"/>
      </w:pPr>
      <w:r>
        <w:t>Manuscript Title</w:t>
      </w:r>
    </w:p>
    <w:p w14:paraId="0E1F2E15" w14:textId="7E56E86C" w:rsidR="00E22714" w:rsidRDefault="00E22714" w:rsidP="00E22714">
      <w:pPr>
        <w:spacing w:line="240" w:lineRule="auto"/>
      </w:pPr>
      <w:r>
        <w:t xml:space="preserve">Authors </w:t>
      </w:r>
    </w:p>
    <w:p w14:paraId="3BC931C6" w14:textId="5821EC1D" w:rsidR="00E22714" w:rsidRDefault="00E22714" w:rsidP="00E22714">
      <w:pPr>
        <w:spacing w:line="240" w:lineRule="auto"/>
      </w:pPr>
      <w:r>
        <w:t>Contact details for all authors</w:t>
      </w:r>
    </w:p>
    <w:p w14:paraId="50DD62BE" w14:textId="5B837425" w:rsidR="00E22714" w:rsidRDefault="00E22714" w:rsidP="00E22714">
      <w:pPr>
        <w:spacing w:line="240" w:lineRule="auto"/>
      </w:pPr>
      <w:r>
        <w:t>Further contact details for corresponding author</w:t>
      </w:r>
    </w:p>
    <w:p w14:paraId="774CE1E8" w14:textId="77777777" w:rsidR="00E22714" w:rsidRPr="00E22714" w:rsidRDefault="00E22714" w:rsidP="00E22714">
      <w:pPr>
        <w:spacing w:line="240" w:lineRule="auto"/>
      </w:pPr>
    </w:p>
    <w:p w14:paraId="6B847A0D" w14:textId="77777777" w:rsidR="000B27ED" w:rsidRPr="00E22714" w:rsidRDefault="00D80E19" w:rsidP="00E22714">
      <w:pPr>
        <w:pStyle w:val="Heading1"/>
        <w:spacing w:line="240" w:lineRule="auto"/>
        <w:rPr>
          <w:rFonts w:ascii="Times New Roman" w:hAnsi="Times New Roman" w:cs="Times New Roman"/>
          <w:b/>
          <w:color w:val="auto"/>
          <w:sz w:val="24"/>
        </w:rPr>
      </w:pPr>
      <w:r w:rsidRPr="00E22714">
        <w:rPr>
          <w:rFonts w:ascii="Times New Roman" w:hAnsi="Times New Roman" w:cs="Times New Roman"/>
          <w:b/>
          <w:color w:val="auto"/>
          <w:sz w:val="24"/>
        </w:rPr>
        <w:t xml:space="preserve">Abstract </w:t>
      </w:r>
    </w:p>
    <w:p w14:paraId="544B3590" w14:textId="77777777" w:rsidR="00D80E19" w:rsidRPr="00E22714" w:rsidRDefault="00D80E19" w:rsidP="00E22714">
      <w:pPr>
        <w:spacing w:line="240" w:lineRule="auto"/>
        <w:rPr>
          <w:rFonts w:ascii="Times New Roman" w:hAnsi="Times New Roman" w:cs="Times New Roman"/>
        </w:rPr>
      </w:pPr>
    </w:p>
    <w:p w14:paraId="56DA7DB1" w14:textId="77777777" w:rsidR="00776936" w:rsidRPr="00E22714" w:rsidRDefault="00776936" w:rsidP="00E22714">
      <w:pPr>
        <w:spacing w:line="240" w:lineRule="auto"/>
        <w:rPr>
          <w:rFonts w:ascii="Times New Roman" w:hAnsi="Times New Roman" w:cs="Times New Roman"/>
          <w:b/>
          <w:sz w:val="20"/>
        </w:rPr>
      </w:pPr>
      <w:r w:rsidRPr="00E22714">
        <w:rPr>
          <w:rFonts w:ascii="Times New Roman" w:hAnsi="Times New Roman" w:cs="Times New Roman"/>
          <w:b/>
          <w:sz w:val="20"/>
        </w:rPr>
        <w:t>Background</w:t>
      </w:r>
    </w:p>
    <w:p w14:paraId="1714D2F5" w14:textId="52FDFD6B" w:rsidR="00776936" w:rsidRPr="00E22714" w:rsidRDefault="00776936" w:rsidP="00E22714">
      <w:pPr>
        <w:spacing w:line="240" w:lineRule="auto"/>
        <w:rPr>
          <w:rFonts w:ascii="Times New Roman" w:hAnsi="Times New Roman" w:cs="Times New Roman"/>
          <w:sz w:val="20"/>
          <w:szCs w:val="20"/>
        </w:rPr>
      </w:pPr>
      <w:r w:rsidRPr="00E22714">
        <w:rPr>
          <w:rFonts w:ascii="Times New Roman" w:hAnsi="Times New Roman" w:cs="Times New Roman"/>
          <w:sz w:val="20"/>
          <w:szCs w:val="20"/>
        </w:rPr>
        <w:t xml:space="preserve">All-cause age-specific mortality </w:t>
      </w:r>
      <w:r w:rsidR="00436D09" w:rsidRPr="00E22714">
        <w:rPr>
          <w:rFonts w:ascii="Times New Roman" w:hAnsi="Times New Roman" w:cs="Times New Roman"/>
          <w:sz w:val="20"/>
          <w:szCs w:val="20"/>
        </w:rPr>
        <w:t>has</w:t>
      </w:r>
      <w:r w:rsidRPr="00E22714">
        <w:rPr>
          <w:rFonts w:ascii="Times New Roman" w:hAnsi="Times New Roman" w:cs="Times New Roman"/>
          <w:sz w:val="20"/>
          <w:szCs w:val="20"/>
        </w:rPr>
        <w:t xml:space="preserve"> </w:t>
      </w:r>
      <w:r w:rsidR="00E6003F" w:rsidRPr="00E22714">
        <w:rPr>
          <w:rFonts w:ascii="Times New Roman" w:hAnsi="Times New Roman" w:cs="Times New Roman"/>
          <w:sz w:val="20"/>
          <w:szCs w:val="20"/>
        </w:rPr>
        <w:t>been falling</w:t>
      </w:r>
      <w:r w:rsidR="000B27ED" w:rsidRPr="00E22714">
        <w:rPr>
          <w:rFonts w:ascii="Times New Roman" w:hAnsi="Times New Roman" w:cs="Times New Roman"/>
          <w:sz w:val="20"/>
          <w:szCs w:val="20"/>
        </w:rPr>
        <w:t xml:space="preserve"> </w:t>
      </w:r>
      <w:r w:rsidRPr="00E22714">
        <w:rPr>
          <w:rFonts w:ascii="Times New Roman" w:hAnsi="Times New Roman" w:cs="Times New Roman"/>
          <w:sz w:val="20"/>
          <w:szCs w:val="20"/>
        </w:rPr>
        <w:t xml:space="preserve">in England &amp; Wales for more than a century. The period 2008-2015 has seen both a global recession and an ‘austerity’ agenda of reduced investment in public services. </w:t>
      </w:r>
      <w:commentRangeStart w:id="0"/>
      <w:r w:rsidR="00E273AE" w:rsidRPr="00E22714">
        <w:rPr>
          <w:rFonts w:ascii="Times New Roman" w:hAnsi="Times New Roman" w:cs="Times New Roman"/>
          <w:sz w:val="20"/>
          <w:szCs w:val="20"/>
        </w:rPr>
        <w:t>Death rates amongst the elderly have increased in this period, reversing the long-term trends.</w:t>
      </w:r>
      <w:commentRangeEnd w:id="0"/>
      <w:r w:rsidR="000B273E" w:rsidRPr="00E22714">
        <w:rPr>
          <w:rStyle w:val="CommentReference"/>
          <w:rFonts w:ascii="Times New Roman" w:hAnsi="Times New Roman" w:cs="Times New Roman"/>
          <w:sz w:val="20"/>
          <w:szCs w:val="20"/>
        </w:rPr>
        <w:commentReference w:id="0"/>
      </w:r>
    </w:p>
    <w:p w14:paraId="14EDCAD0" w14:textId="77777777" w:rsidR="00776936" w:rsidRPr="00E22714" w:rsidRDefault="00776936" w:rsidP="00E22714">
      <w:pPr>
        <w:spacing w:line="240" w:lineRule="auto"/>
        <w:rPr>
          <w:rFonts w:ascii="Times New Roman" w:hAnsi="Times New Roman" w:cs="Times New Roman"/>
          <w:b/>
          <w:sz w:val="20"/>
        </w:rPr>
      </w:pPr>
      <w:r w:rsidRPr="00E22714">
        <w:rPr>
          <w:rFonts w:ascii="Times New Roman" w:hAnsi="Times New Roman" w:cs="Times New Roman"/>
          <w:b/>
          <w:sz w:val="20"/>
        </w:rPr>
        <w:t>Aim</w:t>
      </w:r>
    </w:p>
    <w:p w14:paraId="018A3DD2" w14:textId="74EFC543" w:rsidR="00776936" w:rsidRPr="00E22714" w:rsidRDefault="00E273AE"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To quantify the level of ‘excess deaths’ over the period 2010-2015 in England &amp; Wales by comparing actual age-specific death rates in each year against modelled estimates if previous mortality improvements had continued. </w:t>
      </w:r>
    </w:p>
    <w:p w14:paraId="2F7253DE" w14:textId="77777777" w:rsidR="00776936" w:rsidRPr="00E22714" w:rsidRDefault="00776936" w:rsidP="00E22714">
      <w:pPr>
        <w:spacing w:line="240" w:lineRule="auto"/>
        <w:rPr>
          <w:rFonts w:ascii="Times New Roman" w:hAnsi="Times New Roman" w:cs="Times New Roman"/>
          <w:b/>
          <w:sz w:val="20"/>
        </w:rPr>
      </w:pPr>
      <w:r w:rsidRPr="00E22714">
        <w:rPr>
          <w:rFonts w:ascii="Times New Roman" w:hAnsi="Times New Roman" w:cs="Times New Roman"/>
          <w:b/>
          <w:sz w:val="20"/>
        </w:rPr>
        <w:t xml:space="preserve">Methods </w:t>
      </w:r>
    </w:p>
    <w:p w14:paraId="5008366D" w14:textId="2D6FA1EA" w:rsidR="00776936" w:rsidRPr="00E22714" w:rsidRDefault="00776936"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Office for National Statistics data on population counts and death counts at each age in single years were used to construct </w:t>
      </w:r>
      <w:r w:rsidR="000B27ED" w:rsidRPr="00E22714">
        <w:rPr>
          <w:rFonts w:ascii="Times New Roman" w:hAnsi="Times New Roman" w:cs="Times New Roman"/>
          <w:sz w:val="20"/>
        </w:rPr>
        <w:t>projections</w:t>
      </w:r>
      <w:r w:rsidRPr="00E22714">
        <w:rPr>
          <w:rFonts w:ascii="Times New Roman" w:hAnsi="Times New Roman" w:cs="Times New Roman"/>
          <w:sz w:val="20"/>
        </w:rPr>
        <w:t xml:space="preserve"> of mortality risk </w:t>
      </w:r>
      <w:r w:rsidR="00436D09" w:rsidRPr="00E22714">
        <w:rPr>
          <w:rFonts w:ascii="Times New Roman" w:hAnsi="Times New Roman" w:cs="Times New Roman"/>
          <w:sz w:val="20"/>
        </w:rPr>
        <w:t xml:space="preserve">per </w:t>
      </w:r>
      <w:r w:rsidRPr="00E22714">
        <w:rPr>
          <w:rFonts w:ascii="Times New Roman" w:hAnsi="Times New Roman" w:cs="Times New Roman"/>
          <w:sz w:val="20"/>
        </w:rPr>
        <w:t xml:space="preserve">year </w:t>
      </w:r>
      <w:r w:rsidR="000B27ED" w:rsidRPr="00E22714">
        <w:rPr>
          <w:rFonts w:ascii="Times New Roman" w:hAnsi="Times New Roman" w:cs="Times New Roman"/>
          <w:sz w:val="20"/>
        </w:rPr>
        <w:t>based on the trend</w:t>
      </w:r>
      <w:r w:rsidRPr="00E22714">
        <w:rPr>
          <w:rFonts w:ascii="Times New Roman" w:hAnsi="Times New Roman" w:cs="Times New Roman"/>
          <w:sz w:val="20"/>
        </w:rPr>
        <w:t xml:space="preserve"> from 1990 to 2010. </w:t>
      </w:r>
      <w:r w:rsidR="00014B1F" w:rsidRPr="00E22714">
        <w:rPr>
          <w:rFonts w:ascii="Times New Roman" w:hAnsi="Times New Roman" w:cs="Times New Roman"/>
          <w:sz w:val="20"/>
        </w:rPr>
        <w:t xml:space="preserve">Actual mortality risks were compared with estimated risks over 2011-2015 to produce estimates of ‘excess deaths’ in each year by ages 50, 70 and 89 years. </w:t>
      </w:r>
    </w:p>
    <w:p w14:paraId="661CE393" w14:textId="77777777" w:rsidR="00776936" w:rsidRPr="00E22714" w:rsidRDefault="00776936" w:rsidP="00E22714">
      <w:pPr>
        <w:spacing w:line="240" w:lineRule="auto"/>
        <w:rPr>
          <w:rFonts w:ascii="Times New Roman" w:hAnsi="Times New Roman" w:cs="Times New Roman"/>
          <w:b/>
          <w:sz w:val="20"/>
        </w:rPr>
      </w:pPr>
      <w:r w:rsidRPr="00E22714">
        <w:rPr>
          <w:rFonts w:ascii="Times New Roman" w:hAnsi="Times New Roman" w:cs="Times New Roman"/>
          <w:b/>
          <w:sz w:val="20"/>
        </w:rPr>
        <w:t xml:space="preserve">Results </w:t>
      </w:r>
    </w:p>
    <w:p w14:paraId="7D537D2D" w14:textId="2EA34A2D" w:rsidR="00776936" w:rsidRPr="00E22714" w:rsidRDefault="00223EF3" w:rsidP="00E22714">
      <w:pPr>
        <w:spacing w:line="240" w:lineRule="auto"/>
        <w:rPr>
          <w:rFonts w:ascii="Times New Roman" w:hAnsi="Times New Roman" w:cs="Times New Roman"/>
          <w:sz w:val="20"/>
        </w:rPr>
      </w:pPr>
      <w:r w:rsidRPr="00E22714">
        <w:rPr>
          <w:rFonts w:ascii="Times New Roman" w:hAnsi="Times New Roman" w:cs="Times New Roman"/>
          <w:sz w:val="20"/>
        </w:rPr>
        <w:t>Between 2010 and 2015 there were</w:t>
      </w:r>
      <w:r w:rsidR="00830A6C" w:rsidRPr="00E22714">
        <w:rPr>
          <w:rFonts w:ascii="Times New Roman" w:hAnsi="Times New Roman" w:cs="Times New Roman"/>
          <w:sz w:val="20"/>
        </w:rPr>
        <w:t xml:space="preserve"> almost 32,000 more deaths up to the age of 89 years than would have been expected from </w:t>
      </w:r>
      <w:r w:rsidRPr="00E22714">
        <w:rPr>
          <w:rFonts w:ascii="Times New Roman" w:hAnsi="Times New Roman" w:cs="Times New Roman"/>
          <w:sz w:val="20"/>
        </w:rPr>
        <w:t>prior trends</w:t>
      </w:r>
      <w:r w:rsidR="00830A6C" w:rsidRPr="00E22714">
        <w:rPr>
          <w:rFonts w:ascii="Times New Roman" w:hAnsi="Times New Roman" w:cs="Times New Roman"/>
          <w:sz w:val="20"/>
        </w:rPr>
        <w:t xml:space="preserve">. </w:t>
      </w:r>
      <w:r w:rsidRPr="00E22714">
        <w:rPr>
          <w:rFonts w:ascii="Times New Roman" w:hAnsi="Times New Roman" w:cs="Times New Roman"/>
          <w:sz w:val="20"/>
        </w:rPr>
        <w:t>E</w:t>
      </w:r>
      <w:r w:rsidR="00830A6C" w:rsidRPr="00E22714">
        <w:rPr>
          <w:rFonts w:ascii="Times New Roman" w:hAnsi="Times New Roman" w:cs="Times New Roman"/>
          <w:sz w:val="20"/>
        </w:rPr>
        <w:t>xcess elderly deaths</w:t>
      </w:r>
      <w:r w:rsidRPr="00E22714">
        <w:rPr>
          <w:rFonts w:ascii="Times New Roman" w:hAnsi="Times New Roman" w:cs="Times New Roman"/>
          <w:sz w:val="20"/>
        </w:rPr>
        <w:t xml:space="preserve"> (</w:t>
      </w:r>
      <w:r w:rsidR="00420F9A" w:rsidRPr="00E22714">
        <w:rPr>
          <w:rFonts w:ascii="Times New Roman" w:hAnsi="Times New Roman" w:cs="Times New Roman"/>
          <w:sz w:val="20"/>
        </w:rPr>
        <w:t>up to age 89 years</w:t>
      </w:r>
      <w:r w:rsidRPr="00E22714">
        <w:rPr>
          <w:rFonts w:ascii="Times New Roman" w:hAnsi="Times New Roman" w:cs="Times New Roman"/>
          <w:sz w:val="20"/>
        </w:rPr>
        <w:t>)</w:t>
      </w:r>
      <w:r w:rsidR="00830A6C" w:rsidRPr="00E22714">
        <w:rPr>
          <w:rFonts w:ascii="Times New Roman" w:hAnsi="Times New Roman" w:cs="Times New Roman"/>
          <w:sz w:val="20"/>
        </w:rPr>
        <w:t xml:space="preserve"> increased sharply after 2011, with 42,018 more deaths than expected occurring between 2012 and 2015. </w:t>
      </w:r>
    </w:p>
    <w:p w14:paraId="06F63471" w14:textId="77777777" w:rsidR="00776936" w:rsidRPr="00E22714" w:rsidRDefault="00776936" w:rsidP="00E22714">
      <w:pPr>
        <w:spacing w:line="240" w:lineRule="auto"/>
        <w:rPr>
          <w:rFonts w:ascii="Times New Roman" w:hAnsi="Times New Roman" w:cs="Times New Roman"/>
          <w:b/>
          <w:sz w:val="20"/>
        </w:rPr>
      </w:pPr>
      <w:r w:rsidRPr="00E22714">
        <w:rPr>
          <w:rFonts w:ascii="Times New Roman" w:hAnsi="Times New Roman" w:cs="Times New Roman"/>
          <w:b/>
          <w:sz w:val="20"/>
        </w:rPr>
        <w:t xml:space="preserve">Discussion </w:t>
      </w:r>
    </w:p>
    <w:p w14:paraId="2E4687BA" w14:textId="1B77C56B" w:rsidR="00776936" w:rsidRPr="00E22714" w:rsidRDefault="00776936"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Falling levels of investment in social and health care services in England &amp; Wales since 2010 may be responsible for mortality rates at older ages either increasing or falling more slowly than would have been expected if previous improvements had continued. Mortality for males was improving rapidly before 2010 so had that trend continued many </w:t>
      </w:r>
      <w:r w:rsidR="00E6003F" w:rsidRPr="00E22714">
        <w:rPr>
          <w:rFonts w:ascii="Times New Roman" w:hAnsi="Times New Roman" w:cs="Times New Roman"/>
          <w:sz w:val="20"/>
        </w:rPr>
        <w:t xml:space="preserve">more </w:t>
      </w:r>
      <w:r w:rsidRPr="00E22714">
        <w:rPr>
          <w:rFonts w:ascii="Times New Roman" w:hAnsi="Times New Roman" w:cs="Times New Roman"/>
          <w:sz w:val="20"/>
        </w:rPr>
        <w:t xml:space="preserve">men would have been alive </w:t>
      </w:r>
      <w:r w:rsidR="00E273AE" w:rsidRPr="00E22714">
        <w:rPr>
          <w:rFonts w:ascii="Times New Roman" w:hAnsi="Times New Roman" w:cs="Times New Roman"/>
          <w:sz w:val="20"/>
        </w:rPr>
        <w:t xml:space="preserve">at older ages </w:t>
      </w:r>
      <w:r w:rsidRPr="00E22714">
        <w:rPr>
          <w:rFonts w:ascii="Times New Roman" w:hAnsi="Times New Roman" w:cs="Times New Roman"/>
          <w:sz w:val="20"/>
        </w:rPr>
        <w:t>by 2015. The actual rise in mortality was greater for older women.</w:t>
      </w:r>
    </w:p>
    <w:p w14:paraId="6452C46E" w14:textId="77777777" w:rsidR="00D80E19" w:rsidRPr="00E22714" w:rsidRDefault="00D80E19" w:rsidP="00E22714">
      <w:pPr>
        <w:spacing w:line="240" w:lineRule="auto"/>
        <w:rPr>
          <w:rFonts w:ascii="Times New Roman" w:eastAsiaTheme="majorEastAsia" w:hAnsi="Times New Roman" w:cs="Times New Roman"/>
          <w:color w:val="2E74B5" w:themeColor="accent1" w:themeShade="BF"/>
          <w:sz w:val="32"/>
          <w:szCs w:val="32"/>
        </w:rPr>
      </w:pPr>
    </w:p>
    <w:p w14:paraId="5646981C" w14:textId="77777777" w:rsidR="00D80E19" w:rsidRPr="00E22714" w:rsidRDefault="00D80E19" w:rsidP="00E22714">
      <w:pPr>
        <w:spacing w:line="240" w:lineRule="auto"/>
        <w:rPr>
          <w:rFonts w:ascii="Times New Roman" w:eastAsiaTheme="majorEastAsia" w:hAnsi="Times New Roman" w:cs="Times New Roman"/>
          <w:color w:val="2E74B5" w:themeColor="accent1" w:themeShade="BF"/>
          <w:sz w:val="32"/>
          <w:szCs w:val="32"/>
        </w:rPr>
      </w:pPr>
      <w:r w:rsidRPr="00E22714">
        <w:rPr>
          <w:rFonts w:ascii="Times New Roman" w:hAnsi="Times New Roman" w:cs="Times New Roman"/>
        </w:rPr>
        <w:br w:type="page"/>
      </w:r>
    </w:p>
    <w:p w14:paraId="6D465671" w14:textId="77777777" w:rsidR="00D80E19" w:rsidRPr="00E22714" w:rsidRDefault="00D80E19" w:rsidP="00E22714">
      <w:pPr>
        <w:pStyle w:val="Heading1"/>
        <w:spacing w:line="240" w:lineRule="auto"/>
        <w:rPr>
          <w:rFonts w:ascii="Times New Roman" w:hAnsi="Times New Roman" w:cs="Times New Roman"/>
          <w:b/>
          <w:color w:val="auto"/>
          <w:sz w:val="24"/>
        </w:rPr>
      </w:pPr>
      <w:r w:rsidRPr="00E22714">
        <w:rPr>
          <w:rFonts w:ascii="Times New Roman" w:hAnsi="Times New Roman" w:cs="Times New Roman"/>
          <w:b/>
          <w:color w:val="auto"/>
          <w:sz w:val="24"/>
        </w:rPr>
        <w:lastRenderedPageBreak/>
        <w:t>Introduction</w:t>
      </w:r>
    </w:p>
    <w:p w14:paraId="3E6F18F3" w14:textId="77777777" w:rsidR="00C753FB" w:rsidRPr="00E22714" w:rsidRDefault="00B801AF"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 xml:space="preserve">Austerity and elderly mortality </w:t>
      </w:r>
    </w:p>
    <w:p w14:paraId="471CEB55" w14:textId="798CFA1F" w:rsidR="006112F4" w:rsidRPr="00E22714" w:rsidRDefault="00E3557A"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Recently, there has been growing evidence of </w:t>
      </w:r>
      <w:r w:rsidR="001862B7" w:rsidRPr="00E22714">
        <w:rPr>
          <w:rFonts w:ascii="Times New Roman" w:hAnsi="Times New Roman" w:cs="Times New Roman"/>
          <w:sz w:val="20"/>
        </w:rPr>
        <w:t>the possible effects of austerity on elderly mortality</w:t>
      </w:r>
      <w:r w:rsidR="00CD5658" w:rsidRPr="00E22714">
        <w:rPr>
          <w:rFonts w:ascii="Times New Roman" w:hAnsi="Times New Roman" w:cs="Times New Roman"/>
          <w:sz w:val="20"/>
        </w:rPr>
        <w:t xml:space="preserve"> within the UK</w:t>
      </w:r>
      <w:r w:rsidR="001862B7" w:rsidRPr="00E22714">
        <w:rPr>
          <w:rFonts w:ascii="Times New Roman" w:hAnsi="Times New Roman" w:cs="Times New Roman"/>
          <w:sz w:val="20"/>
        </w:rPr>
        <w:t xml:space="preserve">. </w:t>
      </w:r>
      <w:r w:rsidRPr="00E22714">
        <w:rPr>
          <w:rFonts w:ascii="Times New Roman" w:hAnsi="Times New Roman" w:cs="Times New Roman"/>
          <w:sz w:val="20"/>
        </w:rPr>
        <w:t>One study</w:t>
      </w:r>
      <w:r w:rsidR="004C372C" w:rsidRPr="00E22714">
        <w:rPr>
          <w:rFonts w:ascii="Times New Roman" w:hAnsi="Times New Roman" w:cs="Times New Roman"/>
          <w:sz w:val="20"/>
        </w:rPr>
        <w:t xml:space="preserve"> explor</w:t>
      </w:r>
      <w:r w:rsidR="000B27ED" w:rsidRPr="00E22714">
        <w:rPr>
          <w:rFonts w:ascii="Times New Roman" w:hAnsi="Times New Roman" w:cs="Times New Roman"/>
          <w:sz w:val="20"/>
        </w:rPr>
        <w:t>ing</w:t>
      </w:r>
      <w:r w:rsidR="004C372C" w:rsidRPr="00E22714">
        <w:rPr>
          <w:rFonts w:ascii="Times New Roman" w:hAnsi="Times New Roman" w:cs="Times New Roman"/>
          <w:sz w:val="20"/>
        </w:rPr>
        <w:t xml:space="preserve"> the correlation between falls in Pension Credit and social care budgets in the UK, and changes in mortality rates in pensioners aged 85 years and older, found that each 1% fall in social care spending was associated with a statistically significant 0.08% rise in </w:t>
      </w:r>
      <w:r w:rsidR="00014B1F" w:rsidRPr="00E22714">
        <w:rPr>
          <w:rFonts w:ascii="Times New Roman" w:hAnsi="Times New Roman" w:cs="Times New Roman"/>
          <w:sz w:val="20"/>
        </w:rPr>
        <w:t xml:space="preserve">deaths in </w:t>
      </w:r>
      <w:r w:rsidR="007405AE" w:rsidRPr="00E22714">
        <w:rPr>
          <w:rFonts w:ascii="Times New Roman" w:hAnsi="Times New Roman" w:cs="Times New Roman"/>
          <w:sz w:val="20"/>
        </w:rPr>
        <w:t>this age group</w:t>
      </w:r>
      <w:r w:rsidR="004C372C" w:rsidRPr="00E22714">
        <w:rPr>
          <w:rFonts w:ascii="Times New Roman" w:hAnsi="Times New Roman" w:cs="Times New Roman"/>
          <w:sz w:val="20"/>
        </w:rPr>
        <w:t xml:space="preserve">, with similar but weaker rises in persons aged 75 to 84 years. </w:t>
      </w:r>
      <w:r w:rsidR="004C372C"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"mendeley" : { "formattedCitation" : "(1)", "plainTextFormattedCitation" : "(1)", "previouslyFormattedCitation" : "(1)" }, "properties" : { "noteIndex" : 0 }, "schema" : "https://github.com/citation-style-language/schema/raw/master/csl-citation.json" }</w:instrText>
      </w:r>
      <w:r w:rsidR="004C372C"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w:t>
      </w:r>
      <w:r w:rsidR="004C372C" w:rsidRPr="00E22714">
        <w:rPr>
          <w:rFonts w:ascii="Times New Roman" w:hAnsi="Times New Roman" w:cs="Times New Roman"/>
          <w:sz w:val="20"/>
        </w:rPr>
        <w:fldChar w:fldCharType="end"/>
      </w:r>
      <w:r w:rsidR="004C372C" w:rsidRPr="00E22714">
        <w:rPr>
          <w:rFonts w:ascii="Times New Roman" w:hAnsi="Times New Roman" w:cs="Times New Roman"/>
          <w:sz w:val="20"/>
        </w:rPr>
        <w:t xml:space="preserve"> Th</w:t>
      </w:r>
      <w:r w:rsidRPr="00E22714">
        <w:rPr>
          <w:rFonts w:ascii="Times New Roman" w:hAnsi="Times New Roman" w:cs="Times New Roman"/>
          <w:sz w:val="20"/>
        </w:rPr>
        <w:t>e</w:t>
      </w:r>
      <w:r w:rsidR="004C372C" w:rsidRPr="00E22714">
        <w:rPr>
          <w:rFonts w:ascii="Times New Roman" w:hAnsi="Times New Roman" w:cs="Times New Roman"/>
          <w:sz w:val="20"/>
        </w:rPr>
        <w:t xml:space="preserve"> focus on elderly mortality was prompted by a 2014 </w:t>
      </w:r>
      <w:r w:rsidR="004C372C" w:rsidRPr="00E22714">
        <w:rPr>
          <w:rFonts w:ascii="Times New Roman" w:hAnsi="Times New Roman" w:cs="Times New Roman"/>
          <w:i/>
          <w:sz w:val="20"/>
        </w:rPr>
        <w:t>New Statesman</w:t>
      </w:r>
      <w:r w:rsidR="004C372C" w:rsidRPr="00E22714">
        <w:rPr>
          <w:rFonts w:ascii="Times New Roman" w:hAnsi="Times New Roman" w:cs="Times New Roman"/>
          <w:sz w:val="20"/>
        </w:rPr>
        <w:t xml:space="preserve"> </w:t>
      </w:r>
      <w:r w:rsidR="00E6003F" w:rsidRPr="00E22714">
        <w:rPr>
          <w:rFonts w:ascii="Times New Roman" w:hAnsi="Times New Roman" w:cs="Times New Roman"/>
          <w:sz w:val="20"/>
        </w:rPr>
        <w:t xml:space="preserve">article </w:t>
      </w:r>
      <w:r w:rsidR="004C372C" w:rsidRPr="00E22714">
        <w:rPr>
          <w:rFonts w:ascii="Times New Roman" w:hAnsi="Times New Roman" w:cs="Times New Roman"/>
          <w:sz w:val="20"/>
        </w:rPr>
        <w:t xml:space="preserve">commenting on </w:t>
      </w:r>
      <w:r w:rsidR="0080204B" w:rsidRPr="00E22714">
        <w:rPr>
          <w:rFonts w:ascii="Times New Roman" w:hAnsi="Times New Roman" w:cs="Times New Roman"/>
          <w:sz w:val="20"/>
        </w:rPr>
        <w:t xml:space="preserve">provisional estimates by Public Health England, </w:t>
      </w:r>
      <w:r w:rsidR="004B259F" w:rsidRPr="00E22714">
        <w:rPr>
          <w:rFonts w:ascii="Times New Roman" w:hAnsi="Times New Roman" w:cs="Times New Roman"/>
          <w:sz w:val="20"/>
        </w:rPr>
        <w:t xml:space="preserve">leaked in the online Health Services Journal in 2014, </w:t>
      </w:r>
      <w:r w:rsidR="004C372C" w:rsidRPr="00E22714">
        <w:rPr>
          <w:rFonts w:ascii="Times New Roman" w:hAnsi="Times New Roman" w:cs="Times New Roman"/>
          <w:sz w:val="20"/>
        </w:rPr>
        <w:t xml:space="preserve">of </w:t>
      </w:r>
      <w:r w:rsidR="0080204B" w:rsidRPr="00E22714">
        <w:rPr>
          <w:rFonts w:ascii="Times New Roman" w:hAnsi="Times New Roman" w:cs="Times New Roman"/>
          <w:sz w:val="20"/>
        </w:rPr>
        <w:t xml:space="preserve">deaths amongst over 75s in England, suggesting increased </w:t>
      </w:r>
      <w:r w:rsidR="00E6003F" w:rsidRPr="00E22714">
        <w:rPr>
          <w:rFonts w:ascii="Times New Roman" w:hAnsi="Times New Roman" w:cs="Times New Roman"/>
          <w:sz w:val="20"/>
        </w:rPr>
        <w:t>mortality</w:t>
      </w:r>
      <w:r w:rsidR="00F725D4" w:rsidRPr="00E22714">
        <w:rPr>
          <w:rFonts w:ascii="Times New Roman" w:hAnsi="Times New Roman" w:cs="Times New Roman"/>
          <w:sz w:val="20"/>
        </w:rPr>
        <w:t xml:space="preserve"> </w:t>
      </w:r>
      <w:r w:rsidR="0080204B" w:rsidRPr="00E22714">
        <w:rPr>
          <w:rFonts w:ascii="Times New Roman" w:hAnsi="Times New Roman" w:cs="Times New Roman"/>
          <w:sz w:val="20"/>
        </w:rPr>
        <w:t xml:space="preserve">in both 2012 and 2013. </w:t>
      </w:r>
      <w:r w:rsidR="0080204B"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"Dorling", "given" : "D", "non-dropping-particle" : "", "parse-names" : false, "suffix" : "" } ], "container-title" : "New Statesman", "id" : "ITEM-1", "issued" : { "date-parts" : [ [ "2014" ] ] }, "page" : "34-38", "title" : "Why are old people in Britain dying before their time?", "type" : "article-magazine" }, "uris" : [ "http://www.mendeley.com/documents/?uuid=03289df0-c8be-4e03-a854-b5ac901c4612" ] } ], "mendeley" : { "formattedCitation" : "(2)", "plainTextFormattedCitation" : "(2)", "previouslyFormattedCitation" : "(2)" }, "properties" : { "noteIndex" : 0 }, "schema" : "https://github.com/citation-style-language/schema/raw/master/csl-citation.json" }</w:instrText>
      </w:r>
      <w:r w:rsidR="0080204B"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(2)</w:t>
      </w:r>
      <w:r w:rsidR="0080204B" w:rsidRPr="00E22714">
        <w:rPr>
          <w:rFonts w:ascii="Times New Roman" w:hAnsi="Times New Roman" w:cs="Times New Roman"/>
          <w:sz w:val="20"/>
        </w:rPr>
        <w:fldChar w:fldCharType="end"/>
      </w:r>
      <w:r w:rsidR="0080204B" w:rsidRPr="00E22714">
        <w:rPr>
          <w:rFonts w:ascii="Times New Roman" w:hAnsi="Times New Roman" w:cs="Times New Roman"/>
          <w:sz w:val="20"/>
        </w:rPr>
        <w:t xml:space="preserve"> </w:t>
      </w:r>
    </w:p>
    <w:p w14:paraId="3B7CF98A" w14:textId="270DC04B" w:rsidR="009C6742" w:rsidRPr="00E22714" w:rsidRDefault="00E6003F" w:rsidP="00E22714">
      <w:pPr>
        <w:spacing w:line="240" w:lineRule="auto"/>
        <w:rPr>
          <w:rFonts w:ascii="Times New Roman" w:hAnsi="Times New Roman" w:cs="Times New Roman"/>
          <w:sz w:val="20"/>
        </w:rPr>
      </w:pPr>
      <w:r w:rsidRPr="00E22714">
        <w:rPr>
          <w:rFonts w:ascii="Times New Roman" w:hAnsi="Times New Roman" w:cs="Times New Roman"/>
          <w:sz w:val="20"/>
        </w:rPr>
        <w:t>A 2015</w:t>
      </w:r>
      <w:r w:rsidR="0080204B" w:rsidRPr="00E22714">
        <w:rPr>
          <w:rFonts w:ascii="Times New Roman" w:hAnsi="Times New Roman" w:cs="Times New Roman"/>
          <w:sz w:val="20"/>
        </w:rPr>
        <w:t xml:space="preserve"> Public Health England report considered three possible explanations for the tre</w:t>
      </w:r>
      <w:r w:rsidRPr="00E22714">
        <w:rPr>
          <w:rFonts w:ascii="Times New Roman" w:hAnsi="Times New Roman" w:cs="Times New Roman"/>
          <w:sz w:val="20"/>
        </w:rPr>
        <w:t>nds</w:t>
      </w:r>
      <w:r w:rsidR="0080204B" w:rsidRPr="00E22714">
        <w:rPr>
          <w:rFonts w:ascii="Times New Roman" w:hAnsi="Times New Roman" w:cs="Times New Roman"/>
          <w:sz w:val="20"/>
        </w:rPr>
        <w:t>: influenza, cold weather, and statistical artefact.</w:t>
      </w:r>
      <w:r w:rsidR="00F95600" w:rsidRPr="00E22714">
        <w:rPr>
          <w:rFonts w:ascii="Times New Roman" w:hAnsi="Times New Roman" w:cs="Times New Roman"/>
          <w:sz w:val="20"/>
        </w:rPr>
        <w:t xml:space="preserve"> </w:t>
      </w:r>
      <w:r w:rsidR="00F95600"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"Public Health England", "given" : "", "non-dropping-particle" : "", "parse-names" : false, "suffix" : "" } ], "id" : "ITEM-1", "issued" : { "date-parts" : [ [ "2015" ] ] }, "publisher-place" : "London", "title" : "Recent trends in life expectancy at older ages", "type" : "report" }, "uris" : [ "http://www.mendeley.com/documents/?uuid=9c1150bc-0eec-4f35-9ea0-0eb08aab782b" ] } ], "mendeley" : { "formattedCitation" : "(3)", "plainTextFormattedCitation" : "(3)", "previouslyFormattedCitation" : "(3)" }, "properties" : { "noteIndex" : 0 }, "schema" : "https://github.com/citation-style-language/schema/raw/master/csl-citation.json" }</w:instrText>
      </w:r>
      <w:r w:rsidR="00F95600"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(3)</w:t>
      </w:r>
      <w:r w:rsidR="00F95600" w:rsidRPr="00E22714">
        <w:rPr>
          <w:rFonts w:ascii="Times New Roman" w:hAnsi="Times New Roman" w:cs="Times New Roman"/>
          <w:sz w:val="20"/>
        </w:rPr>
        <w:fldChar w:fldCharType="end"/>
      </w:r>
      <w:r w:rsidR="0080204B" w:rsidRPr="00E22714">
        <w:rPr>
          <w:rFonts w:ascii="Times New Roman" w:hAnsi="Times New Roman" w:cs="Times New Roman"/>
          <w:sz w:val="20"/>
        </w:rPr>
        <w:t xml:space="preserve"> </w:t>
      </w:r>
      <w:r w:rsidR="00F95600" w:rsidRPr="00E22714">
        <w:rPr>
          <w:rFonts w:ascii="Times New Roman" w:hAnsi="Times New Roman" w:cs="Times New Roman"/>
          <w:sz w:val="20"/>
        </w:rPr>
        <w:t xml:space="preserve">If either influenza or cold weather were the main causes of these rises then the following </w:t>
      </w:r>
      <w:r w:rsidRPr="00E22714">
        <w:rPr>
          <w:rFonts w:ascii="Times New Roman" w:hAnsi="Times New Roman" w:cs="Times New Roman"/>
          <w:sz w:val="20"/>
        </w:rPr>
        <w:t>would</w:t>
      </w:r>
      <w:r w:rsidR="00F95600" w:rsidRPr="00E22714">
        <w:rPr>
          <w:rFonts w:ascii="Times New Roman" w:hAnsi="Times New Roman" w:cs="Times New Roman"/>
          <w:sz w:val="20"/>
        </w:rPr>
        <w:t xml:space="preserve"> be expected: firstly, the mortality rate rises would be spatially patterned, and secondly the rises would be a ‘blip’ associated with </w:t>
      </w:r>
      <w:r w:rsidRPr="00E22714">
        <w:rPr>
          <w:rFonts w:ascii="Times New Roman" w:hAnsi="Times New Roman" w:cs="Times New Roman"/>
          <w:sz w:val="20"/>
        </w:rPr>
        <w:t>particular</w:t>
      </w:r>
      <w:r w:rsidR="00F95600" w:rsidRPr="00E22714">
        <w:rPr>
          <w:rFonts w:ascii="Times New Roman" w:hAnsi="Times New Roman" w:cs="Times New Roman"/>
          <w:sz w:val="20"/>
        </w:rPr>
        <w:t xml:space="preserve"> year</w:t>
      </w:r>
      <w:r w:rsidRPr="00E22714">
        <w:rPr>
          <w:rFonts w:ascii="Times New Roman" w:hAnsi="Times New Roman" w:cs="Times New Roman"/>
          <w:sz w:val="20"/>
        </w:rPr>
        <w:t>s</w:t>
      </w:r>
      <w:r w:rsidR="00F95600" w:rsidRPr="00E22714">
        <w:rPr>
          <w:rFonts w:ascii="Times New Roman" w:hAnsi="Times New Roman" w:cs="Times New Roman"/>
          <w:sz w:val="20"/>
        </w:rPr>
        <w:t xml:space="preserve"> rather than </w:t>
      </w:r>
      <w:r w:rsidRPr="00E22714">
        <w:rPr>
          <w:rFonts w:ascii="Times New Roman" w:hAnsi="Times New Roman" w:cs="Times New Roman"/>
          <w:sz w:val="20"/>
        </w:rPr>
        <w:t>a trend</w:t>
      </w:r>
      <w:r w:rsidR="00F95600" w:rsidRPr="00E22714">
        <w:rPr>
          <w:rFonts w:ascii="Times New Roman" w:hAnsi="Times New Roman" w:cs="Times New Roman"/>
          <w:sz w:val="20"/>
        </w:rPr>
        <w:t xml:space="preserve">. </w:t>
      </w:r>
      <w:r w:rsidR="009B47F3" w:rsidRPr="00E22714">
        <w:rPr>
          <w:rFonts w:ascii="Times New Roman" w:hAnsi="Times New Roman" w:cs="Times New Roman"/>
          <w:sz w:val="20"/>
        </w:rPr>
        <w:t>Preliminary analysis has found no e</w:t>
      </w:r>
      <w:r w:rsidR="00091E17" w:rsidRPr="00E22714">
        <w:rPr>
          <w:rFonts w:ascii="Times New Roman" w:hAnsi="Times New Roman" w:cs="Times New Roman"/>
          <w:sz w:val="20"/>
        </w:rPr>
        <w:t>vidence of spatial patterning</w:t>
      </w:r>
      <w:r w:rsidR="00A20A14" w:rsidRPr="00E22714">
        <w:rPr>
          <w:rFonts w:ascii="Times New Roman" w:hAnsi="Times New Roman" w:cs="Times New Roman"/>
          <w:sz w:val="20"/>
        </w:rPr>
        <w:t>.</w:t>
      </w:r>
      <w:r w:rsidR="00091E17" w:rsidRPr="00E22714">
        <w:rPr>
          <w:rFonts w:ascii="Times New Roman" w:hAnsi="Times New Roman" w:cs="Times New Roman"/>
          <w:sz w:val="20"/>
        </w:rPr>
        <w:t xml:space="preserve"> </w:t>
      </w:r>
      <w:r w:rsidR="00A20A14"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"(1,4)", "plainTextFormattedCitation" : "(1,4)", "previouslyFormattedCitation" : "(1,4)" }, "properties" : { "noteIndex" : 0 }, "schema" : "https://github.com/citation-style-language/schema/raw/master/csl-citation.json" }</w:instrText>
      </w:r>
      <w:r w:rsidR="00A20A14"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(1,4)</w:t>
      </w:r>
      <w:r w:rsidR="00A20A14" w:rsidRPr="00E22714">
        <w:rPr>
          <w:rFonts w:ascii="Times New Roman" w:hAnsi="Times New Roman" w:cs="Times New Roman"/>
          <w:sz w:val="20"/>
        </w:rPr>
        <w:fldChar w:fldCharType="end"/>
      </w:r>
      <w:r w:rsidR="00A20A14" w:rsidRPr="00E22714">
        <w:rPr>
          <w:rFonts w:ascii="Times New Roman" w:hAnsi="Times New Roman" w:cs="Times New Roman"/>
          <w:sz w:val="20"/>
        </w:rPr>
        <w:t xml:space="preserve"> Artefactual explanations could relate to aggregation biases caused by inadequately controlling for changes in age-composition within an age group</w:t>
      </w:r>
      <w:r w:rsidR="00436D09" w:rsidRPr="00E22714">
        <w:rPr>
          <w:rFonts w:ascii="Times New Roman" w:hAnsi="Times New Roman" w:cs="Times New Roman"/>
          <w:sz w:val="20"/>
        </w:rPr>
        <w:t>,</w:t>
      </w:r>
      <w:r w:rsidR="00CD5658" w:rsidRPr="00E22714">
        <w:rPr>
          <w:rFonts w:ascii="Times New Roman" w:hAnsi="Times New Roman" w:cs="Times New Roman"/>
          <w:sz w:val="20"/>
        </w:rPr>
        <w:t xml:space="preserve"> such as those witnessed in a recent high profile </w:t>
      </w:r>
      <w:r w:rsidR="00EF02BD" w:rsidRPr="00E22714">
        <w:rPr>
          <w:rFonts w:ascii="Times New Roman" w:hAnsi="Times New Roman" w:cs="Times New Roman"/>
          <w:sz w:val="20"/>
        </w:rPr>
        <w:t>paper describing</w:t>
      </w:r>
      <w:r w:rsidR="00CD5658" w:rsidRPr="00E22714">
        <w:rPr>
          <w:rFonts w:ascii="Times New Roman" w:hAnsi="Times New Roman" w:cs="Times New Roman"/>
          <w:sz w:val="20"/>
        </w:rPr>
        <w:t xml:space="preserve"> rising middle aged mortality rates in the US</w:t>
      </w:r>
      <w:r w:rsidR="006112F4" w:rsidRPr="00E22714">
        <w:rPr>
          <w:rFonts w:ascii="Times New Roman" w:hAnsi="Times New Roman" w:cs="Times New Roman"/>
          <w:sz w:val="20"/>
        </w:rPr>
        <w:t xml:space="preserve">. </w:t>
      </w:r>
      <w:r w:rsidR="006112F4"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"(5)", "plainTextFormattedCitation" : "(5)", "previouslyFormattedCitation" : "(5)" }, "properties" : { "noteIndex" : 0 }, "schema" : "https://github.com/citation-style-language/schema/raw/master/csl-citation.json" }</w:instrText>
      </w:r>
      <w:r w:rsidR="006112F4"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(5)</w:t>
      </w:r>
      <w:r w:rsidR="006112F4" w:rsidRPr="00E22714">
        <w:rPr>
          <w:rFonts w:ascii="Times New Roman" w:hAnsi="Times New Roman" w:cs="Times New Roman"/>
          <w:sz w:val="20"/>
        </w:rPr>
        <w:fldChar w:fldCharType="end"/>
      </w:r>
      <w:r w:rsidR="00A20A14" w:rsidRPr="00E22714">
        <w:rPr>
          <w:rFonts w:ascii="Times New Roman" w:hAnsi="Times New Roman" w:cs="Times New Roman"/>
          <w:sz w:val="20"/>
        </w:rPr>
        <w:t xml:space="preserve"> </w:t>
      </w:r>
      <w:r w:rsidR="006112F4" w:rsidRPr="00E22714">
        <w:rPr>
          <w:rFonts w:ascii="Times New Roman" w:hAnsi="Times New Roman" w:cs="Times New Roman"/>
          <w:sz w:val="20"/>
        </w:rPr>
        <w:t xml:space="preserve">However, this </w:t>
      </w:r>
      <w:r w:rsidR="009B47F3" w:rsidRPr="00E22714">
        <w:rPr>
          <w:rFonts w:ascii="Times New Roman" w:hAnsi="Times New Roman" w:cs="Times New Roman"/>
          <w:sz w:val="20"/>
        </w:rPr>
        <w:t>cannot</w:t>
      </w:r>
      <w:r w:rsidR="006112F4" w:rsidRPr="00E22714">
        <w:rPr>
          <w:rFonts w:ascii="Times New Roman" w:hAnsi="Times New Roman" w:cs="Times New Roman"/>
          <w:sz w:val="20"/>
        </w:rPr>
        <w:t xml:space="preserve"> explain similar changes in multiple population </w:t>
      </w:r>
      <w:r w:rsidR="009C6742" w:rsidRPr="00E22714">
        <w:rPr>
          <w:rFonts w:ascii="Times New Roman" w:hAnsi="Times New Roman" w:cs="Times New Roman"/>
          <w:sz w:val="20"/>
        </w:rPr>
        <w:t xml:space="preserve">age </w:t>
      </w:r>
      <w:r w:rsidR="006112F4" w:rsidRPr="00E22714">
        <w:rPr>
          <w:rFonts w:ascii="Times New Roman" w:hAnsi="Times New Roman" w:cs="Times New Roman"/>
          <w:sz w:val="20"/>
        </w:rPr>
        <w:t xml:space="preserve">strata, such as multiple five or ten year age groups, occurring over the same time period, </w:t>
      </w:r>
      <w:r w:rsidR="00436D09" w:rsidRPr="00E22714">
        <w:rPr>
          <w:rFonts w:ascii="Times New Roman" w:hAnsi="Times New Roman" w:cs="Times New Roman"/>
          <w:sz w:val="20"/>
        </w:rPr>
        <w:t xml:space="preserve">as </w:t>
      </w:r>
      <w:r w:rsidR="006112F4" w:rsidRPr="00E22714">
        <w:rPr>
          <w:rFonts w:ascii="Times New Roman" w:hAnsi="Times New Roman" w:cs="Times New Roman"/>
          <w:sz w:val="20"/>
        </w:rPr>
        <w:t xml:space="preserve">have </w:t>
      </w:r>
      <w:r w:rsidR="009B47F3" w:rsidRPr="00E22714">
        <w:rPr>
          <w:rFonts w:ascii="Times New Roman" w:hAnsi="Times New Roman" w:cs="Times New Roman"/>
          <w:sz w:val="20"/>
        </w:rPr>
        <w:t xml:space="preserve">recently </w:t>
      </w:r>
      <w:r w:rsidR="006112F4" w:rsidRPr="00E22714">
        <w:rPr>
          <w:rFonts w:ascii="Times New Roman" w:hAnsi="Times New Roman" w:cs="Times New Roman"/>
          <w:sz w:val="20"/>
        </w:rPr>
        <w:t xml:space="preserve">been identified in English population records. </w:t>
      </w:r>
      <w:r w:rsidR="006112F4"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"10.1177/0141076816632215", "ISSN" : "0141-0768", "author" : [ { "dropping-particle" : "", "family" : "Loopstra", "given" : "R.", "non-dropping-particle" : "", "parse-names" : false, "suffix" : "" }, { "dropping-particle" : "", "family" : "McKee", "given" : "M.", "non-dropping-particle" : "", "parse-names" : false, "suffix" : "" }, { "dropping-particle" : "V.", "family" : "Katikireddi", "given" : "S.", "non-dropping-particle" : "", "parse-names" : false, "suffix" : "" }, { "dropping-particle" : "", "family" : "Taylor-Robinson", "given" : "D.", "non-dropping-particle" : "", "parse-names" : false, "suffix" : "" }, { "dropping-particle" : "", "family" : "Barr", "given" : "B.", "non-dropping-particle" : "", "parse-names" : false, "suffix" : "" }, { "dropping-particle" : "", "family" : "Stuckler", "given" : "D.", "non-dropping-particle" : "", "parse-names" : false, "suffix" : "" } ], "container-title" : "Journal of the Royal Society of Medicine", "id" : "ITEM-1", "issue" : "3", "issued" : { "date-parts" : [ [ "2016", "3", "1" ] ] }, "page" : "109-116", "title" : "Austerity and old-age mortality in England: a longitudinal cross-local area analysis, 2007-2013", "type" : "article-journal", "volume" : "109" }, "uris" : [ "http://www.mendeley.com/documents/?uuid=0bc41ea8-15f3-43da-800f-91079b2cb1cc" ] }, { "id" : "ITEM-2", "itemData" : { "author" : [ { "dropping-particle" : "", "family" : "Green", "given" : "M", "non-dropping-particle" : "", "parse-names" : false, "suffix" : "" }, { "dropping-particle" : "", "family" : "Dorling", "given" : "D", "non-dropping-particle" : "", "parse-names" : false, "suffix" : "" }, { "dropping-particle" : "", "family" : "Minton", "given" : "J", "non-dropping-particle" : "", "parse-names" : false, "suffix" : "" } ], "id" : "ITEM-2", "issued" : { "date-parts" : [ [ "2016" ] ] }, "title" : "The Geography of a rapid rise in mortality in England and Wales, 2014-2015", "type" : "article-journal" }, "uris" : [ "http://www.mendeley.com/documents/?uuid=4205e98f-134a-46b1-a12b-1cb8408aeaf7" ] } ], "mendeley" : { "formattedCitation" : "(1,4)", "plainTextFormattedCitation" : "(1,4)", "previouslyFormattedCitation" : "(1,4)" }, "properties" : { "noteIndex" : 0 }, "schema" : "https://github.com/citation-style-language/schema/raw/master/csl-citation.json" }</w:instrText>
      </w:r>
      <w:r w:rsidR="006112F4"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(1,4)</w:t>
      </w:r>
      <w:r w:rsidR="006112F4" w:rsidRPr="00E22714">
        <w:rPr>
          <w:rFonts w:ascii="Times New Roman" w:hAnsi="Times New Roman" w:cs="Times New Roman"/>
          <w:sz w:val="20"/>
        </w:rPr>
        <w:fldChar w:fldCharType="end"/>
      </w:r>
      <w:r w:rsidR="006112F4" w:rsidRPr="00E22714">
        <w:rPr>
          <w:rFonts w:ascii="Times New Roman" w:hAnsi="Times New Roman" w:cs="Times New Roman"/>
          <w:sz w:val="20"/>
        </w:rPr>
        <w:t xml:space="preserve"> </w:t>
      </w:r>
      <w:proofErr w:type="gramStart"/>
      <w:r w:rsidR="009C6742" w:rsidRPr="00E22714">
        <w:rPr>
          <w:rFonts w:ascii="Times New Roman" w:hAnsi="Times New Roman" w:cs="Times New Roman"/>
          <w:sz w:val="20"/>
        </w:rPr>
        <w:t>The</w:t>
      </w:r>
      <w:proofErr w:type="gramEnd"/>
      <w:r w:rsidR="009C6742" w:rsidRPr="00E22714">
        <w:rPr>
          <w:rFonts w:ascii="Times New Roman" w:hAnsi="Times New Roman" w:cs="Times New Roman"/>
          <w:sz w:val="20"/>
        </w:rPr>
        <w:t xml:space="preserve"> scope for such biases also reduce as more age-disaggregated data are used. </w:t>
      </w:r>
      <w:r w:rsidR="009C6742"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"10.1093/ije/dyw095", "author" : [ { "dropping-particle" : "", "family" : "Minton", "given" : "J", "non-dropping-particle" : "", "parse-names" : false, "suffix" : "" }, { "dropping-particle" : "", "family" : "Shaw", "given" : "R", "non-dropping-particle" : "", "parse-names" : false, "suffix" : "" }, { "dropping-particle" : "", "family" : "Green", "given" : "M", "non-dropping-particle" : "", "parse-names" : false, "suffix" : "" }, { "dropping-particle" : "", "family" : "Vanderbloemen", "given" : "L", "non-dropping-particle" : "", "parse-names" : false, "suffix" : "" }, { "dropping-particle" : "", "family" : "McCartney", "given" : "G", "non-dropping-particle" : "", "parse-names" : false, "suffix" : "" }, { "dropping-particle" : "", "family" : "Pickett", "given" : "K", "non-dropping-particle" : "", "parse-names" : false, "suffix" : "" } ], "container-title" : "International Journal of Epidemiology", "id" : "ITEM-1", "issued" : { "date-parts" : [ [ "2016" ] ] }, "title" : "Two cheers for a small giant? Why we need better ways of seeing data. A commentary on: 'Rising morbidity and mortality in midlife among white non-Hispanic (WNH) Americans in the 21st century'", "type" : "article-journal" }, "uris" : [ "http://www.mendeley.com/documents/?uuid=8035617e-eb67-4b55-af97-3e1aa788e2ed" ] } ], "mendeley" : { "formattedCitation" : "(5)", "plainTextFormattedCitation" : "(5)", "previouslyFormattedCitation" : "(5)" }, "properties" : { "noteIndex" : 0 }, "schema" : "https://github.com/citation-style-language/schema/raw/master/csl-citation.json" }</w:instrText>
      </w:r>
      <w:r w:rsidR="009C6742"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(5)</w:t>
      </w:r>
      <w:r w:rsidR="009C6742" w:rsidRPr="00E22714">
        <w:rPr>
          <w:rFonts w:ascii="Times New Roman" w:hAnsi="Times New Roman" w:cs="Times New Roman"/>
          <w:sz w:val="20"/>
        </w:rPr>
        <w:fldChar w:fldCharType="end"/>
      </w:r>
      <w:r w:rsidR="00CD5658" w:rsidRPr="00E22714">
        <w:rPr>
          <w:rFonts w:ascii="Times New Roman" w:hAnsi="Times New Roman" w:cs="Times New Roman"/>
          <w:sz w:val="20"/>
        </w:rPr>
        <w:t xml:space="preserve"> Similar patterns of rising mortality rates were observed in the most recent mid-year estimates [</w:t>
      </w:r>
      <w:r w:rsidR="000B273E" w:rsidRPr="00E22714">
        <w:rPr>
          <w:rFonts w:ascii="Times New Roman" w:hAnsi="Times New Roman" w:cs="Times New Roman"/>
          <w:sz w:val="20"/>
        </w:rPr>
        <w:t>4</w:t>
      </w:r>
      <w:proofErr w:type="gramStart"/>
      <w:r w:rsidR="000B273E" w:rsidRPr="00E22714">
        <w:rPr>
          <w:rFonts w:ascii="Times New Roman" w:hAnsi="Times New Roman" w:cs="Times New Roman"/>
          <w:sz w:val="20"/>
        </w:rPr>
        <w:t>,</w:t>
      </w:r>
      <w:r w:rsidR="00CD5658" w:rsidRPr="00E22714">
        <w:rPr>
          <w:rFonts w:ascii="Times New Roman" w:hAnsi="Times New Roman" w:cs="Times New Roman"/>
          <w:sz w:val="20"/>
        </w:rPr>
        <w:t>14</w:t>
      </w:r>
      <w:proofErr w:type="gramEnd"/>
      <w:r w:rsidR="00CD5658" w:rsidRPr="00E22714">
        <w:rPr>
          <w:rFonts w:ascii="Times New Roman" w:hAnsi="Times New Roman" w:cs="Times New Roman"/>
          <w:sz w:val="20"/>
        </w:rPr>
        <w:t>], and the consistency of these patterns point towards austerity as opposed the other findings.</w:t>
      </w:r>
    </w:p>
    <w:p w14:paraId="30A96AC5" w14:textId="22356AE0" w:rsidR="00D80E19" w:rsidRPr="00E22714" w:rsidRDefault="00B801AF"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Slower improvements are still falls against expectations</w:t>
      </w:r>
      <w:r w:rsidR="00E273AE" w:rsidRPr="00E22714">
        <w:rPr>
          <w:rFonts w:ascii="Times New Roman" w:hAnsi="Times New Roman" w:cs="Times New Roman"/>
          <w:b/>
          <w:color w:val="auto"/>
          <w:sz w:val="20"/>
        </w:rPr>
        <w:t>: changing ‘fundamentals’?</w:t>
      </w:r>
    </w:p>
    <w:p w14:paraId="4AECC1D0" w14:textId="2989B9B3" w:rsidR="00014B1F" w:rsidRPr="00E22714" w:rsidRDefault="00B801AF"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The fact that death rates in some elderly age groups have risen in recent years should be of great concern </w:t>
      </w:r>
      <w:r w:rsidR="00E6003F" w:rsidRPr="00E22714">
        <w:rPr>
          <w:rFonts w:ascii="Times New Roman" w:hAnsi="Times New Roman" w:cs="Times New Roman"/>
          <w:sz w:val="20"/>
        </w:rPr>
        <w:t xml:space="preserve">as </w:t>
      </w:r>
      <w:r w:rsidRPr="00E22714">
        <w:rPr>
          <w:rFonts w:ascii="Times New Roman" w:hAnsi="Times New Roman" w:cs="Times New Roman"/>
          <w:sz w:val="20"/>
        </w:rPr>
        <w:t>the tendency and expectation for many decades has been for the risk of death at most ages</w:t>
      </w:r>
      <w:r w:rsidR="00360F11" w:rsidRPr="00E22714">
        <w:rPr>
          <w:rFonts w:ascii="Times New Roman" w:hAnsi="Times New Roman" w:cs="Times New Roman"/>
          <w:sz w:val="20"/>
        </w:rPr>
        <w:t>, especially older ages,</w:t>
      </w:r>
      <w:r w:rsidRPr="00E22714">
        <w:rPr>
          <w:rFonts w:ascii="Times New Roman" w:hAnsi="Times New Roman" w:cs="Times New Roman"/>
          <w:sz w:val="20"/>
        </w:rPr>
        <w:t xml:space="preserve"> to decline.</w:t>
      </w:r>
      <w:r w:rsidR="003C472A" w:rsidRPr="00E22714">
        <w:rPr>
          <w:rFonts w:ascii="Times New Roman" w:hAnsi="Times New Roman" w:cs="Times New Roman"/>
          <w:sz w:val="20"/>
        </w:rPr>
        <w:t xml:space="preserve"> Reasons </w:t>
      </w:r>
      <w:r w:rsidR="002F1EB9" w:rsidRPr="00E22714">
        <w:rPr>
          <w:rFonts w:ascii="Times New Roman" w:hAnsi="Times New Roman" w:cs="Times New Roman"/>
          <w:sz w:val="20"/>
        </w:rPr>
        <w:t xml:space="preserve">for the previous declines </w:t>
      </w:r>
      <w:r w:rsidR="003C472A" w:rsidRPr="00E22714">
        <w:rPr>
          <w:rFonts w:ascii="Times New Roman" w:hAnsi="Times New Roman" w:cs="Times New Roman"/>
          <w:sz w:val="20"/>
        </w:rPr>
        <w:t>are multifactorial and include both specific medical innovations and broader improvements in living conditions</w:t>
      </w:r>
      <w:r w:rsidR="00436D09" w:rsidRPr="00E22714">
        <w:rPr>
          <w:rFonts w:ascii="Times New Roman" w:hAnsi="Times New Roman" w:cs="Times New Roman"/>
          <w:sz w:val="20"/>
        </w:rPr>
        <w:t>,</w:t>
      </w:r>
      <w:r w:rsidR="003C472A" w:rsidRPr="00E22714">
        <w:rPr>
          <w:rFonts w:ascii="Times New Roman" w:hAnsi="Times New Roman" w:cs="Times New Roman"/>
          <w:sz w:val="20"/>
        </w:rPr>
        <w:t xml:space="preserve"> such as improved housing and sanitation</w:t>
      </w:r>
      <w:r w:rsidR="004722A5" w:rsidRPr="00E22714">
        <w:rPr>
          <w:rFonts w:ascii="Times New Roman" w:hAnsi="Times New Roman" w:cs="Times New Roman"/>
          <w:sz w:val="20"/>
        </w:rPr>
        <w:t xml:space="preserve">. </w:t>
      </w:r>
      <w:r w:rsidR="00683C38"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"10.2105/AJPH.2005.084848", "ISSN" : "0090-0036", "author" : [ { "dropping-particle" : "", "family" : "Woolf", "given" : "Steven H.", "non-dropping-particle" : "", "parse-names" : false, "suffix" : "" }, { "dropping-particle" : "", "family" : "Johnson", "given" : "Robert E.", "non-dropping-particle" : "", "parse-names" : false, "suffix" : "" }, { "dropping-particle" : "", "family" : "Phillips", "given" : "Robert L.", "non-dropping-particle" : "", "parse-names" : false, "suffix" : "" }, { "dropping-particle" : "", "family" : "Philipsen", "given" : "Maike", "non-dropping-particle" : "", "parse-names" : false, "suffix" : "" } ], "container-title" : "American Journal of Public Health", "id" : "ITEM-1", "issue" : "4", "issued" : { "date-parts" : [ [ "2007", "4" ] ] }, "page" : "679-683", "title" : "Giving Everyone the Health of the Educated: An Examination of Whether Social Change Would Save More Lives Than Medical Advances", "type" : "article-journal", "volume" : "97" }, "uris" : [ "http://www.mendeley.com/documents/?uuid=505892f7-e4db-49bd-b87a-5802ad2b171c" ] } ], "mendeley" : { "formattedCitation" : "(6)", "plainTextFormattedCitation" : "(6)", "previouslyFormattedCitation" : "(6)" }, "properties" : { "noteIndex" : 0 }, "schema" : "https://github.com/citation-style-language/schema/raw/master/csl-citation.json" }</w:instrText>
      </w:r>
      <w:r w:rsidR="00683C38"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(6)</w:t>
      </w:r>
      <w:r w:rsidR="00683C38" w:rsidRPr="00E22714">
        <w:rPr>
          <w:rFonts w:ascii="Times New Roman" w:hAnsi="Times New Roman" w:cs="Times New Roman"/>
          <w:sz w:val="20"/>
        </w:rPr>
        <w:fldChar w:fldCharType="end"/>
      </w:r>
      <w:r w:rsidRPr="00E22714">
        <w:rPr>
          <w:rFonts w:ascii="Times New Roman" w:hAnsi="Times New Roman" w:cs="Times New Roman"/>
          <w:sz w:val="20"/>
        </w:rPr>
        <w:t xml:space="preserve"> </w:t>
      </w:r>
      <w:r w:rsidR="00683C38" w:rsidRPr="00E22714">
        <w:rPr>
          <w:rFonts w:ascii="Times New Roman" w:hAnsi="Times New Roman" w:cs="Times New Roman"/>
          <w:sz w:val="20"/>
        </w:rPr>
        <w:t xml:space="preserve"> </w:t>
      </w:r>
      <w:r w:rsidR="00360F11" w:rsidRPr="00E22714">
        <w:rPr>
          <w:rFonts w:ascii="Times New Roman" w:hAnsi="Times New Roman" w:cs="Times New Roman"/>
          <w:sz w:val="20"/>
        </w:rPr>
        <w:t>O</w:t>
      </w:r>
      <w:r w:rsidR="002424F4" w:rsidRPr="00E22714">
        <w:rPr>
          <w:rFonts w:ascii="Times New Roman" w:hAnsi="Times New Roman" w:cs="Times New Roman"/>
          <w:sz w:val="20"/>
        </w:rPr>
        <w:t xml:space="preserve">nly a severe </w:t>
      </w:r>
      <w:r w:rsidR="00B279B3" w:rsidRPr="00E22714">
        <w:rPr>
          <w:rFonts w:ascii="Times New Roman" w:hAnsi="Times New Roman" w:cs="Times New Roman"/>
          <w:sz w:val="20"/>
        </w:rPr>
        <w:t>and prolonged shock and assault to the factors which contribute to such steady improvements c</w:t>
      </w:r>
      <w:r w:rsidR="00E6003F" w:rsidRPr="00E22714">
        <w:rPr>
          <w:rFonts w:ascii="Times New Roman" w:hAnsi="Times New Roman" w:cs="Times New Roman"/>
          <w:sz w:val="20"/>
        </w:rPr>
        <w:t>ould</w:t>
      </w:r>
      <w:r w:rsidR="00B279B3" w:rsidRPr="00E22714">
        <w:rPr>
          <w:rFonts w:ascii="Times New Roman" w:hAnsi="Times New Roman" w:cs="Times New Roman"/>
          <w:sz w:val="20"/>
        </w:rPr>
        <w:t xml:space="preserve"> alter these long-term dynamics</w:t>
      </w:r>
      <w:r w:rsidR="00360F11"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"10.1093/ije/dyr061", "ISSN" : "1464-3685", "PMID" : "21415000", "author" : [ { "dropping-particle" : "", "family" : "Leon", "given" : "David A", "non-dropping-particle" : "", "parse-names" : false, "suffix" : "" } ], "container-title" : "International journal of epidemiology", "id" : "ITEM-1", "issue" : "2", "issued" : { "date-parts" : [ [ "2011", "4" ] ] }, "page" : "271-7", "title" : "Trends in European life expectancy: a salutary view.", "type" : "article-journal", "volume" : "40" }, "uris" : [ "http://www.mendeley.com/documents/?uuid=86ba6689-ce9f-419a-8cb6-6778bc7f791a" ] } ], "mendeley" : { "formattedCitation" : "(7)", "plainTextFormattedCitation" : "(7)", "previouslyFormattedCitation" : "(7)" }, "properties" : { "noteIndex" : 0 }, "schema" : "https://github.com/citation-style-language/schema/raw/master/csl-citation.json" }</w:instrText>
      </w:r>
      <w:r w:rsidR="00360F11"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(7)</w:t>
      </w:r>
      <w:r w:rsidR="00360F11" w:rsidRPr="00E22714">
        <w:rPr>
          <w:rFonts w:ascii="Times New Roman" w:hAnsi="Times New Roman" w:cs="Times New Roman"/>
          <w:sz w:val="20"/>
        </w:rPr>
        <w:fldChar w:fldCharType="end"/>
      </w:r>
      <w:r w:rsidR="00B279B3" w:rsidRPr="00E22714">
        <w:rPr>
          <w:rFonts w:ascii="Times New Roman" w:hAnsi="Times New Roman" w:cs="Times New Roman"/>
          <w:sz w:val="20"/>
        </w:rPr>
        <w:t xml:space="preserve">. </w:t>
      </w:r>
    </w:p>
    <w:p w14:paraId="6E71C288" w14:textId="75FD1F05" w:rsidR="00B801AF" w:rsidRPr="00E22714" w:rsidRDefault="00014B1F"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Wealth, and economic change more generally, affects health, and </w:t>
      </w:r>
      <w:r w:rsidR="00B279B3" w:rsidRPr="00E22714">
        <w:rPr>
          <w:rFonts w:ascii="Times New Roman" w:hAnsi="Times New Roman" w:cs="Times New Roman"/>
          <w:sz w:val="20"/>
        </w:rPr>
        <w:t xml:space="preserve">Figure 1 shows </w:t>
      </w:r>
      <w:r w:rsidRPr="00E22714">
        <w:rPr>
          <w:rFonts w:ascii="Times New Roman" w:hAnsi="Times New Roman" w:cs="Times New Roman"/>
          <w:sz w:val="20"/>
        </w:rPr>
        <w:t>that the economic fundamentals changed</w:t>
      </w:r>
      <w:r w:rsidR="00436D09" w:rsidRPr="00E22714">
        <w:rPr>
          <w:rFonts w:ascii="Times New Roman" w:hAnsi="Times New Roman" w:cs="Times New Roman"/>
          <w:sz w:val="20"/>
        </w:rPr>
        <w:t xml:space="preserve"> rapidly</w:t>
      </w:r>
      <w:r w:rsidRPr="00E22714">
        <w:rPr>
          <w:rFonts w:ascii="Times New Roman" w:hAnsi="Times New Roman" w:cs="Times New Roman"/>
          <w:sz w:val="20"/>
        </w:rPr>
        <w:t xml:space="preserve"> in England &amp; Wales, perhaps irreversibly, after 2008. The figures s</w:t>
      </w:r>
      <w:r w:rsidR="00B279B3" w:rsidRPr="00E22714">
        <w:rPr>
          <w:rFonts w:ascii="Times New Roman" w:hAnsi="Times New Roman" w:cs="Times New Roman"/>
          <w:sz w:val="20"/>
        </w:rPr>
        <w:t xml:space="preserve">how per capita GDP </w:t>
      </w:r>
      <w:r w:rsidR="00815060" w:rsidRPr="00E22714">
        <w:rPr>
          <w:rFonts w:ascii="Times New Roman" w:hAnsi="Times New Roman" w:cs="Times New Roman"/>
          <w:sz w:val="20"/>
        </w:rPr>
        <w:t xml:space="preserve">(not inflation adjusted) </w:t>
      </w:r>
      <w:r w:rsidR="00E6003F" w:rsidRPr="00E22714">
        <w:rPr>
          <w:rFonts w:ascii="Times New Roman" w:hAnsi="Times New Roman" w:cs="Times New Roman"/>
          <w:sz w:val="20"/>
        </w:rPr>
        <w:t>increased between</w:t>
      </w:r>
      <w:r w:rsidR="00815060" w:rsidRPr="00E22714">
        <w:rPr>
          <w:rFonts w:ascii="Times New Roman" w:hAnsi="Times New Roman" w:cs="Times New Roman"/>
          <w:sz w:val="20"/>
        </w:rPr>
        <w:t xml:space="preserve"> 1950</w:t>
      </w:r>
      <w:r w:rsidR="00E6003F" w:rsidRPr="00E22714">
        <w:rPr>
          <w:rFonts w:ascii="Times New Roman" w:hAnsi="Times New Roman" w:cs="Times New Roman"/>
          <w:sz w:val="20"/>
        </w:rPr>
        <w:t xml:space="preserve"> and 2008</w:t>
      </w:r>
      <w:r w:rsidR="00815060" w:rsidRPr="00E22714">
        <w:rPr>
          <w:rFonts w:ascii="Times New Roman" w:hAnsi="Times New Roman" w:cs="Times New Roman"/>
          <w:sz w:val="20"/>
        </w:rPr>
        <w:t xml:space="preserve"> in England &amp; Wales, using</w:t>
      </w:r>
      <w:r w:rsidR="00E6003F" w:rsidRPr="00E22714">
        <w:rPr>
          <w:rFonts w:ascii="Times New Roman" w:hAnsi="Times New Roman" w:cs="Times New Roman"/>
          <w:sz w:val="20"/>
        </w:rPr>
        <w:t xml:space="preserve"> </w:t>
      </w:r>
      <w:r w:rsidR="00815060" w:rsidRPr="00E22714">
        <w:rPr>
          <w:rFonts w:ascii="Times New Roman" w:hAnsi="Times New Roman" w:cs="Times New Roman"/>
          <w:sz w:val="20"/>
        </w:rPr>
        <w:t>annual</w:t>
      </w:r>
      <w:r w:rsidR="00E6003F" w:rsidRPr="00E22714">
        <w:rPr>
          <w:rFonts w:ascii="Times New Roman" w:hAnsi="Times New Roman" w:cs="Times New Roman"/>
          <w:sz w:val="20"/>
        </w:rPr>
        <w:t xml:space="preserve"> </w:t>
      </w:r>
      <w:r w:rsidR="00815060" w:rsidRPr="00E22714">
        <w:rPr>
          <w:rFonts w:ascii="Times New Roman" w:hAnsi="Times New Roman" w:cs="Times New Roman"/>
          <w:sz w:val="20"/>
        </w:rPr>
        <w:t xml:space="preserve">estimates from </w:t>
      </w:r>
      <w:r w:rsidR="00E273AE" w:rsidRPr="00E22714">
        <w:rPr>
          <w:rFonts w:ascii="Times New Roman" w:hAnsi="Times New Roman" w:cs="Times New Roman"/>
          <w:sz w:val="20"/>
        </w:rPr>
        <w:t>the Office for National Statistics (</w:t>
      </w:r>
      <w:r w:rsidR="00815060" w:rsidRPr="00E22714">
        <w:rPr>
          <w:rFonts w:ascii="Times New Roman" w:hAnsi="Times New Roman" w:cs="Times New Roman"/>
          <w:sz w:val="20"/>
        </w:rPr>
        <w:t>ONS</w:t>
      </w:r>
      <w:r w:rsidR="00E273AE" w:rsidRPr="00E22714">
        <w:rPr>
          <w:rFonts w:ascii="Times New Roman" w:hAnsi="Times New Roman" w:cs="Times New Roman"/>
          <w:sz w:val="20"/>
        </w:rPr>
        <w:t>)</w:t>
      </w:r>
      <w:r w:rsidR="00E6003F" w:rsidRPr="00E22714">
        <w:rPr>
          <w:rFonts w:ascii="Times New Roman" w:hAnsi="Times New Roman" w:cs="Times New Roman"/>
          <w:sz w:val="20"/>
        </w:rPr>
        <w:t>.</w:t>
      </w:r>
      <w:r w:rsidR="00815060" w:rsidRPr="00E22714">
        <w:rPr>
          <w:rFonts w:ascii="Times New Roman" w:hAnsi="Times New Roman" w:cs="Times New Roman"/>
          <w:sz w:val="20"/>
        </w:rPr>
        <w:t xml:space="preserve"> </w:t>
      </w:r>
      <w:r w:rsidR="004D5091"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"URL" : "www.mortality.org", "container-title" : "University of California, Berkeley (USA), and Max Plank Institute for Demographic Research (Germany)", "id" : "ITEM-1", "issued" : { "date-parts" : [ [ "2014" ] ] }, "title" : "Human Mortality Database", "type" : "webpage" }, "uris" : [ "http://www.mendeley.com/documents/?uuid=58f3b93d-f91e-4ac6-a981-7aa46d2d4863" ] } ], "mendeley" : { "formattedCitation" : "(8)", "plainTextFormattedCitation" : "(8)", "previouslyFormattedCitation" : "(8)" }, "properties" : { "noteIndex" : 0 }, "schema" : "https://github.com/citation-style-language/schema/raw/master/csl-citation.json" }</w:instrText>
      </w:r>
      <w:r w:rsidR="004D5091"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(8)</w:t>
      </w:r>
      <w:r w:rsidR="004D5091" w:rsidRPr="00E22714">
        <w:rPr>
          <w:rFonts w:ascii="Times New Roman" w:hAnsi="Times New Roman" w:cs="Times New Roman"/>
          <w:sz w:val="20"/>
        </w:rPr>
        <w:fldChar w:fldCharType="end"/>
      </w:r>
      <w:r w:rsidR="004D5091" w:rsidRPr="00E22714">
        <w:rPr>
          <w:rFonts w:ascii="Times New Roman" w:hAnsi="Times New Roman" w:cs="Times New Roman"/>
          <w:sz w:val="20"/>
        </w:rPr>
        <w:t xml:space="preserve"> </w:t>
      </w:r>
      <w:r w:rsidR="00815060" w:rsidRPr="00E22714">
        <w:rPr>
          <w:rFonts w:ascii="Times New Roman" w:hAnsi="Times New Roman" w:cs="Times New Roman"/>
          <w:sz w:val="20"/>
        </w:rPr>
        <w:t>The line shows the</w:t>
      </w:r>
      <w:r w:rsidR="00EF02BD" w:rsidRPr="00E22714">
        <w:rPr>
          <w:rFonts w:ascii="Times New Roman" w:hAnsi="Times New Roman" w:cs="Times New Roman"/>
          <w:sz w:val="20"/>
        </w:rPr>
        <w:t xml:space="preserve"> time</w:t>
      </w:r>
      <w:r w:rsidR="00815060" w:rsidRPr="00E22714">
        <w:rPr>
          <w:rFonts w:ascii="Times New Roman" w:hAnsi="Times New Roman" w:cs="Times New Roman"/>
          <w:sz w:val="20"/>
        </w:rPr>
        <w:t xml:space="preserve"> trend to 2008 inclusive, which is then extrapolated to 2015. </w:t>
      </w:r>
      <w:r w:rsidR="00E6003F" w:rsidRPr="00E22714">
        <w:rPr>
          <w:rFonts w:ascii="Times New Roman" w:hAnsi="Times New Roman" w:cs="Times New Roman"/>
          <w:sz w:val="20"/>
        </w:rPr>
        <w:t>Between</w:t>
      </w:r>
      <w:r w:rsidR="00B64833" w:rsidRPr="00E22714">
        <w:rPr>
          <w:rFonts w:ascii="Times New Roman" w:hAnsi="Times New Roman" w:cs="Times New Roman"/>
          <w:sz w:val="20"/>
        </w:rPr>
        <w:t xml:space="preserve"> 1950</w:t>
      </w:r>
      <w:r w:rsidR="00487107" w:rsidRPr="00E22714">
        <w:rPr>
          <w:rFonts w:ascii="Times New Roman" w:hAnsi="Times New Roman" w:cs="Times New Roman"/>
          <w:sz w:val="20"/>
        </w:rPr>
        <w:t xml:space="preserve"> and </w:t>
      </w:r>
      <w:r w:rsidR="00B64833" w:rsidRPr="00E22714">
        <w:rPr>
          <w:rFonts w:ascii="Times New Roman" w:hAnsi="Times New Roman" w:cs="Times New Roman"/>
          <w:sz w:val="20"/>
        </w:rPr>
        <w:t>2008</w:t>
      </w:r>
      <w:r w:rsidR="00E6003F" w:rsidRPr="00E22714">
        <w:rPr>
          <w:rFonts w:ascii="Times New Roman" w:hAnsi="Times New Roman" w:cs="Times New Roman"/>
          <w:sz w:val="20"/>
        </w:rPr>
        <w:t>,</w:t>
      </w:r>
      <w:r w:rsidR="00B64833" w:rsidRPr="00E22714">
        <w:rPr>
          <w:rFonts w:ascii="Times New Roman" w:hAnsi="Times New Roman" w:cs="Times New Roman"/>
          <w:sz w:val="20"/>
        </w:rPr>
        <w:t xml:space="preserve"> the statistical fit of this trend line</w:t>
      </w:r>
      <w:r w:rsidR="00436D09" w:rsidRPr="00E22714">
        <w:rPr>
          <w:rFonts w:ascii="Times New Roman" w:hAnsi="Times New Roman" w:cs="Times New Roman"/>
          <w:sz w:val="20"/>
        </w:rPr>
        <w:t xml:space="preserve"> to actual GDP per capita</w:t>
      </w:r>
      <w:r w:rsidR="00B64833" w:rsidRPr="00E22714">
        <w:rPr>
          <w:rFonts w:ascii="Times New Roman" w:hAnsi="Times New Roman" w:cs="Times New Roman"/>
          <w:sz w:val="20"/>
        </w:rPr>
        <w:t xml:space="preserve"> is extremely high (R</w:t>
      </w:r>
      <w:r w:rsidR="00B64833" w:rsidRPr="00E22714">
        <w:rPr>
          <w:rFonts w:ascii="Times New Roman" w:hAnsi="Times New Roman" w:cs="Times New Roman"/>
          <w:sz w:val="20"/>
          <w:vertAlign w:val="superscript"/>
        </w:rPr>
        <w:t>2</w:t>
      </w:r>
      <w:r w:rsidR="00B64833" w:rsidRPr="00E22714">
        <w:rPr>
          <w:rFonts w:ascii="Times New Roman" w:hAnsi="Times New Roman" w:cs="Times New Roman"/>
          <w:sz w:val="20"/>
        </w:rPr>
        <w:t xml:space="preserve"> </w:t>
      </w:r>
      <w:r w:rsidR="002F1EB9" w:rsidRPr="00E22714">
        <w:rPr>
          <w:rFonts w:ascii="Times New Roman" w:hAnsi="Times New Roman" w:cs="Times New Roman"/>
          <w:sz w:val="20"/>
        </w:rPr>
        <w:t>=</w:t>
      </w:r>
      <w:r w:rsidR="00B64833" w:rsidRPr="00E22714">
        <w:rPr>
          <w:rFonts w:ascii="Times New Roman" w:hAnsi="Times New Roman" w:cs="Times New Roman"/>
          <w:sz w:val="20"/>
        </w:rPr>
        <w:t xml:space="preserve"> 0.98) but after 2008 the shaded region, showing the difference between actual and projected per capita GDP, has grown ever larger. In 200</w:t>
      </w:r>
      <w:r w:rsidR="007818D4" w:rsidRPr="00E22714">
        <w:rPr>
          <w:rFonts w:ascii="Times New Roman" w:hAnsi="Times New Roman" w:cs="Times New Roman"/>
          <w:sz w:val="20"/>
        </w:rPr>
        <w:t>9</w:t>
      </w:r>
      <w:r w:rsidR="00B64833" w:rsidRPr="00E22714">
        <w:rPr>
          <w:rFonts w:ascii="Times New Roman" w:hAnsi="Times New Roman" w:cs="Times New Roman"/>
          <w:sz w:val="20"/>
        </w:rPr>
        <w:t xml:space="preserve"> the gap amounted to £6,800 per person; by 2015 it had grown to more than £13,400 per person. </w:t>
      </w:r>
      <w:r w:rsidR="007818D4" w:rsidRPr="00E22714">
        <w:rPr>
          <w:rFonts w:ascii="Times New Roman" w:hAnsi="Times New Roman" w:cs="Times New Roman"/>
          <w:sz w:val="20"/>
        </w:rPr>
        <w:t>Before 2008, all previous recessions had been followed by one or more years of catch-up</w:t>
      </w:r>
      <w:r w:rsidR="00E6003F" w:rsidRPr="00E22714">
        <w:rPr>
          <w:rFonts w:ascii="Times New Roman" w:hAnsi="Times New Roman" w:cs="Times New Roman"/>
          <w:sz w:val="20"/>
        </w:rPr>
        <w:t xml:space="preserve"> </w:t>
      </w:r>
      <w:r w:rsidR="007818D4" w:rsidRPr="00E22714">
        <w:rPr>
          <w:rFonts w:ascii="Times New Roman" w:hAnsi="Times New Roman" w:cs="Times New Roman"/>
          <w:sz w:val="20"/>
        </w:rPr>
        <w:t>growth in per capita GDP. Nothing similar occurred after 2008</w:t>
      </w:r>
      <w:r w:rsidR="00436D09" w:rsidRPr="00E22714">
        <w:rPr>
          <w:rFonts w:ascii="Times New Roman" w:hAnsi="Times New Roman" w:cs="Times New Roman"/>
          <w:sz w:val="20"/>
        </w:rPr>
        <w:t>;</w:t>
      </w:r>
      <w:r w:rsidR="002424F4" w:rsidRPr="00E22714">
        <w:rPr>
          <w:rFonts w:ascii="Times New Roman" w:hAnsi="Times New Roman" w:cs="Times New Roman"/>
          <w:sz w:val="20"/>
        </w:rPr>
        <w:t xml:space="preserve"> instead per capita GDP in 2015 has barely recovered to </w:t>
      </w:r>
      <w:r w:rsidRPr="00E22714">
        <w:rPr>
          <w:rFonts w:ascii="Times New Roman" w:hAnsi="Times New Roman" w:cs="Times New Roman"/>
          <w:sz w:val="20"/>
        </w:rPr>
        <w:t xml:space="preserve">earlier </w:t>
      </w:r>
      <w:r w:rsidR="002424F4" w:rsidRPr="00E22714">
        <w:rPr>
          <w:rFonts w:ascii="Times New Roman" w:hAnsi="Times New Roman" w:cs="Times New Roman"/>
          <w:sz w:val="20"/>
        </w:rPr>
        <w:t xml:space="preserve">levels. </w:t>
      </w:r>
      <w:r w:rsidRPr="00E22714">
        <w:rPr>
          <w:rFonts w:ascii="Times New Roman" w:hAnsi="Times New Roman" w:cs="Times New Roman"/>
          <w:sz w:val="20"/>
        </w:rPr>
        <w:t>M</w:t>
      </w:r>
      <w:r w:rsidR="0011555F" w:rsidRPr="00E22714">
        <w:rPr>
          <w:rFonts w:ascii="Times New Roman" w:hAnsi="Times New Roman" w:cs="Times New Roman"/>
          <w:sz w:val="20"/>
        </w:rPr>
        <w:t>any other rich countries increased public spending as a proportion of GDP to protect their populations. In the UK the government after 2010 cut public spending as a proportion of GDP even as GDP itself fell.</w:t>
      </w:r>
      <w:r w:rsidR="00487107" w:rsidRPr="00E22714">
        <w:rPr>
          <w:rFonts w:ascii="Times New Roman" w:hAnsi="Times New Roman" w:cs="Times New Roman"/>
          <w:sz w:val="20"/>
        </w:rPr>
        <w:t xml:space="preserve"> Both the fall against trend in economic growth and reduction in public spending after 2010 are of such a scale as to negatively impact on population health, in particular in people most dependent on public services</w:t>
      </w:r>
      <w:r w:rsidR="00C82AF3" w:rsidRPr="00E22714">
        <w:rPr>
          <w:rFonts w:ascii="Times New Roman" w:hAnsi="Times New Roman" w:cs="Times New Roman"/>
          <w:sz w:val="20"/>
        </w:rPr>
        <w:t xml:space="preserve">, especially healthcare. </w:t>
      </w:r>
      <w:proofErr w:type="spellStart"/>
      <w:r w:rsidRPr="00E22714">
        <w:rPr>
          <w:rFonts w:ascii="Times New Roman" w:hAnsi="Times New Roman" w:cs="Times New Roman"/>
          <w:sz w:val="20"/>
        </w:rPr>
        <w:t>Stuckler</w:t>
      </w:r>
      <w:proofErr w:type="spellEnd"/>
      <w:r w:rsidRPr="00E22714">
        <w:rPr>
          <w:rFonts w:ascii="Times New Roman" w:hAnsi="Times New Roman" w:cs="Times New Roman"/>
          <w:sz w:val="20"/>
        </w:rPr>
        <w:t xml:space="preserve"> and colleagues have argued that the health effects of economic recessions and political responses to those recessions are distinct, (e.g. </w:t>
      </w:r>
      <w:r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"Stuckler", "given" : "David", "non-dropping-particle" : "", "parse-names" : false, "suffix" : "" }, { "dropping-particle" : "", "family" : "Basu", "given" : "Sanjay", "non-dropping-particle" : "", "parse-names" : false, "suffix" : "" } ], "id" : "ITEM-1", "issued" : { "date-parts" : [ [ "2013" ] ] }, "publisher" : "Penguin", "publisher-place" : "London", "title" : "The Body Economic: Eight experiments in economic recovery, from Iceland to Greece", "type" : "book" }, "uris" : [ "http://www.mendeley.com/documents/?uuid=0a622e5d-68aa-48d9-a87b-ee44653d98c9" ] } ], "mendeley" : { "formattedCitation" : "(9)", "plainTextFormattedCitation" : "(9)", "previouslyFormattedCitation" : "(9)" }, "properties" : { "noteIndex" : 0 }, "schema" : "https://github.com/citation-style-language/schema/raw/master/csl-citation.json" }</w:instrText>
      </w:r>
      <w:r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(9)</w:t>
      </w:r>
      <w:r w:rsidRPr="00E22714">
        <w:rPr>
          <w:rFonts w:ascii="Times New Roman" w:hAnsi="Times New Roman" w:cs="Times New Roman"/>
          <w:sz w:val="20"/>
        </w:rPr>
        <w:fldChar w:fldCharType="end"/>
      </w:r>
      <w:r w:rsidRPr="00E22714">
        <w:rPr>
          <w:rFonts w:ascii="Times New Roman" w:hAnsi="Times New Roman" w:cs="Times New Roman"/>
          <w:sz w:val="20"/>
        </w:rPr>
        <w:t xml:space="preserve">) and that the 2010-2015 Coalition government’s ‘Austerity’ response </w:t>
      </w:r>
      <w:r w:rsidR="00436D09" w:rsidRPr="00E22714">
        <w:rPr>
          <w:rFonts w:ascii="Times New Roman" w:hAnsi="Times New Roman" w:cs="Times New Roman"/>
          <w:sz w:val="20"/>
        </w:rPr>
        <w:t>wa</w:t>
      </w:r>
      <w:r w:rsidRPr="00E22714">
        <w:rPr>
          <w:rFonts w:ascii="Times New Roman" w:hAnsi="Times New Roman" w:cs="Times New Roman"/>
          <w:sz w:val="20"/>
        </w:rPr>
        <w:t xml:space="preserve">s harmful to population health. </w:t>
      </w:r>
    </w:p>
    <w:p w14:paraId="2879D9E7" w14:textId="47554975" w:rsidR="004F5839" w:rsidRPr="005C403A" w:rsidRDefault="004F5839" w:rsidP="00E22714">
      <w:pPr>
        <w:pStyle w:val="Caption"/>
        <w:keepNext/>
        <w:rPr>
          <w:rFonts w:ascii="Times New Roman" w:hAnsi="Times New Roman" w:cs="Times New Roman"/>
          <w:b/>
          <w:i w:val="0"/>
          <w:sz w:val="20"/>
        </w:rPr>
      </w:pPr>
      <w:r w:rsidRPr="005C403A">
        <w:rPr>
          <w:rFonts w:ascii="Times New Roman" w:hAnsi="Times New Roman" w:cs="Times New Roman"/>
          <w:b/>
          <w:i w:val="0"/>
          <w:sz w:val="20"/>
        </w:rPr>
        <w:lastRenderedPageBreak/>
        <w:t xml:space="preserve">Figure </w:t>
      </w:r>
      <w:r w:rsidR="00111C57" w:rsidRPr="005C403A">
        <w:rPr>
          <w:rFonts w:ascii="Times New Roman" w:hAnsi="Times New Roman" w:cs="Times New Roman"/>
          <w:b/>
          <w:i w:val="0"/>
          <w:sz w:val="20"/>
        </w:rPr>
        <w:fldChar w:fldCharType="begin"/>
      </w:r>
      <w:r w:rsidR="00111C57" w:rsidRPr="005C403A">
        <w:rPr>
          <w:rFonts w:ascii="Times New Roman" w:hAnsi="Times New Roman" w:cs="Times New Roman"/>
          <w:b/>
          <w:i w:val="0"/>
          <w:sz w:val="20"/>
        </w:rPr>
        <w:instrText xml:space="preserve"> SEQ Figure \* ARABIC </w:instrText>
      </w:r>
      <w:r w:rsidR="00111C57" w:rsidRPr="005C403A">
        <w:rPr>
          <w:rFonts w:ascii="Times New Roman" w:hAnsi="Times New Roman" w:cs="Times New Roman"/>
          <w:b/>
          <w:i w:val="0"/>
          <w:sz w:val="20"/>
        </w:rPr>
        <w:fldChar w:fldCharType="separate"/>
      </w:r>
      <w:r w:rsidR="00466E1B" w:rsidRPr="005C403A">
        <w:rPr>
          <w:rFonts w:ascii="Times New Roman" w:hAnsi="Times New Roman" w:cs="Times New Roman"/>
          <w:b/>
          <w:i w:val="0"/>
          <w:noProof/>
          <w:sz w:val="20"/>
        </w:rPr>
        <w:t>1</w:t>
      </w:r>
      <w:r w:rsidR="00111C57" w:rsidRPr="005C403A">
        <w:rPr>
          <w:rFonts w:ascii="Times New Roman" w:hAnsi="Times New Roman" w:cs="Times New Roman"/>
          <w:b/>
          <w:i w:val="0"/>
          <w:noProof/>
          <w:sz w:val="20"/>
        </w:rPr>
        <w:fldChar w:fldCharType="end"/>
      </w:r>
      <w:r w:rsidRPr="005C403A">
        <w:rPr>
          <w:rFonts w:ascii="Times New Roman" w:hAnsi="Times New Roman" w:cs="Times New Roman"/>
          <w:b/>
          <w:i w:val="0"/>
          <w:sz w:val="20"/>
        </w:rPr>
        <w:t xml:space="preserve"> Per capita </w:t>
      </w:r>
      <w:r w:rsidR="00E273AE" w:rsidRPr="005C403A">
        <w:rPr>
          <w:rFonts w:ascii="Times New Roman" w:hAnsi="Times New Roman" w:cs="Times New Roman"/>
          <w:b/>
          <w:i w:val="0"/>
          <w:sz w:val="20"/>
        </w:rPr>
        <w:t xml:space="preserve">gross domestic product (GDP) (dots), 1950 to 2015, against trend (dashed line) over period 1950-2008. </w:t>
      </w:r>
    </w:p>
    <w:p w14:paraId="65A94D94" w14:textId="4BAEB288" w:rsidR="004F5839" w:rsidRPr="00E22714" w:rsidRDefault="0027163A" w:rsidP="00E22714">
      <w:pPr>
        <w:spacing w:line="240" w:lineRule="auto"/>
        <w:rPr>
          <w:rFonts w:ascii="Times New Roman" w:hAnsi="Times New Roman" w:cs="Times New Roman"/>
        </w:rPr>
      </w:pPr>
      <w:r w:rsidRPr="00E22714">
        <w:rPr>
          <w:rFonts w:ascii="Times New Roman" w:hAnsi="Times New Roman" w:cs="Times New Roman"/>
          <w:noProof/>
          <w:lang w:eastAsia="en-GB"/>
        </w:rPr>
        <w:drawing>
          <wp:inline distT="0" distB="0" distL="0" distR="0" wp14:anchorId="37B7845A" wp14:editId="185B41F9">
            <wp:extent cx="5189220" cy="4640580"/>
            <wp:effectExtent l="0" t="0" r="0" b="7620"/>
            <wp:docPr id="4" name="Picture 4" descr="E:\repos\danny_elderly_mort\long_term_trend_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danny_elderly_mort\long_term_trend_gd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9220" cy="4640580"/>
                    </a:xfrm>
                    <a:prstGeom prst="rect">
                      <a:avLst/>
                    </a:prstGeom>
                    <a:noFill/>
                    <a:ln>
                      <a:noFill/>
                    </a:ln>
                  </pic:spPr>
                </pic:pic>
              </a:graphicData>
            </a:graphic>
          </wp:inline>
        </w:drawing>
      </w:r>
    </w:p>
    <w:p w14:paraId="523647A6" w14:textId="2D859AE4" w:rsidR="004F5839" w:rsidRPr="00E22714" w:rsidRDefault="004F5839" w:rsidP="00E22714">
      <w:pPr>
        <w:spacing w:line="240" w:lineRule="auto"/>
        <w:rPr>
          <w:rFonts w:ascii="Times New Roman" w:hAnsi="Times New Roman" w:cs="Times New Roman"/>
        </w:rPr>
      </w:pPr>
      <w:r w:rsidRPr="00E22714">
        <w:rPr>
          <w:rFonts w:ascii="Times New Roman" w:hAnsi="Times New Roman" w:cs="Times New Roman"/>
          <w:b/>
        </w:rPr>
        <w:t>Notes</w:t>
      </w:r>
      <w:r w:rsidRPr="00E22714">
        <w:rPr>
          <w:rFonts w:ascii="Times New Roman" w:hAnsi="Times New Roman" w:cs="Times New Roman"/>
        </w:rPr>
        <w:t xml:space="preserve">: </w:t>
      </w:r>
      <w:r w:rsidR="00014B1F" w:rsidRPr="00E22714">
        <w:rPr>
          <w:rFonts w:ascii="Times New Roman" w:hAnsi="Times New Roman" w:cs="Times New Roman"/>
          <w:b/>
        </w:rPr>
        <w:t xml:space="preserve">Data Source: Office for National Statistics. </w:t>
      </w:r>
    </w:p>
    <w:p w14:paraId="506C8ED5" w14:textId="77777777" w:rsidR="00D80E19" w:rsidRPr="00E22714" w:rsidRDefault="00D80E19" w:rsidP="00E22714">
      <w:pPr>
        <w:pStyle w:val="Heading1"/>
        <w:spacing w:line="240" w:lineRule="auto"/>
        <w:rPr>
          <w:rFonts w:ascii="Times New Roman" w:hAnsi="Times New Roman" w:cs="Times New Roman"/>
          <w:b/>
          <w:color w:val="auto"/>
          <w:sz w:val="24"/>
        </w:rPr>
      </w:pPr>
      <w:r w:rsidRPr="00E22714">
        <w:rPr>
          <w:rFonts w:ascii="Times New Roman" w:hAnsi="Times New Roman" w:cs="Times New Roman"/>
          <w:b/>
          <w:color w:val="auto"/>
          <w:sz w:val="24"/>
        </w:rPr>
        <w:t xml:space="preserve">Methods </w:t>
      </w:r>
    </w:p>
    <w:p w14:paraId="65A615ED" w14:textId="457480F3" w:rsidR="00B51CB3" w:rsidRPr="00E22714" w:rsidRDefault="00B51CB3"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 xml:space="preserve">Data </w:t>
      </w:r>
    </w:p>
    <w:p w14:paraId="1D749A42" w14:textId="34968CA7" w:rsidR="002074F1" w:rsidRPr="00E22714" w:rsidRDefault="00E10AAF" w:rsidP="00E22714">
      <w:pPr>
        <w:spacing w:line="240" w:lineRule="auto"/>
        <w:rPr>
          <w:rFonts w:ascii="Times New Roman" w:hAnsi="Times New Roman" w:cs="Times New Roman"/>
          <w:sz w:val="20"/>
          <w:szCs w:val="20"/>
        </w:rPr>
      </w:pPr>
      <w:r w:rsidRPr="00E22714">
        <w:rPr>
          <w:rFonts w:ascii="Times New Roman" w:hAnsi="Times New Roman" w:cs="Times New Roman"/>
          <w:sz w:val="20"/>
          <w:szCs w:val="20"/>
        </w:rPr>
        <w:t>Mid-year p</w:t>
      </w:r>
      <w:r w:rsidR="00981ADB" w:rsidRPr="00E22714">
        <w:rPr>
          <w:rFonts w:ascii="Times New Roman" w:hAnsi="Times New Roman" w:cs="Times New Roman"/>
          <w:sz w:val="20"/>
          <w:szCs w:val="20"/>
        </w:rPr>
        <w:t xml:space="preserve">opulation estimates and registered deaths in England &amp; Wales, for each year from </w:t>
      </w:r>
      <w:r w:rsidR="008C441F" w:rsidRPr="00E22714">
        <w:rPr>
          <w:rFonts w:ascii="Times New Roman" w:hAnsi="Times New Roman" w:cs="Times New Roman"/>
          <w:sz w:val="20"/>
          <w:szCs w:val="20"/>
        </w:rPr>
        <w:t xml:space="preserve">1990 </w:t>
      </w:r>
      <w:r w:rsidR="00981ADB" w:rsidRPr="00E22714">
        <w:rPr>
          <w:rFonts w:ascii="Times New Roman" w:hAnsi="Times New Roman" w:cs="Times New Roman"/>
          <w:sz w:val="20"/>
          <w:szCs w:val="20"/>
        </w:rPr>
        <w:t>to 2014, were downloaded from the O</w:t>
      </w:r>
      <w:r w:rsidRPr="00E22714">
        <w:rPr>
          <w:rFonts w:ascii="Times New Roman" w:hAnsi="Times New Roman" w:cs="Times New Roman"/>
          <w:sz w:val="20"/>
          <w:szCs w:val="20"/>
        </w:rPr>
        <w:t xml:space="preserve">NS website. </w:t>
      </w:r>
      <w:r w:rsidRPr="00E22714">
        <w:rPr>
          <w:rFonts w:ascii="Times New Roman" w:hAnsi="Times New Roman" w:cs="Times New Roman"/>
          <w:sz w:val="20"/>
          <w:szCs w:val="20"/>
        </w:rPr>
        <w:fldChar w:fldCharType="begin" w:fldLock="1"/>
      </w:r>
      <w:r w:rsidR="00111C57">
        <w:rPr>
          <w:rFonts w:ascii="Times New Roman" w:hAnsi="Times New Roman" w:cs="Times New Roman"/>
          <w:sz w:val="20"/>
          <w:szCs w:val="20"/>
        </w:rPr>
        <w:instrText>ADDIN CSL_CITATION { "citationItems" : [ { "id" : "ITEM-1",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"ITEM-1",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"(10)", "plainTextFormattedCitation" : "(10)", "previouslyFormattedCitation" : "(10)" }, "properties" : { "noteIndex" : 0 }, "schema" : "https://github.com/citation-style-language/schema/raw/master/csl-citation.json" }</w:instrText>
      </w:r>
      <w:r w:rsidRPr="00E22714">
        <w:rPr>
          <w:rFonts w:ascii="Times New Roman" w:hAnsi="Times New Roman" w:cs="Times New Roman"/>
          <w:sz w:val="20"/>
          <w:szCs w:val="20"/>
        </w:rPr>
        <w:fldChar w:fldCharType="separate"/>
      </w:r>
      <w:r w:rsidR="00111C57" w:rsidRPr="00111C57">
        <w:rPr>
          <w:rFonts w:ascii="Times New Roman" w:hAnsi="Times New Roman" w:cs="Times New Roman"/>
          <w:noProof/>
          <w:sz w:val="20"/>
          <w:szCs w:val="20"/>
        </w:rPr>
        <w:t>(10)</w:t>
      </w:r>
      <w:r w:rsidRPr="00E22714">
        <w:rPr>
          <w:rFonts w:ascii="Times New Roman" w:hAnsi="Times New Roman" w:cs="Times New Roman"/>
          <w:sz w:val="20"/>
          <w:szCs w:val="20"/>
        </w:rPr>
        <w:fldChar w:fldCharType="end"/>
      </w:r>
      <w:r w:rsidRPr="00E22714">
        <w:rPr>
          <w:rFonts w:ascii="Times New Roman" w:hAnsi="Times New Roman" w:cs="Times New Roman"/>
          <w:sz w:val="20"/>
          <w:szCs w:val="20"/>
        </w:rPr>
        <w:t xml:space="preserve"> </w:t>
      </w:r>
      <w:r w:rsidR="00B14C65" w:rsidRPr="00E22714">
        <w:rPr>
          <w:rFonts w:ascii="Times New Roman" w:hAnsi="Times New Roman" w:cs="Times New Roman"/>
          <w:sz w:val="20"/>
          <w:szCs w:val="20"/>
        </w:rPr>
        <w:t xml:space="preserve">Mid-year population estimates and registered deaths for 2015 were released on </w:t>
      </w:r>
      <w:r w:rsidR="002074F1" w:rsidRPr="00E22714">
        <w:rPr>
          <w:rFonts w:ascii="Times New Roman" w:hAnsi="Times New Roman" w:cs="Times New Roman"/>
          <w:sz w:val="20"/>
          <w:szCs w:val="20"/>
        </w:rPr>
        <w:t>23 June 2016</w:t>
      </w:r>
      <w:r w:rsidR="00B14C65" w:rsidRPr="00E22714">
        <w:rPr>
          <w:rFonts w:ascii="Times New Roman" w:hAnsi="Times New Roman" w:cs="Times New Roman"/>
          <w:sz w:val="20"/>
          <w:szCs w:val="20"/>
        </w:rPr>
        <w:t xml:space="preserve"> for England &amp; Wales. These are disaggregated by age in single years up to the age of 89 years</w:t>
      </w:r>
      <w:r w:rsidR="002074F1" w:rsidRPr="00E22714">
        <w:rPr>
          <w:rFonts w:ascii="Times New Roman" w:hAnsi="Times New Roman" w:cs="Times New Roman"/>
          <w:sz w:val="20"/>
          <w:szCs w:val="20"/>
        </w:rPr>
        <w:t>.</w:t>
      </w:r>
      <w:r w:rsidR="00E323A4" w:rsidRPr="00E22714">
        <w:rPr>
          <w:rFonts w:ascii="Times New Roman" w:hAnsi="Times New Roman" w:cs="Times New Roman"/>
          <w:sz w:val="20"/>
          <w:szCs w:val="20"/>
        </w:rPr>
        <w:t xml:space="preserve"> </w:t>
      </w:r>
      <w:r w:rsidR="002074F1" w:rsidRPr="00E22714">
        <w:rPr>
          <w:rFonts w:ascii="Times New Roman" w:hAnsi="Times New Roman" w:cs="Times New Roman"/>
          <w:sz w:val="20"/>
          <w:szCs w:val="20"/>
        </w:rPr>
        <w:fldChar w:fldCharType="begin" w:fldLock="1"/>
      </w:r>
      <w:r w:rsidR="00111C57">
        <w:rPr>
          <w:rFonts w:ascii="Times New Roman" w:hAnsi="Times New Roman" w:cs="Times New Roman"/>
          <w:sz w:val="20"/>
          <w:szCs w:val="20"/>
        </w:rPr>
        <w:instrText>ADDIN CSL_CITATION { "citationItems" : [ { "id" : "ITEM-1", "itemData" : { "URL" : "https://www.ons.gov.uk/file?uri=/peoplepopulationandcommunity/populationandmigration/populationestimates/datasets/populationestimatesforukenglandandwalesscotlandandnorthernireland/mid2015/ukmye2015.zip", "author" : [ { "dropping-particle" : "", "family" : "ONS", "given" : "", "non-dropping-particle" : "", "parse-names" : false, "suffix" : "" } ], "id" : "ITEM-1", "issued" : { "date-parts" : [ [ "2016" ] ] }, "title" : "UK Mid year estimates 2015", "type" : "webpage" }, "uris" : [ "http://www.mendeley.com/documents/?uuid=ada711b9-11a5-4439-b928-db9d334ef80a" ] }, { "id" : "ITEM-2", "itemData" : { "URL" : "https://www.ons.gov.uk/file?uri=/peoplepopulationandcommunity/populationandmigration/populationestimates/adhocs/005825populationestimatesforenglandandwales1961to2014singleyearofage0to105/ewuksyoadeathspopdata19612014cmifilevaluesforissue10122015.xls", "author" : [ { "dropping-particle" : "", "family" : "Mills", "given" : "J", "non-dropping-particle" : "", "parse-names" : false, "suffix" : "" } ], "id" : "ITEM-2", "issued" : { "date-parts" : [ [ "2015" ] ] }, "title" : "File containing number of death registrations by single year of age for England &amp; Wales and the UK 1961-2014; and Mid-year population estimates by single year of age for England &amp; Wales and the UK 1961-2014", "type" : "webpage" }, "uris" : [ "http://www.mendeley.com/documents/?uuid=5e60c59a-7693-44bb-a2c1-989859ed4978" ] } ], "mendeley" : { "formattedCitation" : "(10,11)", "plainTextFormattedCitation" : "(10,11)", "previouslyFormattedCitation" : "(10,11)" }, "properties" : { "noteIndex" : 0 }, "schema" : "https://github.com/citation-style-language/schema/raw/master/csl-citation.json" }</w:instrText>
      </w:r>
      <w:r w:rsidR="002074F1" w:rsidRPr="00E22714">
        <w:rPr>
          <w:rFonts w:ascii="Times New Roman" w:hAnsi="Times New Roman" w:cs="Times New Roman"/>
          <w:sz w:val="20"/>
          <w:szCs w:val="20"/>
        </w:rPr>
        <w:fldChar w:fldCharType="separate"/>
      </w:r>
      <w:r w:rsidR="00111C57" w:rsidRPr="00111C57">
        <w:rPr>
          <w:rFonts w:ascii="Times New Roman" w:hAnsi="Times New Roman" w:cs="Times New Roman"/>
          <w:noProof/>
          <w:sz w:val="20"/>
          <w:szCs w:val="20"/>
        </w:rPr>
        <w:t>(10,11)</w:t>
      </w:r>
      <w:r w:rsidR="002074F1" w:rsidRPr="00E22714">
        <w:rPr>
          <w:rFonts w:ascii="Times New Roman" w:hAnsi="Times New Roman" w:cs="Times New Roman"/>
          <w:sz w:val="20"/>
          <w:szCs w:val="20"/>
        </w:rPr>
        <w:fldChar w:fldCharType="end"/>
      </w:r>
    </w:p>
    <w:p w14:paraId="2183BE80" w14:textId="562FEE45" w:rsidR="00B51CB3" w:rsidRPr="00E22714" w:rsidRDefault="00B51CB3"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Modelling strategy</w:t>
      </w:r>
    </w:p>
    <w:p w14:paraId="640D9A38" w14:textId="2AA9F284" w:rsidR="004B259F" w:rsidRPr="00E22714" w:rsidRDefault="00C82AF3" w:rsidP="00E22714">
      <w:pPr>
        <w:spacing w:line="240" w:lineRule="auto"/>
        <w:rPr>
          <w:rFonts w:ascii="Times New Roman" w:hAnsi="Times New Roman" w:cs="Times New Roman"/>
          <w:sz w:val="20"/>
        </w:rPr>
      </w:pPr>
      <w:r w:rsidRPr="00E22714">
        <w:rPr>
          <w:rFonts w:ascii="Times New Roman" w:hAnsi="Times New Roman" w:cs="Times New Roman"/>
          <w:sz w:val="20"/>
        </w:rPr>
        <w:t>The approach taken to estimating ‘excess mortality’ in each year after 2010 involves two stages</w:t>
      </w:r>
      <w:r w:rsidR="007405AE" w:rsidRPr="00E22714">
        <w:rPr>
          <w:rFonts w:ascii="Times New Roman" w:hAnsi="Times New Roman" w:cs="Times New Roman"/>
          <w:sz w:val="20"/>
        </w:rPr>
        <w:t>.</w:t>
      </w:r>
      <w:r w:rsidR="00E22714" w:rsidRPr="00E22714">
        <w:rPr>
          <w:rFonts w:ascii="Times New Roman" w:hAnsi="Times New Roman" w:cs="Times New Roman"/>
          <w:sz w:val="20"/>
        </w:rPr>
        <w:t xml:space="preserve"> </w:t>
      </w:r>
      <w:r w:rsidR="009674C6" w:rsidRPr="00E22714">
        <w:rPr>
          <w:rFonts w:ascii="Times New Roman" w:hAnsi="Times New Roman" w:cs="Times New Roman"/>
          <w:sz w:val="20"/>
        </w:rPr>
        <w:t>Firstly</w:t>
      </w:r>
      <w:r w:rsidRPr="00E22714">
        <w:rPr>
          <w:rFonts w:ascii="Times New Roman" w:hAnsi="Times New Roman" w:cs="Times New Roman"/>
          <w:sz w:val="20"/>
        </w:rPr>
        <w:t xml:space="preserve"> separate linear regression models are produced for both sexes, and each age in single years from birth to 89 years, in which log mortality is the response variable and a number of intercepts and trend terms are included as predictor variables. These allow the overall trend in falling age-specific mortality to be estimated over the period 1990-201</w:t>
      </w:r>
      <w:r w:rsidR="0060192B" w:rsidRPr="00E22714">
        <w:rPr>
          <w:rFonts w:ascii="Times New Roman" w:hAnsi="Times New Roman" w:cs="Times New Roman"/>
          <w:sz w:val="20"/>
        </w:rPr>
        <w:t>5</w:t>
      </w:r>
      <w:r w:rsidRPr="00E22714">
        <w:rPr>
          <w:rFonts w:ascii="Times New Roman" w:hAnsi="Times New Roman" w:cs="Times New Roman"/>
          <w:sz w:val="20"/>
        </w:rPr>
        <w:t xml:space="preserve">, as well as any changes in this trend over the period 1997-2010 (i.e. during the period of the New Labour </w:t>
      </w:r>
      <w:r w:rsidR="000A579F" w:rsidRPr="00E22714">
        <w:rPr>
          <w:rFonts w:ascii="Times New Roman" w:hAnsi="Times New Roman" w:cs="Times New Roman"/>
          <w:sz w:val="20"/>
        </w:rPr>
        <w:t xml:space="preserve">(NL) </w:t>
      </w:r>
      <w:r w:rsidRPr="00E22714">
        <w:rPr>
          <w:rFonts w:ascii="Times New Roman" w:hAnsi="Times New Roman" w:cs="Times New Roman"/>
          <w:sz w:val="20"/>
        </w:rPr>
        <w:t xml:space="preserve">government); additional terms are used to capture any additional effect </w:t>
      </w:r>
      <w:r w:rsidR="0060192B" w:rsidRPr="00E22714">
        <w:rPr>
          <w:rFonts w:ascii="Times New Roman" w:hAnsi="Times New Roman" w:cs="Times New Roman"/>
          <w:sz w:val="20"/>
        </w:rPr>
        <w:t xml:space="preserve">(‘shock’) </w:t>
      </w:r>
      <w:r w:rsidRPr="00E22714">
        <w:rPr>
          <w:rFonts w:ascii="Times New Roman" w:hAnsi="Times New Roman" w:cs="Times New Roman"/>
          <w:sz w:val="20"/>
        </w:rPr>
        <w:t xml:space="preserve">associated with the global financial crisis (GFC) of 2008-2010 to avoid biasing </w:t>
      </w:r>
      <w:r w:rsidR="000A579F" w:rsidRPr="00E22714">
        <w:rPr>
          <w:rFonts w:ascii="Times New Roman" w:hAnsi="Times New Roman" w:cs="Times New Roman"/>
          <w:sz w:val="20"/>
        </w:rPr>
        <w:t xml:space="preserve">trend terms associated with the NL period. </w:t>
      </w:r>
      <w:r w:rsidR="00910EF2" w:rsidRPr="00E22714">
        <w:rPr>
          <w:rFonts w:ascii="Times New Roman" w:hAnsi="Times New Roman" w:cs="Times New Roman"/>
          <w:sz w:val="20"/>
        </w:rPr>
        <w:t xml:space="preserve">The precise details of the modelling </w:t>
      </w:r>
      <w:r w:rsidR="00F61151" w:rsidRPr="00E22714">
        <w:rPr>
          <w:rFonts w:ascii="Times New Roman" w:hAnsi="Times New Roman" w:cs="Times New Roman"/>
          <w:sz w:val="20"/>
        </w:rPr>
        <w:t xml:space="preserve">strategy </w:t>
      </w:r>
      <w:r w:rsidR="00910EF2" w:rsidRPr="00E22714">
        <w:rPr>
          <w:rFonts w:ascii="Times New Roman" w:hAnsi="Times New Roman" w:cs="Times New Roman"/>
          <w:sz w:val="20"/>
        </w:rPr>
        <w:t>are detailed in the appendix</w:t>
      </w:r>
      <w:r w:rsidR="006B38EC" w:rsidRPr="00E22714">
        <w:rPr>
          <w:rFonts w:ascii="Times New Roman" w:hAnsi="Times New Roman" w:cs="Times New Roman"/>
          <w:sz w:val="20"/>
        </w:rPr>
        <w:t xml:space="preserve">, </w:t>
      </w:r>
      <w:r w:rsidR="00924B11" w:rsidRPr="00E22714">
        <w:rPr>
          <w:rFonts w:ascii="Times New Roman" w:hAnsi="Times New Roman" w:cs="Times New Roman"/>
          <w:sz w:val="20"/>
        </w:rPr>
        <w:t>which also includes a sensitivity analysis</w:t>
      </w:r>
      <w:r w:rsidR="000A579F" w:rsidRPr="00E22714">
        <w:rPr>
          <w:rFonts w:ascii="Times New Roman" w:hAnsi="Times New Roman" w:cs="Times New Roman"/>
          <w:sz w:val="20"/>
        </w:rPr>
        <w:t xml:space="preserve"> using an alternate model specification to allow for nonlinearities in trends over time</w:t>
      </w:r>
      <w:r w:rsidR="00910EF2" w:rsidRPr="00E22714">
        <w:rPr>
          <w:rFonts w:ascii="Times New Roman" w:hAnsi="Times New Roman" w:cs="Times New Roman"/>
          <w:sz w:val="20"/>
        </w:rPr>
        <w:t xml:space="preserve">. </w:t>
      </w:r>
    </w:p>
    <w:p w14:paraId="3FAE4B98" w14:textId="24DFDB8D" w:rsidR="002074F1" w:rsidRPr="00E22714" w:rsidRDefault="000A579F" w:rsidP="00E22714">
      <w:pPr>
        <w:spacing w:line="240" w:lineRule="auto"/>
        <w:rPr>
          <w:rFonts w:ascii="Times New Roman" w:hAnsi="Times New Roman" w:cs="Times New Roman"/>
          <w:sz w:val="20"/>
        </w:rPr>
      </w:pPr>
      <w:r w:rsidRPr="00E22714">
        <w:rPr>
          <w:rFonts w:ascii="Times New Roman" w:hAnsi="Times New Roman" w:cs="Times New Roman"/>
          <w:sz w:val="20"/>
        </w:rPr>
        <w:t>In stage two, the regression models are used to produce counterfactual death rates at different ages for each year 201</w:t>
      </w:r>
      <w:r w:rsidR="0060192B" w:rsidRPr="00E22714">
        <w:rPr>
          <w:rFonts w:ascii="Times New Roman" w:hAnsi="Times New Roman" w:cs="Times New Roman"/>
          <w:sz w:val="20"/>
        </w:rPr>
        <w:t>1</w:t>
      </w:r>
      <w:r w:rsidRPr="00E22714">
        <w:rPr>
          <w:rFonts w:ascii="Times New Roman" w:hAnsi="Times New Roman" w:cs="Times New Roman"/>
          <w:sz w:val="20"/>
        </w:rPr>
        <w:t xml:space="preserve"> to 2015, if trends in death rates observed during the period 1997-2010 h</w:t>
      </w:r>
      <w:r w:rsidR="0060192B" w:rsidRPr="00E22714">
        <w:rPr>
          <w:rFonts w:ascii="Times New Roman" w:hAnsi="Times New Roman" w:cs="Times New Roman"/>
          <w:sz w:val="20"/>
        </w:rPr>
        <w:t xml:space="preserve">ad continued throughout the latter period. The counterfactual mortality risks are then </w:t>
      </w:r>
      <w:r w:rsidR="00436D09" w:rsidRPr="00E22714">
        <w:rPr>
          <w:rFonts w:ascii="Times New Roman" w:hAnsi="Times New Roman" w:cs="Times New Roman"/>
          <w:sz w:val="20"/>
        </w:rPr>
        <w:t xml:space="preserve">applied </w:t>
      </w:r>
      <w:r w:rsidR="0060192B" w:rsidRPr="00E22714">
        <w:rPr>
          <w:rFonts w:ascii="Times New Roman" w:hAnsi="Times New Roman" w:cs="Times New Roman"/>
          <w:sz w:val="20"/>
        </w:rPr>
        <w:t>to actual population counts observed in 2011-2015 to produce ‘expected death counts’ in each year and at each age, and then compared with the observed deaths at each age in each year to produce both age-specific and total ‘excess deaths’ in each y</w:t>
      </w:r>
      <w:bookmarkStart w:id="1" w:name="_GoBack"/>
      <w:bookmarkEnd w:id="1"/>
      <w:r w:rsidR="0060192B" w:rsidRPr="00E22714">
        <w:rPr>
          <w:rFonts w:ascii="Times New Roman" w:hAnsi="Times New Roman" w:cs="Times New Roman"/>
          <w:sz w:val="20"/>
        </w:rPr>
        <w:t xml:space="preserve">ear. </w:t>
      </w:r>
    </w:p>
    <w:p w14:paraId="2FA8F296" w14:textId="416AD671" w:rsidR="00D80E19" w:rsidRPr="00E22714" w:rsidRDefault="00D80E19" w:rsidP="00E22714">
      <w:pPr>
        <w:pStyle w:val="Heading2"/>
        <w:spacing w:line="240" w:lineRule="auto"/>
        <w:rPr>
          <w:rFonts w:ascii="Times New Roman" w:hAnsi="Times New Roman" w:cs="Times New Roman"/>
          <w:b/>
          <w:color w:val="auto"/>
          <w:sz w:val="24"/>
        </w:rPr>
      </w:pPr>
      <w:r w:rsidRPr="00E22714">
        <w:rPr>
          <w:rFonts w:ascii="Times New Roman" w:hAnsi="Times New Roman" w:cs="Times New Roman"/>
          <w:b/>
          <w:color w:val="auto"/>
          <w:sz w:val="24"/>
        </w:rPr>
        <w:lastRenderedPageBreak/>
        <w:t xml:space="preserve">Results </w:t>
      </w:r>
    </w:p>
    <w:p w14:paraId="7ACDA97F" w14:textId="3627BAA8" w:rsidR="00E323A4" w:rsidRPr="00E22714" w:rsidRDefault="008347BD"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M</w:t>
      </w:r>
      <w:r w:rsidR="00E323A4" w:rsidRPr="00E22714">
        <w:rPr>
          <w:rFonts w:ascii="Times New Roman" w:hAnsi="Times New Roman" w:cs="Times New Roman"/>
          <w:b/>
          <w:color w:val="auto"/>
          <w:sz w:val="20"/>
        </w:rPr>
        <w:t>odel projections</w:t>
      </w:r>
    </w:p>
    <w:p w14:paraId="71420556" w14:textId="2D308C6F" w:rsidR="0027163A" w:rsidRPr="00E22714" w:rsidRDefault="00E323A4"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Figure </w:t>
      </w:r>
      <w:r w:rsidR="0027163A" w:rsidRPr="00E22714">
        <w:rPr>
          <w:rFonts w:ascii="Times New Roman" w:hAnsi="Times New Roman" w:cs="Times New Roman"/>
          <w:sz w:val="20"/>
        </w:rPr>
        <w:t>2</w:t>
      </w:r>
      <w:r w:rsidRPr="00E22714">
        <w:rPr>
          <w:rFonts w:ascii="Times New Roman" w:hAnsi="Times New Roman" w:cs="Times New Roman"/>
          <w:sz w:val="20"/>
        </w:rPr>
        <w:t xml:space="preserve"> </w:t>
      </w:r>
      <w:r w:rsidR="0027163A" w:rsidRPr="00E22714">
        <w:rPr>
          <w:rFonts w:ascii="Times New Roman" w:hAnsi="Times New Roman" w:cs="Times New Roman"/>
          <w:sz w:val="20"/>
        </w:rPr>
        <w:t xml:space="preserve">shows the mortality rates projected at different ages in single years, had trends in age specific mortality rate reduction observed during the period 1997 to 2010 continued in the years 2011 to 2015 inclusive, for ages 60 to 85 years. Each point is a data point, the line shows the best fit of the trend, and the band shows the 95% credible interval around this line. The top row shows the mortality trends on the log scale and the bottom on the identity scale. </w:t>
      </w:r>
    </w:p>
    <w:p w14:paraId="39C62CF2" w14:textId="3613C897" w:rsidR="00F82EEE" w:rsidRPr="00E22714" w:rsidRDefault="003779CB" w:rsidP="00E22714">
      <w:pPr>
        <w:spacing w:line="240" w:lineRule="auto"/>
        <w:rPr>
          <w:rFonts w:ascii="Times New Roman" w:hAnsi="Times New Roman" w:cs="Times New Roman"/>
          <w:sz w:val="20"/>
        </w:rPr>
      </w:pPr>
      <w:r w:rsidRPr="00E22714">
        <w:rPr>
          <w:rFonts w:ascii="Times New Roman" w:hAnsi="Times New Roman" w:cs="Times New Roman"/>
          <w:sz w:val="20"/>
        </w:rPr>
        <w:t>During</w:t>
      </w:r>
      <w:r w:rsidR="0027163A" w:rsidRPr="00E22714">
        <w:rPr>
          <w:rFonts w:ascii="Times New Roman" w:hAnsi="Times New Roman" w:cs="Times New Roman"/>
          <w:sz w:val="20"/>
        </w:rPr>
        <w:t xml:space="preserve"> the period 1997 to 2010 there was a steady fall in age specific mortality risk on the log scale, steeper </w:t>
      </w:r>
      <w:r w:rsidR="00962428" w:rsidRPr="00E22714">
        <w:rPr>
          <w:rFonts w:ascii="Times New Roman" w:hAnsi="Times New Roman" w:cs="Times New Roman"/>
          <w:sz w:val="20"/>
        </w:rPr>
        <w:t xml:space="preserve">than in the period 1990 to 1997 for older ages in particular. After 2010 mortality rates at specific ages tended to move towards the top of the credible interval band, moving above these bands for most of the ages plotted by 2015. </w:t>
      </w:r>
      <w:r w:rsidRPr="00E22714">
        <w:rPr>
          <w:rFonts w:ascii="Times New Roman" w:hAnsi="Times New Roman" w:cs="Times New Roman"/>
          <w:sz w:val="20"/>
        </w:rPr>
        <w:t>T</w:t>
      </w:r>
      <w:r w:rsidR="00962428" w:rsidRPr="00E22714">
        <w:rPr>
          <w:rFonts w:ascii="Times New Roman" w:hAnsi="Times New Roman" w:cs="Times New Roman"/>
          <w:sz w:val="20"/>
        </w:rPr>
        <w:t xml:space="preserve">he log scale </w:t>
      </w:r>
      <w:r w:rsidRPr="00E22714">
        <w:rPr>
          <w:rFonts w:ascii="Times New Roman" w:hAnsi="Times New Roman" w:cs="Times New Roman"/>
          <w:sz w:val="20"/>
        </w:rPr>
        <w:t>subfigures show statistically significant higher-than-projected mortality rates at ages 70 and 75 years, with more deviation between actual and projected rates for males than females</w:t>
      </w:r>
      <w:r w:rsidR="00962428" w:rsidRPr="00E22714">
        <w:rPr>
          <w:rFonts w:ascii="Times New Roman" w:hAnsi="Times New Roman" w:cs="Times New Roman"/>
          <w:sz w:val="20"/>
        </w:rPr>
        <w:t xml:space="preserve">. </w:t>
      </w:r>
      <w:r w:rsidR="00F82EEE" w:rsidRPr="00E22714">
        <w:rPr>
          <w:rFonts w:ascii="Times New Roman" w:hAnsi="Times New Roman" w:cs="Times New Roman"/>
          <w:sz w:val="20"/>
        </w:rPr>
        <w:t xml:space="preserve">The identity scale helps raise the important distinction between statistical and substantive significance, with the borderline statistically significant ‘excess’ mortality at age </w:t>
      </w:r>
      <w:r w:rsidR="00560035" w:rsidRPr="00E22714">
        <w:rPr>
          <w:rFonts w:ascii="Times New Roman" w:hAnsi="Times New Roman" w:cs="Times New Roman"/>
          <w:sz w:val="20"/>
        </w:rPr>
        <w:t>85</w:t>
      </w:r>
      <w:r w:rsidR="00F82EEE" w:rsidRPr="00E22714">
        <w:rPr>
          <w:rFonts w:ascii="Times New Roman" w:hAnsi="Times New Roman" w:cs="Times New Roman"/>
          <w:sz w:val="20"/>
        </w:rPr>
        <w:t xml:space="preserve"> in 2015 implying a much greater additional mortality risk than the clearly statistically significant ‘excess’ mortality a</w:t>
      </w:r>
      <w:r w:rsidR="008D618D" w:rsidRPr="00E22714">
        <w:rPr>
          <w:rFonts w:ascii="Times New Roman" w:hAnsi="Times New Roman" w:cs="Times New Roman"/>
          <w:sz w:val="20"/>
        </w:rPr>
        <w:t>t</w:t>
      </w:r>
      <w:r w:rsidR="00F82EEE" w:rsidRPr="00E22714">
        <w:rPr>
          <w:rFonts w:ascii="Times New Roman" w:hAnsi="Times New Roman" w:cs="Times New Roman"/>
          <w:sz w:val="20"/>
        </w:rPr>
        <w:t xml:space="preserve"> ages 60 or 70. </w:t>
      </w:r>
    </w:p>
    <w:p w14:paraId="0E53DDFB" w14:textId="5BC86C7E" w:rsidR="00E323A4" w:rsidRPr="00E22714" w:rsidRDefault="00E323A4" w:rsidP="00E22714">
      <w:pPr>
        <w:spacing w:line="240" w:lineRule="auto"/>
        <w:rPr>
          <w:rFonts w:ascii="Times New Roman" w:hAnsi="Times New Roman" w:cs="Times New Roman"/>
          <w:b/>
          <w:sz w:val="20"/>
        </w:rPr>
      </w:pPr>
      <w:r w:rsidRPr="00E22714">
        <w:rPr>
          <w:rFonts w:ascii="Times New Roman" w:hAnsi="Times New Roman" w:cs="Times New Roman"/>
          <w:b/>
          <w:sz w:val="20"/>
        </w:rPr>
        <w:t xml:space="preserve">Figure </w:t>
      </w:r>
      <w:r w:rsidR="00F82EEE" w:rsidRPr="00E22714">
        <w:rPr>
          <w:rFonts w:ascii="Times New Roman" w:hAnsi="Times New Roman" w:cs="Times New Roman"/>
          <w:b/>
          <w:sz w:val="20"/>
        </w:rPr>
        <w:t xml:space="preserve">2 </w:t>
      </w:r>
      <w:r w:rsidR="00DA26E4" w:rsidRPr="00E22714">
        <w:rPr>
          <w:rFonts w:ascii="Times New Roman" w:hAnsi="Times New Roman" w:cs="Times New Roman"/>
          <w:b/>
          <w:sz w:val="20"/>
        </w:rPr>
        <w:t>Model</w:t>
      </w:r>
      <w:r w:rsidRPr="00E22714">
        <w:rPr>
          <w:rFonts w:ascii="Times New Roman" w:hAnsi="Times New Roman" w:cs="Times New Roman"/>
          <w:b/>
          <w:sz w:val="20"/>
        </w:rPr>
        <w:t xml:space="preserve"> projections</w:t>
      </w:r>
      <w:r w:rsidR="00DA26E4" w:rsidRPr="00E22714">
        <w:rPr>
          <w:rFonts w:ascii="Times New Roman" w:hAnsi="Times New Roman" w:cs="Times New Roman"/>
          <w:b/>
          <w:sz w:val="20"/>
        </w:rPr>
        <w:t xml:space="preserve"> and actual mortality risks age ages 60 to 85 years</w:t>
      </w:r>
      <w:r w:rsidRPr="00E22714">
        <w:rPr>
          <w:rFonts w:ascii="Times New Roman" w:hAnsi="Times New Roman" w:cs="Times New Roman"/>
          <w:b/>
          <w:sz w:val="20"/>
        </w:rPr>
        <w:t xml:space="preserve">. (A) </w:t>
      </w:r>
      <w:proofErr w:type="gramStart"/>
      <w:r w:rsidRPr="00E22714">
        <w:rPr>
          <w:rFonts w:ascii="Times New Roman" w:hAnsi="Times New Roman" w:cs="Times New Roman"/>
          <w:b/>
          <w:sz w:val="20"/>
        </w:rPr>
        <w:t>log</w:t>
      </w:r>
      <w:r w:rsidRPr="00E22714">
        <w:rPr>
          <w:rFonts w:ascii="Times New Roman" w:hAnsi="Times New Roman" w:cs="Times New Roman"/>
          <w:b/>
          <w:sz w:val="20"/>
          <w:vertAlign w:val="subscript"/>
        </w:rPr>
        <w:t>10</w:t>
      </w:r>
      <w:proofErr w:type="gramEnd"/>
      <w:r w:rsidRPr="00E22714">
        <w:rPr>
          <w:rFonts w:ascii="Times New Roman" w:hAnsi="Times New Roman" w:cs="Times New Roman"/>
          <w:b/>
          <w:sz w:val="20"/>
        </w:rPr>
        <w:t xml:space="preserve"> mortality; (B) absolute mortality</w:t>
      </w:r>
    </w:p>
    <w:p w14:paraId="42779B62" w14:textId="32F6FA29" w:rsidR="00E323A4" w:rsidRPr="00E22714" w:rsidRDefault="0027163A" w:rsidP="00E22714">
      <w:pPr>
        <w:spacing w:line="240" w:lineRule="auto"/>
        <w:rPr>
          <w:rFonts w:ascii="Times New Roman" w:hAnsi="Times New Roman" w:cs="Times New Roman"/>
        </w:rPr>
      </w:pPr>
      <w:r w:rsidRPr="00E22714">
        <w:rPr>
          <w:rFonts w:ascii="Times New Roman" w:hAnsi="Times New Roman" w:cs="Times New Roman"/>
          <w:noProof/>
          <w:lang w:eastAsia="en-GB"/>
        </w:rPr>
        <w:drawing>
          <wp:inline distT="0" distB="0" distL="0" distR="0" wp14:anchorId="71F9DA85" wp14:editId="321F0B14">
            <wp:extent cx="5722620" cy="5722620"/>
            <wp:effectExtent l="0" t="0" r="0" b="0"/>
            <wp:docPr id="5" name="Picture 5" descr="E:\repos\danny_elderly_mort\figures\banded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pos\danny_elderly_mort\figures\banded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inline>
        </w:drawing>
      </w:r>
    </w:p>
    <w:p w14:paraId="4F8CE861" w14:textId="5C60F2F6" w:rsidR="00DA26E4" w:rsidRPr="00E22714" w:rsidRDefault="00E22714" w:rsidP="00E22714">
      <w:pPr>
        <w:spacing w:line="240" w:lineRule="auto"/>
        <w:rPr>
          <w:rFonts w:ascii="Times New Roman" w:hAnsi="Times New Roman" w:cs="Times New Roman"/>
          <w:sz w:val="20"/>
        </w:rPr>
      </w:pPr>
      <w:r w:rsidRPr="00E22714">
        <w:rPr>
          <w:rFonts w:ascii="Times New Roman" w:hAnsi="Times New Roman" w:cs="Times New Roman"/>
          <w:sz w:val="20"/>
        </w:rPr>
        <w:lastRenderedPageBreak/>
        <w:t xml:space="preserve">Figure </w:t>
      </w:r>
      <w:r w:rsidR="00DA26E4" w:rsidRPr="00E22714">
        <w:rPr>
          <w:rFonts w:ascii="Times New Roman" w:hAnsi="Times New Roman" w:cs="Times New Roman"/>
          <w:sz w:val="20"/>
        </w:rPr>
        <w:t xml:space="preserve">1 in the appendix shows equivalent projected and actual mortality rates in infancy, and at ages 15, 25, 35 and 45 years. In this figure it is clear that mortality rates in infancy fell rapidly between 1990 </w:t>
      </w:r>
      <w:r w:rsidR="00455A1A" w:rsidRPr="00E22714">
        <w:rPr>
          <w:rFonts w:ascii="Times New Roman" w:hAnsi="Times New Roman" w:cs="Times New Roman"/>
          <w:sz w:val="20"/>
        </w:rPr>
        <w:t xml:space="preserve">(in fact since the 1960s) </w:t>
      </w:r>
      <w:r w:rsidR="00DA26E4" w:rsidRPr="00E22714">
        <w:rPr>
          <w:rFonts w:ascii="Times New Roman" w:hAnsi="Times New Roman" w:cs="Times New Roman"/>
          <w:sz w:val="20"/>
        </w:rPr>
        <w:t xml:space="preserve">and 1992, steadily </w:t>
      </w:r>
      <w:r w:rsidR="00455A1A" w:rsidRPr="00E22714">
        <w:rPr>
          <w:rFonts w:ascii="Times New Roman" w:hAnsi="Times New Roman" w:cs="Times New Roman"/>
          <w:sz w:val="20"/>
        </w:rPr>
        <w:t xml:space="preserve">but more slowly </w:t>
      </w:r>
      <w:r w:rsidR="00560035" w:rsidRPr="00E22714">
        <w:rPr>
          <w:rFonts w:ascii="Times New Roman" w:hAnsi="Times New Roman" w:cs="Times New Roman"/>
          <w:sz w:val="20"/>
        </w:rPr>
        <w:t>afterwards, including the period 1997-2010</w:t>
      </w:r>
      <w:r w:rsidR="00DA26E4" w:rsidRPr="00E22714">
        <w:rPr>
          <w:rFonts w:ascii="Times New Roman" w:hAnsi="Times New Roman" w:cs="Times New Roman"/>
          <w:sz w:val="20"/>
        </w:rPr>
        <w:t xml:space="preserve">. Mortality rates for males aged 35 also fell after 2010 below the projected range. At other ages actual rates were largely as expected from the model. </w:t>
      </w:r>
      <w:r w:rsidR="00455A1A" w:rsidRPr="00E22714">
        <w:rPr>
          <w:rFonts w:ascii="Times New Roman" w:hAnsi="Times New Roman" w:cs="Times New Roman"/>
          <w:sz w:val="20"/>
        </w:rPr>
        <w:t>The projected and actual mortality risks at all ages in single years are used in the projection of total estimated excess deaths, below.</w:t>
      </w:r>
      <w:r w:rsidR="00560035" w:rsidRPr="00E22714">
        <w:rPr>
          <w:rFonts w:ascii="Times New Roman" w:hAnsi="Times New Roman" w:cs="Times New Roman"/>
          <w:sz w:val="20"/>
        </w:rPr>
        <w:t xml:space="preserve"> Figure S_02 in the appendix summarises the model coefficients</w:t>
      </w:r>
      <w:r w:rsidR="00735CC9" w:rsidRPr="00E22714">
        <w:rPr>
          <w:rFonts w:ascii="Times New Roman" w:hAnsi="Times New Roman" w:cs="Times New Roman"/>
          <w:sz w:val="20"/>
        </w:rPr>
        <w:t xml:space="preserve">; it is worth noting the first row of this figure, the intercept term, successfully identifies the </w:t>
      </w:r>
      <w:proofErr w:type="spellStart"/>
      <w:r w:rsidR="00735CC9" w:rsidRPr="00E22714">
        <w:rPr>
          <w:rFonts w:ascii="Times New Roman" w:hAnsi="Times New Roman" w:cs="Times New Roman"/>
          <w:sz w:val="20"/>
        </w:rPr>
        <w:t>Gompertz-Makham</w:t>
      </w:r>
      <w:proofErr w:type="spellEnd"/>
      <w:r w:rsidR="00735CC9" w:rsidRPr="00E22714">
        <w:rPr>
          <w:rFonts w:ascii="Times New Roman" w:hAnsi="Times New Roman" w:cs="Times New Roman"/>
          <w:sz w:val="20"/>
        </w:rPr>
        <w:t xml:space="preserve"> law of mortality risk against age (also known as the ‘bathtub curve’), </w:t>
      </w:r>
      <w:r w:rsidR="003779CB"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"10.2307/41134925", "ISSN" : "20461658", "author" : [ { "dropping-particle" : "", "family" : "Makeham", "given" : "William Matthew", "non-dropping-particle" : "", "parse-names" : false, "suffix" : "" } ], "container-title" : "The Assurance Magazine, and Journal of the Institute of Actuaries", "genre" : "JOUR", "id" : "ITEM-1", "issue" : "6", "issued" : { "date-parts" : [ [ "1860", "1", "1" ] ] }, "page" : "301-310", "publisher" : "Cambridge University Press on behalf of the Institute and Faculty of Actuaries", "title" : "On the Law of Mortality and the Construction of Annuity Tables", "type" : "article-journal", "volume" : "8" }, "uris" : [ "http://www.mendeley.com/documents/?uuid=2efd5169-76fe-4627-81f1-77b557c8106d" ] } ], "mendeley" : { "formattedCitation" : "(12)", "plainTextFormattedCitation" : "(12)", "previouslyFormattedCitation" : "(12)" }, "properties" : { "noteIndex" : 0 }, "schema" : "https://github.com/citation-style-language/schema/raw/master/csl-citation.json" }</w:instrText>
      </w:r>
      <w:r w:rsidR="003779CB"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(12)</w:t>
      </w:r>
      <w:r w:rsidR="003779CB" w:rsidRPr="00E22714">
        <w:rPr>
          <w:rFonts w:ascii="Times New Roman" w:hAnsi="Times New Roman" w:cs="Times New Roman"/>
          <w:sz w:val="20"/>
        </w:rPr>
        <w:fldChar w:fldCharType="end"/>
      </w:r>
      <w:r w:rsidR="00735CC9" w:rsidRPr="00E22714">
        <w:rPr>
          <w:rFonts w:ascii="Times New Roman" w:hAnsi="Times New Roman" w:cs="Times New Roman"/>
          <w:sz w:val="20"/>
        </w:rPr>
        <w:t xml:space="preserve"> suggesting an appropriate model specification; and also that the trend terms are all negative and statistically significant, suggesting it is appropriate to </w:t>
      </w:r>
      <w:r w:rsidR="003779CB" w:rsidRPr="00E22714">
        <w:rPr>
          <w:rFonts w:ascii="Times New Roman" w:hAnsi="Times New Roman" w:cs="Times New Roman"/>
          <w:sz w:val="20"/>
        </w:rPr>
        <w:t xml:space="preserve">model </w:t>
      </w:r>
      <w:r w:rsidR="00735CC9" w:rsidRPr="00E22714">
        <w:rPr>
          <w:rFonts w:ascii="Times New Roman" w:hAnsi="Times New Roman" w:cs="Times New Roman"/>
          <w:sz w:val="20"/>
        </w:rPr>
        <w:t xml:space="preserve">falling mortality risks over time.  </w:t>
      </w:r>
    </w:p>
    <w:p w14:paraId="0190D719" w14:textId="314DA9F4" w:rsidR="00E323A4" w:rsidRPr="00E22714" w:rsidRDefault="00E323A4"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Total Estimated Excess Death</w:t>
      </w:r>
      <w:r w:rsidR="008347BD" w:rsidRPr="00E22714">
        <w:rPr>
          <w:rFonts w:ascii="Times New Roman" w:hAnsi="Times New Roman" w:cs="Times New Roman"/>
          <w:b/>
          <w:color w:val="auto"/>
          <w:sz w:val="20"/>
        </w:rPr>
        <w:t>s</w:t>
      </w:r>
      <w:r w:rsidRPr="00E22714">
        <w:rPr>
          <w:rFonts w:ascii="Times New Roman" w:hAnsi="Times New Roman" w:cs="Times New Roman"/>
          <w:b/>
          <w:color w:val="auto"/>
          <w:sz w:val="20"/>
        </w:rPr>
        <w:t>, 2010-2015</w:t>
      </w:r>
    </w:p>
    <w:p w14:paraId="70B57890" w14:textId="037FE372" w:rsidR="00E323A4" w:rsidRPr="00E22714" w:rsidRDefault="00E323A4"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Figure 4 shows the total ‘excess’ deaths in each year from 2010 to 2015, between birth and the age indicated on the horizontal axis, if the </w:t>
      </w:r>
      <w:r w:rsidR="00735CC9" w:rsidRPr="00E22714">
        <w:rPr>
          <w:rFonts w:ascii="Times New Roman" w:hAnsi="Times New Roman" w:cs="Times New Roman"/>
          <w:sz w:val="20"/>
        </w:rPr>
        <w:t>1997-2010 (‘New Labour’)</w:t>
      </w:r>
      <w:r w:rsidRPr="00E22714">
        <w:rPr>
          <w:rFonts w:ascii="Times New Roman" w:hAnsi="Times New Roman" w:cs="Times New Roman"/>
          <w:sz w:val="20"/>
        </w:rPr>
        <w:t xml:space="preserve"> trends </w:t>
      </w:r>
      <w:r w:rsidR="00735CC9" w:rsidRPr="00E22714">
        <w:rPr>
          <w:rFonts w:ascii="Times New Roman" w:hAnsi="Times New Roman" w:cs="Times New Roman"/>
          <w:sz w:val="20"/>
        </w:rPr>
        <w:t>had continued</w:t>
      </w:r>
      <w:r w:rsidRPr="00E22714">
        <w:rPr>
          <w:rFonts w:ascii="Times New Roman" w:hAnsi="Times New Roman" w:cs="Times New Roman"/>
          <w:sz w:val="20"/>
        </w:rPr>
        <w:t xml:space="preserve">. A vertical dashed line is added at age 65 years, </w:t>
      </w:r>
      <w:r w:rsidR="003779CB" w:rsidRPr="00E22714">
        <w:rPr>
          <w:rFonts w:ascii="Times New Roman" w:hAnsi="Times New Roman" w:cs="Times New Roman"/>
          <w:sz w:val="20"/>
        </w:rPr>
        <w:t>as it seems this age marks an important turning point in excess death trends. In each year after 2010 there were fewer deaths than expected between birth and age 65, but more after th</w:t>
      </w:r>
      <w:r w:rsidR="00747C48" w:rsidRPr="00E22714">
        <w:rPr>
          <w:rFonts w:ascii="Times New Roman" w:hAnsi="Times New Roman" w:cs="Times New Roman"/>
          <w:sz w:val="20"/>
        </w:rPr>
        <w:t>ese</w:t>
      </w:r>
      <w:r w:rsidR="003779CB" w:rsidRPr="00E22714">
        <w:rPr>
          <w:rFonts w:ascii="Times New Roman" w:hAnsi="Times New Roman" w:cs="Times New Roman"/>
          <w:sz w:val="20"/>
        </w:rPr>
        <w:t xml:space="preserve"> years, and this increasing excess has </w:t>
      </w:r>
      <w:r w:rsidR="00747C48" w:rsidRPr="00E22714">
        <w:rPr>
          <w:rFonts w:ascii="Times New Roman" w:hAnsi="Times New Roman" w:cs="Times New Roman"/>
          <w:sz w:val="20"/>
        </w:rPr>
        <w:t>grown with</w:t>
      </w:r>
      <w:r w:rsidR="003779CB" w:rsidRPr="00E22714">
        <w:rPr>
          <w:rFonts w:ascii="Times New Roman" w:hAnsi="Times New Roman" w:cs="Times New Roman"/>
          <w:sz w:val="20"/>
        </w:rPr>
        <w:t xml:space="preserve"> time. Most of the excess deaths between the ages of 65 and 89 years occurred from 2012 onwards. 2015 saw a greater number of excess deaths by age 89 than the years 2012 to 2014 combined. </w:t>
      </w:r>
    </w:p>
    <w:p w14:paraId="55E150C9" w14:textId="3B86CF89" w:rsidR="002E2937" w:rsidRPr="00E22714" w:rsidRDefault="002E2937" w:rsidP="00E22714">
      <w:pPr>
        <w:spacing w:line="240" w:lineRule="auto"/>
        <w:rPr>
          <w:rFonts w:ascii="Times New Roman" w:hAnsi="Times New Roman" w:cs="Times New Roman"/>
          <w:sz w:val="20"/>
        </w:rPr>
        <w:sectPr w:rsidR="002E2937" w:rsidRPr="00E22714" w:rsidSect="00111C57">
          <w:headerReference w:type="default" r:id="rId12"/>
          <w:footerReference w:type="default" r:id="rId13"/>
          <w:type w:val="continuous"/>
          <w:pgSz w:w="11906" w:h="16838"/>
          <w:pgMar w:top="1440" w:right="1440" w:bottom="1440" w:left="1440" w:header="708" w:footer="708" w:gutter="0"/>
          <w:cols w:space="708"/>
          <w:docGrid w:linePitch="360"/>
        </w:sectPr>
      </w:pPr>
      <w:r w:rsidRPr="00E22714">
        <w:rPr>
          <w:rFonts w:ascii="Times New Roman" w:hAnsi="Times New Roman" w:cs="Times New Roman"/>
          <w:sz w:val="20"/>
        </w:rPr>
        <w:t xml:space="preserve">Results from the model are summarised in </w:t>
      </w:r>
      <w:r w:rsidR="006F3E68" w:rsidRPr="00E22714">
        <w:rPr>
          <w:rFonts w:ascii="Times New Roman" w:hAnsi="Times New Roman" w:cs="Times New Roman"/>
          <w:sz w:val="20"/>
        </w:rPr>
        <w:t>T</w:t>
      </w:r>
      <w:r w:rsidRPr="00E22714">
        <w:rPr>
          <w:rFonts w:ascii="Times New Roman" w:hAnsi="Times New Roman" w:cs="Times New Roman"/>
          <w:sz w:val="20"/>
        </w:rPr>
        <w:t>able</w:t>
      </w:r>
      <w:r w:rsidR="00747C48" w:rsidRPr="00E22714">
        <w:rPr>
          <w:rFonts w:ascii="Times New Roman" w:hAnsi="Times New Roman" w:cs="Times New Roman"/>
          <w:sz w:val="20"/>
        </w:rPr>
        <w:t>s</w:t>
      </w:r>
      <w:r w:rsidRPr="00E22714">
        <w:rPr>
          <w:rFonts w:ascii="Times New Roman" w:hAnsi="Times New Roman" w:cs="Times New Roman"/>
          <w:sz w:val="20"/>
        </w:rPr>
        <w:t xml:space="preserve"> 1 and</w:t>
      </w:r>
      <w:r w:rsidR="00E22714">
        <w:rPr>
          <w:rFonts w:ascii="Times New Roman" w:hAnsi="Times New Roman" w:cs="Times New Roman"/>
          <w:sz w:val="20"/>
        </w:rPr>
        <w:t xml:space="preserve"> </w:t>
      </w:r>
      <w:r w:rsidRPr="00E22714">
        <w:rPr>
          <w:rFonts w:ascii="Times New Roman" w:hAnsi="Times New Roman" w:cs="Times New Roman"/>
          <w:sz w:val="20"/>
        </w:rPr>
        <w:t xml:space="preserve">2. Table 1 shows the ‘excess’ deaths by the ages of 50, 70 and 89 years for each year from 2010 to 2015, with positive excesses highlighted in bold. Table 2 further summarises these results to show the combined excess deaths either over the period 2010 to 2015, or the period 2012 to 2015. The models project 2,303 fewer deaths than observed in 2012, 10,430 fewer deaths in 2013, 8,820 fewer deaths in 2014, and 20,465 fewer deaths in 2015. In total, there were 31,973 more deaths than projected between 2010 and 2015, and 42,018 more deaths than projected between 2012 and 2015. </w:t>
      </w:r>
    </w:p>
    <w:tbl>
      <w:tblPr>
        <w:tblW w:w="12661" w:type="dxa"/>
        <w:jc w:val="center"/>
        <w:tblLook w:val="04A0" w:firstRow="1" w:lastRow="0" w:firstColumn="1" w:lastColumn="0" w:noHBand="0" w:noVBand="1"/>
      </w:tblPr>
      <w:tblGrid>
        <w:gridCol w:w="960"/>
        <w:gridCol w:w="960"/>
        <w:gridCol w:w="831"/>
        <w:gridCol w:w="283"/>
        <w:gridCol w:w="940"/>
        <w:gridCol w:w="284"/>
        <w:gridCol w:w="940"/>
        <w:gridCol w:w="283"/>
        <w:gridCol w:w="888"/>
        <w:gridCol w:w="284"/>
        <w:gridCol w:w="940"/>
        <w:gridCol w:w="284"/>
        <w:gridCol w:w="940"/>
        <w:gridCol w:w="283"/>
        <w:gridCol w:w="831"/>
        <w:gridCol w:w="283"/>
        <w:gridCol w:w="940"/>
        <w:gridCol w:w="284"/>
        <w:gridCol w:w="940"/>
        <w:gridCol w:w="283"/>
      </w:tblGrid>
      <w:tr w:rsidR="007405AE" w:rsidRPr="00E22714" w14:paraId="18AC596B" w14:textId="77777777" w:rsidTr="00E22714">
        <w:trPr>
          <w:trHeight w:val="300"/>
          <w:jc w:val="center"/>
        </w:trPr>
        <w:tc>
          <w:tcPr>
            <w:tcW w:w="960" w:type="dxa"/>
            <w:tcBorders>
              <w:top w:val="single" w:sz="8" w:space="0" w:color="auto"/>
              <w:left w:val="single" w:sz="8" w:space="0" w:color="auto"/>
              <w:bottom w:val="single" w:sz="4" w:space="0" w:color="auto"/>
              <w:right w:val="nil"/>
            </w:tcBorders>
            <w:shd w:val="clear" w:color="auto" w:fill="auto"/>
            <w:noWrap/>
            <w:vAlign w:val="bottom"/>
            <w:hideMark/>
          </w:tcPr>
          <w:p w14:paraId="75E97F53"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lastRenderedPageBreak/>
              <w:t>Year</w:t>
            </w:r>
          </w:p>
        </w:tc>
        <w:tc>
          <w:tcPr>
            <w:tcW w:w="960" w:type="dxa"/>
            <w:tcBorders>
              <w:top w:val="single" w:sz="8" w:space="0" w:color="auto"/>
              <w:left w:val="nil"/>
              <w:bottom w:val="single" w:sz="4" w:space="0" w:color="auto"/>
              <w:right w:val="nil"/>
            </w:tcBorders>
            <w:shd w:val="clear" w:color="auto" w:fill="auto"/>
            <w:noWrap/>
            <w:vAlign w:val="bottom"/>
            <w:hideMark/>
          </w:tcPr>
          <w:p w14:paraId="19C682E9"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Age</w:t>
            </w:r>
          </w:p>
        </w:tc>
        <w:tc>
          <w:tcPr>
            <w:tcW w:w="831" w:type="dxa"/>
            <w:tcBorders>
              <w:top w:val="single" w:sz="8" w:space="0" w:color="auto"/>
              <w:left w:val="nil"/>
              <w:bottom w:val="single" w:sz="4" w:space="0" w:color="auto"/>
              <w:right w:val="nil"/>
            </w:tcBorders>
            <w:shd w:val="clear" w:color="auto" w:fill="auto"/>
            <w:noWrap/>
            <w:vAlign w:val="bottom"/>
            <w:hideMark/>
          </w:tcPr>
          <w:p w14:paraId="6F98E827"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Males</w:t>
            </w:r>
          </w:p>
        </w:tc>
        <w:tc>
          <w:tcPr>
            <w:tcW w:w="283" w:type="dxa"/>
            <w:tcBorders>
              <w:top w:val="single" w:sz="8" w:space="0" w:color="auto"/>
              <w:left w:val="nil"/>
              <w:bottom w:val="single" w:sz="4" w:space="0" w:color="auto"/>
              <w:right w:val="nil"/>
            </w:tcBorders>
            <w:shd w:val="clear" w:color="auto" w:fill="auto"/>
            <w:noWrap/>
            <w:vAlign w:val="bottom"/>
            <w:hideMark/>
          </w:tcPr>
          <w:p w14:paraId="580F1342"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5562A4D1"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4459B799"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40E541F9"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3620BBAF"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1172" w:type="dxa"/>
            <w:gridSpan w:val="2"/>
            <w:tcBorders>
              <w:top w:val="single" w:sz="8" w:space="0" w:color="auto"/>
              <w:left w:val="nil"/>
              <w:bottom w:val="single" w:sz="4" w:space="0" w:color="auto"/>
              <w:right w:val="nil"/>
            </w:tcBorders>
            <w:shd w:val="clear" w:color="auto" w:fill="auto"/>
            <w:noWrap/>
            <w:vAlign w:val="bottom"/>
            <w:hideMark/>
          </w:tcPr>
          <w:p w14:paraId="20CCF454"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Females</w:t>
            </w:r>
          </w:p>
        </w:tc>
        <w:tc>
          <w:tcPr>
            <w:tcW w:w="940" w:type="dxa"/>
            <w:tcBorders>
              <w:top w:val="single" w:sz="8" w:space="0" w:color="auto"/>
              <w:left w:val="nil"/>
              <w:bottom w:val="single" w:sz="4" w:space="0" w:color="auto"/>
              <w:right w:val="nil"/>
            </w:tcBorders>
            <w:shd w:val="clear" w:color="auto" w:fill="auto"/>
            <w:noWrap/>
            <w:vAlign w:val="bottom"/>
            <w:hideMark/>
          </w:tcPr>
          <w:p w14:paraId="71C6067D"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284" w:type="dxa"/>
            <w:tcBorders>
              <w:top w:val="single" w:sz="8" w:space="0" w:color="auto"/>
              <w:left w:val="nil"/>
              <w:bottom w:val="single" w:sz="4" w:space="0" w:color="auto"/>
              <w:right w:val="nil"/>
            </w:tcBorders>
            <w:shd w:val="clear" w:color="auto" w:fill="auto"/>
            <w:noWrap/>
            <w:vAlign w:val="bottom"/>
            <w:hideMark/>
          </w:tcPr>
          <w:p w14:paraId="54F3F0A8"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2D6431A0"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283" w:type="dxa"/>
            <w:tcBorders>
              <w:top w:val="single" w:sz="8" w:space="0" w:color="auto"/>
              <w:left w:val="nil"/>
              <w:bottom w:val="single" w:sz="4" w:space="0" w:color="auto"/>
              <w:right w:val="nil"/>
            </w:tcBorders>
            <w:shd w:val="clear" w:color="auto" w:fill="auto"/>
            <w:noWrap/>
            <w:vAlign w:val="bottom"/>
            <w:hideMark/>
          </w:tcPr>
          <w:p w14:paraId="77D0A3BC"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2054" w:type="dxa"/>
            <w:gridSpan w:val="3"/>
            <w:tcBorders>
              <w:top w:val="single" w:sz="8" w:space="0" w:color="auto"/>
              <w:left w:val="nil"/>
              <w:bottom w:val="single" w:sz="4" w:space="0" w:color="auto"/>
              <w:right w:val="nil"/>
            </w:tcBorders>
            <w:shd w:val="clear" w:color="auto" w:fill="auto"/>
            <w:noWrap/>
            <w:vAlign w:val="bottom"/>
            <w:hideMark/>
          </w:tcPr>
          <w:p w14:paraId="1A26509F"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Combined</w:t>
            </w:r>
          </w:p>
        </w:tc>
        <w:tc>
          <w:tcPr>
            <w:tcW w:w="284" w:type="dxa"/>
            <w:tcBorders>
              <w:top w:val="single" w:sz="8" w:space="0" w:color="auto"/>
              <w:left w:val="nil"/>
              <w:bottom w:val="single" w:sz="4" w:space="0" w:color="auto"/>
              <w:right w:val="nil"/>
            </w:tcBorders>
            <w:shd w:val="clear" w:color="auto" w:fill="auto"/>
            <w:noWrap/>
            <w:vAlign w:val="bottom"/>
            <w:hideMark/>
          </w:tcPr>
          <w:p w14:paraId="4AEF97D6"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940" w:type="dxa"/>
            <w:tcBorders>
              <w:top w:val="single" w:sz="8" w:space="0" w:color="auto"/>
              <w:left w:val="nil"/>
              <w:bottom w:val="single" w:sz="4" w:space="0" w:color="auto"/>
              <w:right w:val="nil"/>
            </w:tcBorders>
            <w:shd w:val="clear" w:color="auto" w:fill="auto"/>
            <w:noWrap/>
            <w:vAlign w:val="bottom"/>
            <w:hideMark/>
          </w:tcPr>
          <w:p w14:paraId="64A0CFCC" w14:textId="77777777" w:rsidR="002E2937" w:rsidRPr="00E22714" w:rsidRDefault="002E2937" w:rsidP="00E22714">
            <w:pPr>
              <w:spacing w:after="0" w:line="240" w:lineRule="auto"/>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 </w:t>
            </w:r>
          </w:p>
        </w:tc>
        <w:tc>
          <w:tcPr>
            <w:tcW w:w="283" w:type="dxa"/>
            <w:tcBorders>
              <w:top w:val="single" w:sz="8" w:space="0" w:color="auto"/>
              <w:left w:val="nil"/>
              <w:bottom w:val="single" w:sz="4" w:space="0" w:color="auto"/>
              <w:right w:val="single" w:sz="8" w:space="0" w:color="auto"/>
            </w:tcBorders>
            <w:shd w:val="clear" w:color="auto" w:fill="auto"/>
            <w:noWrap/>
            <w:vAlign w:val="bottom"/>
            <w:hideMark/>
          </w:tcPr>
          <w:p w14:paraId="0850A3E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r>
      <w:tr w:rsidR="007405AE" w:rsidRPr="00E22714" w14:paraId="3B241AA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6EF0D7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2010</w:t>
            </w:r>
          </w:p>
        </w:tc>
        <w:tc>
          <w:tcPr>
            <w:tcW w:w="960" w:type="dxa"/>
            <w:tcBorders>
              <w:top w:val="nil"/>
              <w:left w:val="nil"/>
              <w:bottom w:val="nil"/>
              <w:right w:val="nil"/>
            </w:tcBorders>
            <w:shd w:val="clear" w:color="auto" w:fill="auto"/>
            <w:noWrap/>
            <w:vAlign w:val="bottom"/>
            <w:hideMark/>
          </w:tcPr>
          <w:p w14:paraId="3BE3DBB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50</w:t>
            </w:r>
          </w:p>
        </w:tc>
        <w:tc>
          <w:tcPr>
            <w:tcW w:w="831" w:type="dxa"/>
            <w:tcBorders>
              <w:top w:val="nil"/>
              <w:left w:val="nil"/>
              <w:bottom w:val="nil"/>
              <w:right w:val="nil"/>
            </w:tcBorders>
            <w:shd w:val="clear" w:color="auto" w:fill="auto"/>
            <w:noWrap/>
            <w:vAlign w:val="bottom"/>
            <w:hideMark/>
          </w:tcPr>
          <w:p w14:paraId="2F715E7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-554</w:t>
            </w:r>
          </w:p>
        </w:tc>
        <w:tc>
          <w:tcPr>
            <w:tcW w:w="283" w:type="dxa"/>
            <w:tcBorders>
              <w:top w:val="nil"/>
              <w:left w:val="nil"/>
              <w:bottom w:val="nil"/>
              <w:right w:val="nil"/>
            </w:tcBorders>
            <w:shd w:val="clear" w:color="auto" w:fill="auto"/>
            <w:noWrap/>
            <w:vAlign w:val="bottom"/>
            <w:hideMark/>
          </w:tcPr>
          <w:p w14:paraId="2B40CFC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070882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19,094</w:t>
            </w:r>
          </w:p>
        </w:tc>
        <w:tc>
          <w:tcPr>
            <w:tcW w:w="284" w:type="dxa"/>
            <w:tcBorders>
              <w:top w:val="nil"/>
              <w:left w:val="nil"/>
              <w:bottom w:val="nil"/>
              <w:right w:val="nil"/>
            </w:tcBorders>
            <w:shd w:val="clear" w:color="auto" w:fill="auto"/>
            <w:noWrap/>
            <w:vAlign w:val="bottom"/>
            <w:hideMark/>
          </w:tcPr>
          <w:p w14:paraId="2824C94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64A020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19,648</w:t>
            </w:r>
          </w:p>
        </w:tc>
        <w:tc>
          <w:tcPr>
            <w:tcW w:w="283" w:type="dxa"/>
            <w:tcBorders>
              <w:top w:val="nil"/>
              <w:left w:val="nil"/>
              <w:bottom w:val="nil"/>
              <w:right w:val="nil"/>
            </w:tcBorders>
            <w:shd w:val="clear" w:color="auto" w:fill="auto"/>
            <w:noWrap/>
            <w:vAlign w:val="bottom"/>
            <w:hideMark/>
          </w:tcPr>
          <w:p w14:paraId="003DB07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59A6EBB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-206</w:t>
            </w:r>
          </w:p>
        </w:tc>
        <w:tc>
          <w:tcPr>
            <w:tcW w:w="284" w:type="dxa"/>
            <w:tcBorders>
              <w:top w:val="nil"/>
              <w:left w:val="nil"/>
              <w:bottom w:val="nil"/>
              <w:right w:val="nil"/>
            </w:tcBorders>
            <w:shd w:val="clear" w:color="auto" w:fill="auto"/>
            <w:noWrap/>
            <w:vAlign w:val="bottom"/>
            <w:hideMark/>
          </w:tcPr>
          <w:p w14:paraId="73ACBCD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44D48C25"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11,786</w:t>
            </w:r>
          </w:p>
        </w:tc>
        <w:tc>
          <w:tcPr>
            <w:tcW w:w="284" w:type="dxa"/>
            <w:tcBorders>
              <w:top w:val="nil"/>
              <w:left w:val="nil"/>
              <w:bottom w:val="nil"/>
              <w:right w:val="nil"/>
            </w:tcBorders>
            <w:shd w:val="clear" w:color="auto" w:fill="auto"/>
            <w:noWrap/>
            <w:vAlign w:val="bottom"/>
            <w:hideMark/>
          </w:tcPr>
          <w:p w14:paraId="291148C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721ABE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11,992</w:t>
            </w:r>
          </w:p>
        </w:tc>
        <w:tc>
          <w:tcPr>
            <w:tcW w:w="283" w:type="dxa"/>
            <w:tcBorders>
              <w:top w:val="nil"/>
              <w:left w:val="nil"/>
              <w:bottom w:val="nil"/>
              <w:right w:val="nil"/>
            </w:tcBorders>
            <w:shd w:val="clear" w:color="auto" w:fill="auto"/>
            <w:noWrap/>
            <w:vAlign w:val="bottom"/>
            <w:hideMark/>
          </w:tcPr>
          <w:p w14:paraId="01CC537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16AB164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-760</w:t>
            </w:r>
          </w:p>
        </w:tc>
        <w:tc>
          <w:tcPr>
            <w:tcW w:w="283" w:type="dxa"/>
            <w:tcBorders>
              <w:top w:val="nil"/>
              <w:left w:val="nil"/>
              <w:bottom w:val="nil"/>
              <w:right w:val="nil"/>
            </w:tcBorders>
            <w:shd w:val="clear" w:color="auto" w:fill="auto"/>
            <w:noWrap/>
            <w:vAlign w:val="bottom"/>
            <w:hideMark/>
          </w:tcPr>
          <w:p w14:paraId="3C82B36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D287E4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30,880</w:t>
            </w:r>
          </w:p>
        </w:tc>
        <w:tc>
          <w:tcPr>
            <w:tcW w:w="284" w:type="dxa"/>
            <w:tcBorders>
              <w:top w:val="nil"/>
              <w:left w:val="nil"/>
              <w:bottom w:val="nil"/>
              <w:right w:val="nil"/>
            </w:tcBorders>
            <w:shd w:val="clear" w:color="auto" w:fill="auto"/>
            <w:noWrap/>
            <w:vAlign w:val="bottom"/>
            <w:hideMark/>
          </w:tcPr>
          <w:p w14:paraId="1582700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4810490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31,640</w:t>
            </w:r>
          </w:p>
        </w:tc>
        <w:tc>
          <w:tcPr>
            <w:tcW w:w="283" w:type="dxa"/>
            <w:tcBorders>
              <w:top w:val="nil"/>
              <w:left w:val="nil"/>
              <w:bottom w:val="nil"/>
              <w:right w:val="single" w:sz="8" w:space="0" w:color="auto"/>
            </w:tcBorders>
            <w:shd w:val="clear" w:color="auto" w:fill="auto"/>
            <w:noWrap/>
            <w:vAlign w:val="bottom"/>
            <w:hideMark/>
          </w:tcPr>
          <w:p w14:paraId="33CF84B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6F900FF5"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31F6A4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nil"/>
              <w:right w:val="nil"/>
            </w:tcBorders>
            <w:shd w:val="clear" w:color="auto" w:fill="auto"/>
            <w:noWrap/>
            <w:vAlign w:val="bottom"/>
            <w:hideMark/>
          </w:tcPr>
          <w:p w14:paraId="173C4DE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70</w:t>
            </w:r>
          </w:p>
        </w:tc>
        <w:tc>
          <w:tcPr>
            <w:tcW w:w="831" w:type="dxa"/>
            <w:tcBorders>
              <w:top w:val="nil"/>
              <w:left w:val="nil"/>
              <w:bottom w:val="nil"/>
              <w:right w:val="nil"/>
            </w:tcBorders>
            <w:shd w:val="clear" w:color="auto" w:fill="auto"/>
            <w:noWrap/>
            <w:vAlign w:val="bottom"/>
            <w:hideMark/>
          </w:tcPr>
          <w:p w14:paraId="7F856E5B"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111</w:t>
            </w:r>
          </w:p>
        </w:tc>
        <w:tc>
          <w:tcPr>
            <w:tcW w:w="283" w:type="dxa"/>
            <w:tcBorders>
              <w:top w:val="nil"/>
              <w:left w:val="nil"/>
              <w:bottom w:val="nil"/>
              <w:right w:val="nil"/>
            </w:tcBorders>
            <w:shd w:val="clear" w:color="auto" w:fill="auto"/>
            <w:noWrap/>
            <w:vAlign w:val="bottom"/>
            <w:hideMark/>
          </w:tcPr>
          <w:p w14:paraId="3CE7984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BCA12D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75,811</w:t>
            </w:r>
          </w:p>
        </w:tc>
        <w:tc>
          <w:tcPr>
            <w:tcW w:w="284" w:type="dxa"/>
            <w:tcBorders>
              <w:top w:val="nil"/>
              <w:left w:val="nil"/>
              <w:bottom w:val="nil"/>
              <w:right w:val="nil"/>
            </w:tcBorders>
            <w:shd w:val="clear" w:color="auto" w:fill="auto"/>
            <w:noWrap/>
            <w:vAlign w:val="bottom"/>
            <w:hideMark/>
          </w:tcPr>
          <w:p w14:paraId="3241B8A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E55530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75,700</w:t>
            </w:r>
          </w:p>
        </w:tc>
        <w:tc>
          <w:tcPr>
            <w:tcW w:w="283" w:type="dxa"/>
            <w:tcBorders>
              <w:top w:val="nil"/>
              <w:left w:val="nil"/>
              <w:bottom w:val="nil"/>
              <w:right w:val="nil"/>
            </w:tcBorders>
            <w:shd w:val="clear" w:color="auto" w:fill="auto"/>
            <w:noWrap/>
            <w:vAlign w:val="bottom"/>
            <w:hideMark/>
          </w:tcPr>
          <w:p w14:paraId="4A60140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62EC54FC"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210</w:t>
            </w:r>
          </w:p>
        </w:tc>
        <w:tc>
          <w:tcPr>
            <w:tcW w:w="284" w:type="dxa"/>
            <w:tcBorders>
              <w:top w:val="nil"/>
              <w:left w:val="nil"/>
              <w:bottom w:val="nil"/>
              <w:right w:val="nil"/>
            </w:tcBorders>
            <w:shd w:val="clear" w:color="auto" w:fill="auto"/>
            <w:noWrap/>
            <w:vAlign w:val="bottom"/>
            <w:hideMark/>
          </w:tcPr>
          <w:p w14:paraId="1F85339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419253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49,994</w:t>
            </w:r>
          </w:p>
        </w:tc>
        <w:tc>
          <w:tcPr>
            <w:tcW w:w="284" w:type="dxa"/>
            <w:tcBorders>
              <w:top w:val="nil"/>
              <w:left w:val="nil"/>
              <w:bottom w:val="nil"/>
              <w:right w:val="nil"/>
            </w:tcBorders>
            <w:shd w:val="clear" w:color="auto" w:fill="auto"/>
            <w:noWrap/>
            <w:vAlign w:val="bottom"/>
            <w:hideMark/>
          </w:tcPr>
          <w:p w14:paraId="63B55E0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FE55BC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49,784</w:t>
            </w:r>
          </w:p>
        </w:tc>
        <w:tc>
          <w:tcPr>
            <w:tcW w:w="283" w:type="dxa"/>
            <w:tcBorders>
              <w:top w:val="nil"/>
              <w:left w:val="nil"/>
              <w:bottom w:val="nil"/>
              <w:right w:val="nil"/>
            </w:tcBorders>
            <w:shd w:val="clear" w:color="auto" w:fill="auto"/>
            <w:noWrap/>
            <w:vAlign w:val="bottom"/>
            <w:hideMark/>
          </w:tcPr>
          <w:p w14:paraId="5CFFD43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5D7C13EC"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321</w:t>
            </w:r>
          </w:p>
        </w:tc>
        <w:tc>
          <w:tcPr>
            <w:tcW w:w="283" w:type="dxa"/>
            <w:tcBorders>
              <w:top w:val="nil"/>
              <w:left w:val="nil"/>
              <w:bottom w:val="nil"/>
              <w:right w:val="nil"/>
            </w:tcBorders>
            <w:shd w:val="clear" w:color="auto" w:fill="auto"/>
            <w:noWrap/>
            <w:vAlign w:val="bottom"/>
            <w:hideMark/>
          </w:tcPr>
          <w:p w14:paraId="7C15207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18A9BD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125,805</w:t>
            </w:r>
          </w:p>
        </w:tc>
        <w:tc>
          <w:tcPr>
            <w:tcW w:w="284" w:type="dxa"/>
            <w:tcBorders>
              <w:top w:val="nil"/>
              <w:left w:val="nil"/>
              <w:bottom w:val="nil"/>
              <w:right w:val="nil"/>
            </w:tcBorders>
            <w:shd w:val="clear" w:color="auto" w:fill="auto"/>
            <w:noWrap/>
            <w:vAlign w:val="bottom"/>
            <w:hideMark/>
          </w:tcPr>
          <w:p w14:paraId="4D896CA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C19616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125,484</w:t>
            </w:r>
          </w:p>
        </w:tc>
        <w:tc>
          <w:tcPr>
            <w:tcW w:w="283" w:type="dxa"/>
            <w:tcBorders>
              <w:top w:val="nil"/>
              <w:left w:val="nil"/>
              <w:bottom w:val="nil"/>
              <w:right w:val="single" w:sz="8" w:space="0" w:color="auto"/>
            </w:tcBorders>
            <w:shd w:val="clear" w:color="auto" w:fill="auto"/>
            <w:noWrap/>
            <w:vAlign w:val="bottom"/>
            <w:hideMark/>
          </w:tcPr>
          <w:p w14:paraId="64BADBD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33A5A60F" w14:textId="77777777" w:rsidTr="00E22714">
        <w:trPr>
          <w:trHeight w:val="300"/>
          <w:jc w:val="center"/>
        </w:trPr>
        <w:tc>
          <w:tcPr>
            <w:tcW w:w="960" w:type="dxa"/>
            <w:tcBorders>
              <w:top w:val="nil"/>
              <w:left w:val="single" w:sz="8" w:space="0" w:color="auto"/>
              <w:bottom w:val="single" w:sz="4" w:space="0" w:color="auto"/>
              <w:right w:val="nil"/>
            </w:tcBorders>
            <w:shd w:val="clear" w:color="auto" w:fill="auto"/>
            <w:noWrap/>
            <w:vAlign w:val="bottom"/>
            <w:hideMark/>
          </w:tcPr>
          <w:p w14:paraId="04C10FD6" w14:textId="5D86E60E"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D893285"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136417D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-113</w:t>
            </w:r>
          </w:p>
        </w:tc>
        <w:tc>
          <w:tcPr>
            <w:tcW w:w="283" w:type="dxa"/>
            <w:tcBorders>
              <w:top w:val="nil"/>
              <w:left w:val="nil"/>
              <w:bottom w:val="single" w:sz="4" w:space="0" w:color="auto"/>
              <w:right w:val="nil"/>
            </w:tcBorders>
            <w:shd w:val="clear" w:color="auto" w:fill="auto"/>
            <w:noWrap/>
            <w:vAlign w:val="bottom"/>
            <w:hideMark/>
          </w:tcPr>
          <w:p w14:paraId="01F3994E"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94D050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212,724</w:t>
            </w:r>
          </w:p>
        </w:tc>
        <w:tc>
          <w:tcPr>
            <w:tcW w:w="284" w:type="dxa"/>
            <w:tcBorders>
              <w:top w:val="nil"/>
              <w:left w:val="nil"/>
              <w:bottom w:val="single" w:sz="4" w:space="0" w:color="auto"/>
              <w:right w:val="nil"/>
            </w:tcBorders>
            <w:shd w:val="clear" w:color="auto" w:fill="auto"/>
            <w:noWrap/>
            <w:vAlign w:val="bottom"/>
            <w:hideMark/>
          </w:tcPr>
          <w:p w14:paraId="1AC6A02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0FAFB5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212,837</w:t>
            </w:r>
          </w:p>
        </w:tc>
        <w:tc>
          <w:tcPr>
            <w:tcW w:w="283" w:type="dxa"/>
            <w:tcBorders>
              <w:top w:val="nil"/>
              <w:left w:val="nil"/>
              <w:bottom w:val="single" w:sz="4" w:space="0" w:color="auto"/>
              <w:right w:val="nil"/>
            </w:tcBorders>
            <w:shd w:val="clear" w:color="auto" w:fill="auto"/>
            <w:noWrap/>
            <w:vAlign w:val="bottom"/>
            <w:hideMark/>
          </w:tcPr>
          <w:p w14:paraId="478A210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19213E1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-1,795</w:t>
            </w:r>
          </w:p>
        </w:tc>
        <w:tc>
          <w:tcPr>
            <w:tcW w:w="284" w:type="dxa"/>
            <w:tcBorders>
              <w:top w:val="nil"/>
              <w:left w:val="nil"/>
              <w:bottom w:val="single" w:sz="4" w:space="0" w:color="auto"/>
              <w:right w:val="nil"/>
            </w:tcBorders>
            <w:shd w:val="clear" w:color="auto" w:fill="auto"/>
            <w:noWrap/>
            <w:vAlign w:val="bottom"/>
            <w:hideMark/>
          </w:tcPr>
          <w:p w14:paraId="2B57D59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3A8F40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192,910</w:t>
            </w:r>
          </w:p>
        </w:tc>
        <w:tc>
          <w:tcPr>
            <w:tcW w:w="284" w:type="dxa"/>
            <w:tcBorders>
              <w:top w:val="nil"/>
              <w:left w:val="nil"/>
              <w:bottom w:val="single" w:sz="4" w:space="0" w:color="auto"/>
              <w:right w:val="nil"/>
            </w:tcBorders>
            <w:shd w:val="clear" w:color="auto" w:fill="auto"/>
            <w:noWrap/>
            <w:vAlign w:val="bottom"/>
            <w:hideMark/>
          </w:tcPr>
          <w:p w14:paraId="63A61D3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BB7FB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194,705</w:t>
            </w:r>
          </w:p>
        </w:tc>
        <w:tc>
          <w:tcPr>
            <w:tcW w:w="283" w:type="dxa"/>
            <w:tcBorders>
              <w:top w:val="nil"/>
              <w:left w:val="nil"/>
              <w:bottom w:val="single" w:sz="4" w:space="0" w:color="auto"/>
              <w:right w:val="nil"/>
            </w:tcBorders>
            <w:shd w:val="clear" w:color="auto" w:fill="auto"/>
            <w:noWrap/>
            <w:vAlign w:val="bottom"/>
            <w:hideMark/>
          </w:tcPr>
          <w:p w14:paraId="121EE32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5FC0815"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-1,908</w:t>
            </w:r>
          </w:p>
        </w:tc>
        <w:tc>
          <w:tcPr>
            <w:tcW w:w="283" w:type="dxa"/>
            <w:tcBorders>
              <w:top w:val="nil"/>
              <w:left w:val="nil"/>
              <w:bottom w:val="single" w:sz="4" w:space="0" w:color="auto"/>
              <w:right w:val="nil"/>
            </w:tcBorders>
            <w:shd w:val="clear" w:color="auto" w:fill="auto"/>
            <w:noWrap/>
            <w:vAlign w:val="bottom"/>
            <w:hideMark/>
          </w:tcPr>
          <w:p w14:paraId="70CEF61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EC33F0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405,634</w:t>
            </w:r>
          </w:p>
        </w:tc>
        <w:tc>
          <w:tcPr>
            <w:tcW w:w="284" w:type="dxa"/>
            <w:tcBorders>
              <w:top w:val="nil"/>
              <w:left w:val="nil"/>
              <w:bottom w:val="single" w:sz="4" w:space="0" w:color="auto"/>
              <w:right w:val="nil"/>
            </w:tcBorders>
            <w:shd w:val="clear" w:color="auto" w:fill="auto"/>
            <w:noWrap/>
            <w:vAlign w:val="bottom"/>
            <w:hideMark/>
          </w:tcPr>
          <w:p w14:paraId="33568AD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A19785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407,542</w:t>
            </w:r>
          </w:p>
        </w:tc>
        <w:tc>
          <w:tcPr>
            <w:tcW w:w="283" w:type="dxa"/>
            <w:tcBorders>
              <w:top w:val="nil"/>
              <w:left w:val="nil"/>
              <w:bottom w:val="single" w:sz="4" w:space="0" w:color="auto"/>
              <w:right w:val="single" w:sz="8" w:space="0" w:color="auto"/>
            </w:tcBorders>
            <w:shd w:val="clear" w:color="auto" w:fill="auto"/>
            <w:noWrap/>
            <w:vAlign w:val="bottom"/>
            <w:hideMark/>
          </w:tcPr>
          <w:p w14:paraId="5E2B068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53AB16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74E0587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2011</w:t>
            </w:r>
          </w:p>
        </w:tc>
        <w:tc>
          <w:tcPr>
            <w:tcW w:w="960" w:type="dxa"/>
            <w:tcBorders>
              <w:top w:val="nil"/>
              <w:left w:val="nil"/>
              <w:bottom w:val="nil"/>
              <w:right w:val="nil"/>
            </w:tcBorders>
            <w:shd w:val="clear" w:color="auto" w:fill="auto"/>
            <w:noWrap/>
            <w:vAlign w:val="bottom"/>
            <w:hideMark/>
          </w:tcPr>
          <w:p w14:paraId="5DAE2D2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50</w:t>
            </w:r>
          </w:p>
        </w:tc>
        <w:tc>
          <w:tcPr>
            <w:tcW w:w="831" w:type="dxa"/>
            <w:tcBorders>
              <w:top w:val="nil"/>
              <w:left w:val="nil"/>
              <w:bottom w:val="nil"/>
              <w:right w:val="nil"/>
            </w:tcBorders>
            <w:shd w:val="clear" w:color="auto" w:fill="auto"/>
            <w:noWrap/>
            <w:vAlign w:val="bottom"/>
            <w:hideMark/>
          </w:tcPr>
          <w:p w14:paraId="7E07619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-998</w:t>
            </w:r>
          </w:p>
        </w:tc>
        <w:tc>
          <w:tcPr>
            <w:tcW w:w="283" w:type="dxa"/>
            <w:tcBorders>
              <w:top w:val="nil"/>
              <w:left w:val="nil"/>
              <w:bottom w:val="nil"/>
              <w:right w:val="nil"/>
            </w:tcBorders>
            <w:shd w:val="clear" w:color="auto" w:fill="auto"/>
            <w:noWrap/>
            <w:vAlign w:val="bottom"/>
            <w:hideMark/>
          </w:tcPr>
          <w:p w14:paraId="7C3907E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2F0D53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18,455</w:t>
            </w:r>
          </w:p>
        </w:tc>
        <w:tc>
          <w:tcPr>
            <w:tcW w:w="284" w:type="dxa"/>
            <w:tcBorders>
              <w:top w:val="nil"/>
              <w:left w:val="nil"/>
              <w:bottom w:val="nil"/>
              <w:right w:val="nil"/>
            </w:tcBorders>
            <w:shd w:val="clear" w:color="auto" w:fill="auto"/>
            <w:noWrap/>
            <w:vAlign w:val="bottom"/>
            <w:hideMark/>
          </w:tcPr>
          <w:p w14:paraId="5C2FECD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59E538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19,453</w:t>
            </w:r>
          </w:p>
        </w:tc>
        <w:tc>
          <w:tcPr>
            <w:tcW w:w="283" w:type="dxa"/>
            <w:tcBorders>
              <w:top w:val="nil"/>
              <w:left w:val="nil"/>
              <w:bottom w:val="nil"/>
              <w:right w:val="nil"/>
            </w:tcBorders>
            <w:shd w:val="clear" w:color="auto" w:fill="auto"/>
            <w:noWrap/>
            <w:vAlign w:val="bottom"/>
            <w:hideMark/>
          </w:tcPr>
          <w:p w14:paraId="15F7C80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5DC06CE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-423</w:t>
            </w:r>
          </w:p>
        </w:tc>
        <w:tc>
          <w:tcPr>
            <w:tcW w:w="284" w:type="dxa"/>
            <w:tcBorders>
              <w:top w:val="nil"/>
              <w:left w:val="nil"/>
              <w:bottom w:val="nil"/>
              <w:right w:val="nil"/>
            </w:tcBorders>
            <w:shd w:val="clear" w:color="auto" w:fill="auto"/>
            <w:noWrap/>
            <w:vAlign w:val="bottom"/>
            <w:hideMark/>
          </w:tcPr>
          <w:p w14:paraId="3A1FEAD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581D22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11,460</w:t>
            </w:r>
          </w:p>
        </w:tc>
        <w:tc>
          <w:tcPr>
            <w:tcW w:w="284" w:type="dxa"/>
            <w:tcBorders>
              <w:top w:val="nil"/>
              <w:left w:val="nil"/>
              <w:bottom w:val="nil"/>
              <w:right w:val="nil"/>
            </w:tcBorders>
            <w:shd w:val="clear" w:color="auto" w:fill="auto"/>
            <w:noWrap/>
            <w:vAlign w:val="bottom"/>
            <w:hideMark/>
          </w:tcPr>
          <w:p w14:paraId="1069543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3D1185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11,883</w:t>
            </w:r>
          </w:p>
        </w:tc>
        <w:tc>
          <w:tcPr>
            <w:tcW w:w="283" w:type="dxa"/>
            <w:tcBorders>
              <w:top w:val="nil"/>
              <w:left w:val="nil"/>
              <w:bottom w:val="nil"/>
              <w:right w:val="nil"/>
            </w:tcBorders>
            <w:shd w:val="clear" w:color="auto" w:fill="auto"/>
            <w:noWrap/>
            <w:vAlign w:val="bottom"/>
            <w:hideMark/>
          </w:tcPr>
          <w:p w14:paraId="77A0020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507A650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-1,421</w:t>
            </w:r>
          </w:p>
        </w:tc>
        <w:tc>
          <w:tcPr>
            <w:tcW w:w="283" w:type="dxa"/>
            <w:tcBorders>
              <w:top w:val="nil"/>
              <w:left w:val="nil"/>
              <w:bottom w:val="nil"/>
              <w:right w:val="nil"/>
            </w:tcBorders>
            <w:shd w:val="clear" w:color="auto" w:fill="auto"/>
            <w:noWrap/>
            <w:vAlign w:val="bottom"/>
            <w:hideMark/>
          </w:tcPr>
          <w:p w14:paraId="028307C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7CE1A4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29,915</w:t>
            </w:r>
          </w:p>
        </w:tc>
        <w:tc>
          <w:tcPr>
            <w:tcW w:w="284" w:type="dxa"/>
            <w:tcBorders>
              <w:top w:val="nil"/>
              <w:left w:val="nil"/>
              <w:bottom w:val="nil"/>
              <w:right w:val="nil"/>
            </w:tcBorders>
            <w:shd w:val="clear" w:color="auto" w:fill="auto"/>
            <w:noWrap/>
            <w:vAlign w:val="bottom"/>
            <w:hideMark/>
          </w:tcPr>
          <w:p w14:paraId="38D336D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9EAC7A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31,336</w:t>
            </w:r>
          </w:p>
        </w:tc>
        <w:tc>
          <w:tcPr>
            <w:tcW w:w="283" w:type="dxa"/>
            <w:tcBorders>
              <w:top w:val="nil"/>
              <w:left w:val="nil"/>
              <w:bottom w:val="nil"/>
              <w:right w:val="single" w:sz="8" w:space="0" w:color="auto"/>
            </w:tcBorders>
            <w:shd w:val="clear" w:color="auto" w:fill="auto"/>
            <w:noWrap/>
            <w:vAlign w:val="bottom"/>
            <w:hideMark/>
          </w:tcPr>
          <w:p w14:paraId="5EFAB97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6317D592"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659786C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nil"/>
              <w:right w:val="nil"/>
            </w:tcBorders>
            <w:shd w:val="clear" w:color="auto" w:fill="auto"/>
            <w:noWrap/>
            <w:vAlign w:val="bottom"/>
            <w:hideMark/>
          </w:tcPr>
          <w:p w14:paraId="0119556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70</w:t>
            </w:r>
          </w:p>
        </w:tc>
        <w:tc>
          <w:tcPr>
            <w:tcW w:w="831" w:type="dxa"/>
            <w:tcBorders>
              <w:top w:val="nil"/>
              <w:left w:val="nil"/>
              <w:bottom w:val="nil"/>
              <w:right w:val="nil"/>
            </w:tcBorders>
            <w:shd w:val="clear" w:color="auto" w:fill="auto"/>
            <w:noWrap/>
            <w:vAlign w:val="bottom"/>
            <w:hideMark/>
          </w:tcPr>
          <w:p w14:paraId="43ED5E1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-950</w:t>
            </w:r>
          </w:p>
        </w:tc>
        <w:tc>
          <w:tcPr>
            <w:tcW w:w="283" w:type="dxa"/>
            <w:tcBorders>
              <w:top w:val="nil"/>
              <w:left w:val="nil"/>
              <w:bottom w:val="nil"/>
              <w:right w:val="nil"/>
            </w:tcBorders>
            <w:shd w:val="clear" w:color="auto" w:fill="auto"/>
            <w:noWrap/>
            <w:vAlign w:val="bottom"/>
            <w:hideMark/>
          </w:tcPr>
          <w:p w14:paraId="043EF81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EBF581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74,013</w:t>
            </w:r>
          </w:p>
        </w:tc>
        <w:tc>
          <w:tcPr>
            <w:tcW w:w="284" w:type="dxa"/>
            <w:tcBorders>
              <w:top w:val="nil"/>
              <w:left w:val="nil"/>
              <w:bottom w:val="nil"/>
              <w:right w:val="nil"/>
            </w:tcBorders>
            <w:shd w:val="clear" w:color="auto" w:fill="auto"/>
            <w:noWrap/>
            <w:vAlign w:val="bottom"/>
            <w:hideMark/>
          </w:tcPr>
          <w:p w14:paraId="0DA3B29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C06255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74,963</w:t>
            </w:r>
          </w:p>
        </w:tc>
        <w:tc>
          <w:tcPr>
            <w:tcW w:w="283" w:type="dxa"/>
            <w:tcBorders>
              <w:top w:val="nil"/>
              <w:left w:val="nil"/>
              <w:bottom w:val="nil"/>
              <w:right w:val="nil"/>
            </w:tcBorders>
            <w:shd w:val="clear" w:color="auto" w:fill="auto"/>
            <w:noWrap/>
            <w:vAlign w:val="bottom"/>
            <w:hideMark/>
          </w:tcPr>
          <w:p w14:paraId="72D34B1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2EF41B4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-110</w:t>
            </w:r>
          </w:p>
        </w:tc>
        <w:tc>
          <w:tcPr>
            <w:tcW w:w="284" w:type="dxa"/>
            <w:tcBorders>
              <w:top w:val="nil"/>
              <w:left w:val="nil"/>
              <w:bottom w:val="nil"/>
              <w:right w:val="nil"/>
            </w:tcBorders>
            <w:shd w:val="clear" w:color="auto" w:fill="auto"/>
            <w:noWrap/>
            <w:vAlign w:val="bottom"/>
            <w:hideMark/>
          </w:tcPr>
          <w:p w14:paraId="65C6501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3FCA85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49,391</w:t>
            </w:r>
          </w:p>
        </w:tc>
        <w:tc>
          <w:tcPr>
            <w:tcW w:w="284" w:type="dxa"/>
            <w:tcBorders>
              <w:top w:val="nil"/>
              <w:left w:val="nil"/>
              <w:bottom w:val="nil"/>
              <w:right w:val="nil"/>
            </w:tcBorders>
            <w:shd w:val="clear" w:color="auto" w:fill="auto"/>
            <w:noWrap/>
            <w:vAlign w:val="bottom"/>
            <w:hideMark/>
          </w:tcPr>
          <w:p w14:paraId="0ED35E8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DDE7F7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49,501</w:t>
            </w:r>
          </w:p>
        </w:tc>
        <w:tc>
          <w:tcPr>
            <w:tcW w:w="283" w:type="dxa"/>
            <w:tcBorders>
              <w:top w:val="nil"/>
              <w:left w:val="nil"/>
              <w:bottom w:val="nil"/>
              <w:right w:val="nil"/>
            </w:tcBorders>
            <w:shd w:val="clear" w:color="auto" w:fill="auto"/>
            <w:noWrap/>
            <w:vAlign w:val="bottom"/>
            <w:hideMark/>
          </w:tcPr>
          <w:p w14:paraId="3BCBEB7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19141C4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-1,060</w:t>
            </w:r>
          </w:p>
        </w:tc>
        <w:tc>
          <w:tcPr>
            <w:tcW w:w="283" w:type="dxa"/>
            <w:tcBorders>
              <w:top w:val="nil"/>
              <w:left w:val="nil"/>
              <w:bottom w:val="nil"/>
              <w:right w:val="nil"/>
            </w:tcBorders>
            <w:shd w:val="clear" w:color="auto" w:fill="auto"/>
            <w:noWrap/>
            <w:vAlign w:val="bottom"/>
            <w:hideMark/>
          </w:tcPr>
          <w:p w14:paraId="338D9B8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A9515D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123,404</w:t>
            </w:r>
          </w:p>
        </w:tc>
        <w:tc>
          <w:tcPr>
            <w:tcW w:w="284" w:type="dxa"/>
            <w:tcBorders>
              <w:top w:val="nil"/>
              <w:left w:val="nil"/>
              <w:bottom w:val="nil"/>
              <w:right w:val="nil"/>
            </w:tcBorders>
            <w:shd w:val="clear" w:color="auto" w:fill="auto"/>
            <w:noWrap/>
            <w:vAlign w:val="bottom"/>
            <w:hideMark/>
          </w:tcPr>
          <w:p w14:paraId="247393A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0F335A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124,464</w:t>
            </w:r>
          </w:p>
        </w:tc>
        <w:tc>
          <w:tcPr>
            <w:tcW w:w="283" w:type="dxa"/>
            <w:tcBorders>
              <w:top w:val="nil"/>
              <w:left w:val="nil"/>
              <w:bottom w:val="nil"/>
              <w:right w:val="single" w:sz="8" w:space="0" w:color="auto"/>
            </w:tcBorders>
            <w:shd w:val="clear" w:color="auto" w:fill="auto"/>
            <w:noWrap/>
            <w:vAlign w:val="bottom"/>
            <w:hideMark/>
          </w:tcPr>
          <w:p w14:paraId="0D5DD09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265D1624"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4692788" w14:textId="52ECB274"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p>
        </w:tc>
        <w:tc>
          <w:tcPr>
            <w:tcW w:w="960" w:type="dxa"/>
            <w:tcBorders>
              <w:top w:val="nil"/>
              <w:left w:val="nil"/>
              <w:bottom w:val="single" w:sz="4" w:space="0" w:color="auto"/>
              <w:right w:val="nil"/>
            </w:tcBorders>
            <w:shd w:val="clear" w:color="auto" w:fill="auto"/>
            <w:noWrap/>
            <w:vAlign w:val="bottom"/>
            <w:hideMark/>
          </w:tcPr>
          <w:p w14:paraId="711E545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33964F7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-3,235</w:t>
            </w:r>
          </w:p>
        </w:tc>
        <w:tc>
          <w:tcPr>
            <w:tcW w:w="283" w:type="dxa"/>
            <w:tcBorders>
              <w:top w:val="nil"/>
              <w:left w:val="nil"/>
              <w:bottom w:val="single" w:sz="4" w:space="0" w:color="auto"/>
              <w:right w:val="nil"/>
            </w:tcBorders>
            <w:shd w:val="clear" w:color="auto" w:fill="auto"/>
            <w:noWrap/>
            <w:vAlign w:val="bottom"/>
            <w:hideMark/>
          </w:tcPr>
          <w:p w14:paraId="28737B8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157723D"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207,606</w:t>
            </w:r>
          </w:p>
        </w:tc>
        <w:tc>
          <w:tcPr>
            <w:tcW w:w="284" w:type="dxa"/>
            <w:tcBorders>
              <w:top w:val="nil"/>
              <w:left w:val="nil"/>
              <w:bottom w:val="single" w:sz="4" w:space="0" w:color="auto"/>
              <w:right w:val="nil"/>
            </w:tcBorders>
            <w:shd w:val="clear" w:color="auto" w:fill="auto"/>
            <w:noWrap/>
            <w:vAlign w:val="bottom"/>
            <w:hideMark/>
          </w:tcPr>
          <w:p w14:paraId="42C679D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3CBAF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210,841</w:t>
            </w:r>
          </w:p>
        </w:tc>
        <w:tc>
          <w:tcPr>
            <w:tcW w:w="283" w:type="dxa"/>
            <w:tcBorders>
              <w:top w:val="nil"/>
              <w:left w:val="nil"/>
              <w:bottom w:val="single" w:sz="4" w:space="0" w:color="auto"/>
              <w:right w:val="nil"/>
            </w:tcBorders>
            <w:shd w:val="clear" w:color="auto" w:fill="auto"/>
            <w:noWrap/>
            <w:vAlign w:val="bottom"/>
            <w:hideMark/>
          </w:tcPr>
          <w:p w14:paraId="5BDD86B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5C863DB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-4,902</w:t>
            </w:r>
          </w:p>
        </w:tc>
        <w:tc>
          <w:tcPr>
            <w:tcW w:w="284" w:type="dxa"/>
            <w:tcBorders>
              <w:top w:val="nil"/>
              <w:left w:val="nil"/>
              <w:bottom w:val="single" w:sz="4" w:space="0" w:color="auto"/>
              <w:right w:val="nil"/>
            </w:tcBorders>
            <w:shd w:val="clear" w:color="auto" w:fill="auto"/>
            <w:noWrap/>
            <w:vAlign w:val="bottom"/>
            <w:hideMark/>
          </w:tcPr>
          <w:p w14:paraId="24FBC0B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91D481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185,925</w:t>
            </w:r>
          </w:p>
        </w:tc>
        <w:tc>
          <w:tcPr>
            <w:tcW w:w="284" w:type="dxa"/>
            <w:tcBorders>
              <w:top w:val="nil"/>
              <w:left w:val="nil"/>
              <w:bottom w:val="single" w:sz="4" w:space="0" w:color="auto"/>
              <w:right w:val="nil"/>
            </w:tcBorders>
            <w:shd w:val="clear" w:color="auto" w:fill="auto"/>
            <w:noWrap/>
            <w:vAlign w:val="bottom"/>
            <w:hideMark/>
          </w:tcPr>
          <w:p w14:paraId="236417E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1F6394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190,827</w:t>
            </w:r>
          </w:p>
        </w:tc>
        <w:tc>
          <w:tcPr>
            <w:tcW w:w="283" w:type="dxa"/>
            <w:tcBorders>
              <w:top w:val="nil"/>
              <w:left w:val="nil"/>
              <w:bottom w:val="single" w:sz="4" w:space="0" w:color="auto"/>
              <w:right w:val="nil"/>
            </w:tcBorders>
            <w:shd w:val="clear" w:color="auto" w:fill="auto"/>
            <w:noWrap/>
            <w:vAlign w:val="bottom"/>
            <w:hideMark/>
          </w:tcPr>
          <w:p w14:paraId="6DFF7D3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7D741B9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-8,137</w:t>
            </w:r>
          </w:p>
        </w:tc>
        <w:tc>
          <w:tcPr>
            <w:tcW w:w="283" w:type="dxa"/>
            <w:tcBorders>
              <w:top w:val="nil"/>
              <w:left w:val="nil"/>
              <w:bottom w:val="single" w:sz="4" w:space="0" w:color="auto"/>
              <w:right w:val="nil"/>
            </w:tcBorders>
            <w:shd w:val="clear" w:color="auto" w:fill="auto"/>
            <w:noWrap/>
            <w:vAlign w:val="bottom"/>
            <w:hideMark/>
          </w:tcPr>
          <w:p w14:paraId="6A547ED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6932DD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393,531</w:t>
            </w:r>
          </w:p>
        </w:tc>
        <w:tc>
          <w:tcPr>
            <w:tcW w:w="284" w:type="dxa"/>
            <w:tcBorders>
              <w:top w:val="nil"/>
              <w:left w:val="nil"/>
              <w:bottom w:val="single" w:sz="4" w:space="0" w:color="auto"/>
              <w:right w:val="nil"/>
            </w:tcBorders>
            <w:shd w:val="clear" w:color="auto" w:fill="auto"/>
            <w:noWrap/>
            <w:vAlign w:val="bottom"/>
            <w:hideMark/>
          </w:tcPr>
          <w:p w14:paraId="17515C6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51CA95"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401,668</w:t>
            </w:r>
          </w:p>
        </w:tc>
        <w:tc>
          <w:tcPr>
            <w:tcW w:w="283" w:type="dxa"/>
            <w:tcBorders>
              <w:top w:val="nil"/>
              <w:left w:val="nil"/>
              <w:bottom w:val="single" w:sz="4" w:space="0" w:color="auto"/>
              <w:right w:val="single" w:sz="8" w:space="0" w:color="auto"/>
            </w:tcBorders>
            <w:shd w:val="clear" w:color="auto" w:fill="auto"/>
            <w:noWrap/>
            <w:vAlign w:val="bottom"/>
            <w:hideMark/>
          </w:tcPr>
          <w:p w14:paraId="07D58BB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6010D0D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271AD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2012</w:t>
            </w:r>
          </w:p>
        </w:tc>
        <w:tc>
          <w:tcPr>
            <w:tcW w:w="960" w:type="dxa"/>
            <w:tcBorders>
              <w:top w:val="nil"/>
              <w:left w:val="nil"/>
              <w:bottom w:val="nil"/>
              <w:right w:val="nil"/>
            </w:tcBorders>
            <w:shd w:val="clear" w:color="auto" w:fill="auto"/>
            <w:noWrap/>
            <w:vAlign w:val="bottom"/>
            <w:hideMark/>
          </w:tcPr>
          <w:p w14:paraId="633CEFE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50</w:t>
            </w:r>
          </w:p>
        </w:tc>
        <w:tc>
          <w:tcPr>
            <w:tcW w:w="831" w:type="dxa"/>
            <w:tcBorders>
              <w:top w:val="nil"/>
              <w:left w:val="nil"/>
              <w:bottom w:val="nil"/>
              <w:right w:val="nil"/>
            </w:tcBorders>
            <w:shd w:val="clear" w:color="auto" w:fill="auto"/>
            <w:noWrap/>
            <w:vAlign w:val="bottom"/>
            <w:hideMark/>
          </w:tcPr>
          <w:p w14:paraId="33CBAC2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-1,366</w:t>
            </w:r>
          </w:p>
        </w:tc>
        <w:tc>
          <w:tcPr>
            <w:tcW w:w="283" w:type="dxa"/>
            <w:tcBorders>
              <w:top w:val="nil"/>
              <w:left w:val="nil"/>
              <w:bottom w:val="nil"/>
              <w:right w:val="nil"/>
            </w:tcBorders>
            <w:shd w:val="clear" w:color="auto" w:fill="auto"/>
            <w:noWrap/>
            <w:vAlign w:val="bottom"/>
            <w:hideMark/>
          </w:tcPr>
          <w:p w14:paraId="279777E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8E0CEA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17,817</w:t>
            </w:r>
          </w:p>
        </w:tc>
        <w:tc>
          <w:tcPr>
            <w:tcW w:w="284" w:type="dxa"/>
            <w:tcBorders>
              <w:top w:val="nil"/>
              <w:left w:val="nil"/>
              <w:bottom w:val="nil"/>
              <w:right w:val="nil"/>
            </w:tcBorders>
            <w:shd w:val="clear" w:color="auto" w:fill="auto"/>
            <w:noWrap/>
            <w:vAlign w:val="bottom"/>
            <w:hideMark/>
          </w:tcPr>
          <w:p w14:paraId="6365042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55C64F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19,183</w:t>
            </w:r>
          </w:p>
        </w:tc>
        <w:tc>
          <w:tcPr>
            <w:tcW w:w="283" w:type="dxa"/>
            <w:tcBorders>
              <w:top w:val="nil"/>
              <w:left w:val="nil"/>
              <w:bottom w:val="nil"/>
              <w:right w:val="nil"/>
            </w:tcBorders>
            <w:shd w:val="clear" w:color="auto" w:fill="auto"/>
            <w:noWrap/>
            <w:vAlign w:val="bottom"/>
            <w:hideMark/>
          </w:tcPr>
          <w:p w14:paraId="349B398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41FB581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-658</w:t>
            </w:r>
          </w:p>
        </w:tc>
        <w:tc>
          <w:tcPr>
            <w:tcW w:w="284" w:type="dxa"/>
            <w:tcBorders>
              <w:top w:val="nil"/>
              <w:left w:val="nil"/>
              <w:bottom w:val="nil"/>
              <w:right w:val="nil"/>
            </w:tcBorders>
            <w:shd w:val="clear" w:color="auto" w:fill="auto"/>
            <w:noWrap/>
            <w:vAlign w:val="bottom"/>
            <w:hideMark/>
          </w:tcPr>
          <w:p w14:paraId="626F7F5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6A73FDC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11,097</w:t>
            </w:r>
          </w:p>
        </w:tc>
        <w:tc>
          <w:tcPr>
            <w:tcW w:w="284" w:type="dxa"/>
            <w:tcBorders>
              <w:top w:val="nil"/>
              <w:left w:val="nil"/>
              <w:bottom w:val="nil"/>
              <w:right w:val="nil"/>
            </w:tcBorders>
            <w:shd w:val="clear" w:color="auto" w:fill="auto"/>
            <w:noWrap/>
            <w:vAlign w:val="bottom"/>
            <w:hideMark/>
          </w:tcPr>
          <w:p w14:paraId="7EDC5DD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6709D08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11,755</w:t>
            </w:r>
          </w:p>
        </w:tc>
        <w:tc>
          <w:tcPr>
            <w:tcW w:w="283" w:type="dxa"/>
            <w:tcBorders>
              <w:top w:val="nil"/>
              <w:left w:val="nil"/>
              <w:bottom w:val="nil"/>
              <w:right w:val="nil"/>
            </w:tcBorders>
            <w:shd w:val="clear" w:color="auto" w:fill="auto"/>
            <w:noWrap/>
            <w:vAlign w:val="bottom"/>
            <w:hideMark/>
          </w:tcPr>
          <w:p w14:paraId="7E92DFB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639DE45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-2,024</w:t>
            </w:r>
          </w:p>
        </w:tc>
        <w:tc>
          <w:tcPr>
            <w:tcW w:w="283" w:type="dxa"/>
            <w:tcBorders>
              <w:top w:val="nil"/>
              <w:left w:val="nil"/>
              <w:bottom w:val="nil"/>
              <w:right w:val="nil"/>
            </w:tcBorders>
            <w:shd w:val="clear" w:color="auto" w:fill="auto"/>
            <w:noWrap/>
            <w:vAlign w:val="bottom"/>
            <w:hideMark/>
          </w:tcPr>
          <w:p w14:paraId="3B4DF4E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8B8780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28,914</w:t>
            </w:r>
          </w:p>
        </w:tc>
        <w:tc>
          <w:tcPr>
            <w:tcW w:w="284" w:type="dxa"/>
            <w:tcBorders>
              <w:top w:val="nil"/>
              <w:left w:val="nil"/>
              <w:bottom w:val="nil"/>
              <w:right w:val="nil"/>
            </w:tcBorders>
            <w:shd w:val="clear" w:color="auto" w:fill="auto"/>
            <w:noWrap/>
            <w:vAlign w:val="bottom"/>
            <w:hideMark/>
          </w:tcPr>
          <w:p w14:paraId="17E1EDB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169C71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30,938</w:t>
            </w:r>
          </w:p>
        </w:tc>
        <w:tc>
          <w:tcPr>
            <w:tcW w:w="283" w:type="dxa"/>
            <w:tcBorders>
              <w:top w:val="nil"/>
              <w:left w:val="nil"/>
              <w:bottom w:val="nil"/>
              <w:right w:val="single" w:sz="8" w:space="0" w:color="auto"/>
            </w:tcBorders>
            <w:shd w:val="clear" w:color="auto" w:fill="auto"/>
            <w:noWrap/>
            <w:vAlign w:val="bottom"/>
            <w:hideMark/>
          </w:tcPr>
          <w:p w14:paraId="6207CB5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2608E44D"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028110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nil"/>
              <w:right w:val="nil"/>
            </w:tcBorders>
            <w:shd w:val="clear" w:color="auto" w:fill="auto"/>
            <w:noWrap/>
            <w:vAlign w:val="bottom"/>
            <w:hideMark/>
          </w:tcPr>
          <w:p w14:paraId="1C224CB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70</w:t>
            </w:r>
          </w:p>
        </w:tc>
        <w:tc>
          <w:tcPr>
            <w:tcW w:w="831" w:type="dxa"/>
            <w:tcBorders>
              <w:top w:val="nil"/>
              <w:left w:val="nil"/>
              <w:bottom w:val="nil"/>
              <w:right w:val="nil"/>
            </w:tcBorders>
            <w:shd w:val="clear" w:color="auto" w:fill="auto"/>
            <w:noWrap/>
            <w:vAlign w:val="bottom"/>
            <w:hideMark/>
          </w:tcPr>
          <w:p w14:paraId="6AE5655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-1,392</w:t>
            </w:r>
          </w:p>
        </w:tc>
        <w:tc>
          <w:tcPr>
            <w:tcW w:w="283" w:type="dxa"/>
            <w:tcBorders>
              <w:top w:val="nil"/>
              <w:left w:val="nil"/>
              <w:bottom w:val="nil"/>
              <w:right w:val="nil"/>
            </w:tcBorders>
            <w:shd w:val="clear" w:color="auto" w:fill="auto"/>
            <w:noWrap/>
            <w:vAlign w:val="bottom"/>
            <w:hideMark/>
          </w:tcPr>
          <w:p w14:paraId="7D6D9B8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0F5BEF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73,161</w:t>
            </w:r>
          </w:p>
        </w:tc>
        <w:tc>
          <w:tcPr>
            <w:tcW w:w="284" w:type="dxa"/>
            <w:tcBorders>
              <w:top w:val="nil"/>
              <w:left w:val="nil"/>
              <w:bottom w:val="nil"/>
              <w:right w:val="nil"/>
            </w:tcBorders>
            <w:shd w:val="clear" w:color="auto" w:fill="auto"/>
            <w:noWrap/>
            <w:vAlign w:val="bottom"/>
            <w:hideMark/>
          </w:tcPr>
          <w:p w14:paraId="1EAB4FD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D21A8D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74,553</w:t>
            </w:r>
          </w:p>
        </w:tc>
        <w:tc>
          <w:tcPr>
            <w:tcW w:w="283" w:type="dxa"/>
            <w:tcBorders>
              <w:top w:val="nil"/>
              <w:left w:val="nil"/>
              <w:bottom w:val="nil"/>
              <w:right w:val="nil"/>
            </w:tcBorders>
            <w:shd w:val="clear" w:color="auto" w:fill="auto"/>
            <w:noWrap/>
            <w:vAlign w:val="bottom"/>
            <w:hideMark/>
          </w:tcPr>
          <w:p w14:paraId="7F5633F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2915577D"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170</w:t>
            </w:r>
          </w:p>
        </w:tc>
        <w:tc>
          <w:tcPr>
            <w:tcW w:w="284" w:type="dxa"/>
            <w:tcBorders>
              <w:top w:val="nil"/>
              <w:left w:val="nil"/>
              <w:bottom w:val="nil"/>
              <w:right w:val="nil"/>
            </w:tcBorders>
            <w:shd w:val="clear" w:color="auto" w:fill="auto"/>
            <w:noWrap/>
            <w:vAlign w:val="bottom"/>
            <w:hideMark/>
          </w:tcPr>
          <w:p w14:paraId="32CA238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FC12EE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49,648</w:t>
            </w:r>
          </w:p>
        </w:tc>
        <w:tc>
          <w:tcPr>
            <w:tcW w:w="284" w:type="dxa"/>
            <w:tcBorders>
              <w:top w:val="nil"/>
              <w:left w:val="nil"/>
              <w:bottom w:val="nil"/>
              <w:right w:val="nil"/>
            </w:tcBorders>
            <w:shd w:val="clear" w:color="auto" w:fill="auto"/>
            <w:noWrap/>
            <w:vAlign w:val="bottom"/>
            <w:hideMark/>
          </w:tcPr>
          <w:p w14:paraId="01315DB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DE4EA6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49,478</w:t>
            </w:r>
          </w:p>
        </w:tc>
        <w:tc>
          <w:tcPr>
            <w:tcW w:w="283" w:type="dxa"/>
            <w:tcBorders>
              <w:top w:val="nil"/>
              <w:left w:val="nil"/>
              <w:bottom w:val="nil"/>
              <w:right w:val="nil"/>
            </w:tcBorders>
            <w:shd w:val="clear" w:color="auto" w:fill="auto"/>
            <w:noWrap/>
            <w:vAlign w:val="bottom"/>
            <w:hideMark/>
          </w:tcPr>
          <w:p w14:paraId="32006E3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55913D9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-1,222</w:t>
            </w:r>
          </w:p>
        </w:tc>
        <w:tc>
          <w:tcPr>
            <w:tcW w:w="283" w:type="dxa"/>
            <w:tcBorders>
              <w:top w:val="nil"/>
              <w:left w:val="nil"/>
              <w:bottom w:val="nil"/>
              <w:right w:val="nil"/>
            </w:tcBorders>
            <w:shd w:val="clear" w:color="auto" w:fill="auto"/>
            <w:noWrap/>
            <w:vAlign w:val="bottom"/>
            <w:hideMark/>
          </w:tcPr>
          <w:p w14:paraId="3FF5F07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916570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122,809</w:t>
            </w:r>
          </w:p>
        </w:tc>
        <w:tc>
          <w:tcPr>
            <w:tcW w:w="284" w:type="dxa"/>
            <w:tcBorders>
              <w:top w:val="nil"/>
              <w:left w:val="nil"/>
              <w:bottom w:val="nil"/>
              <w:right w:val="nil"/>
            </w:tcBorders>
            <w:shd w:val="clear" w:color="auto" w:fill="auto"/>
            <w:noWrap/>
            <w:vAlign w:val="bottom"/>
            <w:hideMark/>
          </w:tcPr>
          <w:p w14:paraId="4914721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068D29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124,031</w:t>
            </w:r>
          </w:p>
        </w:tc>
        <w:tc>
          <w:tcPr>
            <w:tcW w:w="283" w:type="dxa"/>
            <w:tcBorders>
              <w:top w:val="nil"/>
              <w:left w:val="nil"/>
              <w:bottom w:val="nil"/>
              <w:right w:val="single" w:sz="8" w:space="0" w:color="auto"/>
            </w:tcBorders>
            <w:shd w:val="clear" w:color="auto" w:fill="auto"/>
            <w:noWrap/>
            <w:vAlign w:val="bottom"/>
            <w:hideMark/>
          </w:tcPr>
          <w:p w14:paraId="4062B6B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2DE83068"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3E2B129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1574588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2B745B87"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1,002</w:t>
            </w:r>
          </w:p>
        </w:tc>
        <w:tc>
          <w:tcPr>
            <w:tcW w:w="283" w:type="dxa"/>
            <w:tcBorders>
              <w:top w:val="nil"/>
              <w:left w:val="nil"/>
              <w:bottom w:val="single" w:sz="4" w:space="0" w:color="auto"/>
              <w:right w:val="nil"/>
            </w:tcBorders>
            <w:shd w:val="clear" w:color="auto" w:fill="auto"/>
            <w:noWrap/>
            <w:vAlign w:val="bottom"/>
            <w:hideMark/>
          </w:tcPr>
          <w:p w14:paraId="29E81DE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8CF711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209,909</w:t>
            </w:r>
          </w:p>
        </w:tc>
        <w:tc>
          <w:tcPr>
            <w:tcW w:w="284" w:type="dxa"/>
            <w:tcBorders>
              <w:top w:val="nil"/>
              <w:left w:val="nil"/>
              <w:bottom w:val="single" w:sz="4" w:space="0" w:color="auto"/>
              <w:right w:val="nil"/>
            </w:tcBorders>
            <w:shd w:val="clear" w:color="auto" w:fill="auto"/>
            <w:noWrap/>
            <w:vAlign w:val="bottom"/>
            <w:hideMark/>
          </w:tcPr>
          <w:p w14:paraId="59337C1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72B6EC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208,907</w:t>
            </w:r>
          </w:p>
        </w:tc>
        <w:tc>
          <w:tcPr>
            <w:tcW w:w="283" w:type="dxa"/>
            <w:tcBorders>
              <w:top w:val="nil"/>
              <w:left w:val="nil"/>
              <w:bottom w:val="single" w:sz="4" w:space="0" w:color="auto"/>
              <w:right w:val="nil"/>
            </w:tcBorders>
            <w:shd w:val="clear" w:color="auto" w:fill="auto"/>
            <w:noWrap/>
            <w:vAlign w:val="bottom"/>
            <w:hideMark/>
          </w:tcPr>
          <w:p w14:paraId="48463AB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9463CB7"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1,301</w:t>
            </w:r>
          </w:p>
        </w:tc>
        <w:tc>
          <w:tcPr>
            <w:tcW w:w="284" w:type="dxa"/>
            <w:tcBorders>
              <w:top w:val="nil"/>
              <w:left w:val="nil"/>
              <w:bottom w:val="single" w:sz="4" w:space="0" w:color="auto"/>
              <w:right w:val="nil"/>
            </w:tcBorders>
            <w:shd w:val="clear" w:color="auto" w:fill="auto"/>
            <w:noWrap/>
            <w:vAlign w:val="bottom"/>
            <w:hideMark/>
          </w:tcPr>
          <w:p w14:paraId="26941CF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1B27D31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189,135</w:t>
            </w:r>
          </w:p>
        </w:tc>
        <w:tc>
          <w:tcPr>
            <w:tcW w:w="284" w:type="dxa"/>
            <w:tcBorders>
              <w:top w:val="nil"/>
              <w:left w:val="nil"/>
              <w:bottom w:val="single" w:sz="4" w:space="0" w:color="auto"/>
              <w:right w:val="nil"/>
            </w:tcBorders>
            <w:shd w:val="clear" w:color="auto" w:fill="auto"/>
            <w:noWrap/>
            <w:vAlign w:val="bottom"/>
            <w:hideMark/>
          </w:tcPr>
          <w:p w14:paraId="61DA35B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B4C240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187,834</w:t>
            </w:r>
          </w:p>
        </w:tc>
        <w:tc>
          <w:tcPr>
            <w:tcW w:w="283" w:type="dxa"/>
            <w:tcBorders>
              <w:top w:val="nil"/>
              <w:left w:val="nil"/>
              <w:bottom w:val="single" w:sz="4" w:space="0" w:color="auto"/>
              <w:right w:val="nil"/>
            </w:tcBorders>
            <w:shd w:val="clear" w:color="auto" w:fill="auto"/>
            <w:noWrap/>
            <w:vAlign w:val="bottom"/>
            <w:hideMark/>
          </w:tcPr>
          <w:p w14:paraId="030DB80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405A3FA2"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2,303</w:t>
            </w:r>
          </w:p>
        </w:tc>
        <w:tc>
          <w:tcPr>
            <w:tcW w:w="283" w:type="dxa"/>
            <w:tcBorders>
              <w:top w:val="nil"/>
              <w:left w:val="nil"/>
              <w:bottom w:val="single" w:sz="4" w:space="0" w:color="auto"/>
              <w:right w:val="nil"/>
            </w:tcBorders>
            <w:shd w:val="clear" w:color="auto" w:fill="auto"/>
            <w:noWrap/>
            <w:vAlign w:val="bottom"/>
            <w:hideMark/>
          </w:tcPr>
          <w:p w14:paraId="6148083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36EFE3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399,044</w:t>
            </w:r>
          </w:p>
        </w:tc>
        <w:tc>
          <w:tcPr>
            <w:tcW w:w="284" w:type="dxa"/>
            <w:tcBorders>
              <w:top w:val="nil"/>
              <w:left w:val="nil"/>
              <w:bottom w:val="single" w:sz="4" w:space="0" w:color="auto"/>
              <w:right w:val="nil"/>
            </w:tcBorders>
            <w:shd w:val="clear" w:color="auto" w:fill="auto"/>
            <w:noWrap/>
            <w:vAlign w:val="bottom"/>
            <w:hideMark/>
          </w:tcPr>
          <w:p w14:paraId="741B699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AAE5EA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396,741</w:t>
            </w:r>
          </w:p>
        </w:tc>
        <w:tc>
          <w:tcPr>
            <w:tcW w:w="283" w:type="dxa"/>
            <w:tcBorders>
              <w:top w:val="nil"/>
              <w:left w:val="nil"/>
              <w:bottom w:val="single" w:sz="4" w:space="0" w:color="auto"/>
              <w:right w:val="single" w:sz="8" w:space="0" w:color="auto"/>
            </w:tcBorders>
            <w:shd w:val="clear" w:color="auto" w:fill="auto"/>
            <w:noWrap/>
            <w:vAlign w:val="bottom"/>
            <w:hideMark/>
          </w:tcPr>
          <w:p w14:paraId="6E7231A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19F2B513"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3F95E41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2013</w:t>
            </w:r>
          </w:p>
        </w:tc>
        <w:tc>
          <w:tcPr>
            <w:tcW w:w="960" w:type="dxa"/>
            <w:tcBorders>
              <w:top w:val="nil"/>
              <w:left w:val="nil"/>
              <w:bottom w:val="nil"/>
              <w:right w:val="nil"/>
            </w:tcBorders>
            <w:shd w:val="clear" w:color="auto" w:fill="auto"/>
            <w:noWrap/>
            <w:vAlign w:val="bottom"/>
            <w:hideMark/>
          </w:tcPr>
          <w:p w14:paraId="745D20A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50</w:t>
            </w:r>
          </w:p>
        </w:tc>
        <w:tc>
          <w:tcPr>
            <w:tcW w:w="831" w:type="dxa"/>
            <w:tcBorders>
              <w:top w:val="nil"/>
              <w:left w:val="nil"/>
              <w:bottom w:val="nil"/>
              <w:right w:val="nil"/>
            </w:tcBorders>
            <w:shd w:val="clear" w:color="auto" w:fill="auto"/>
            <w:noWrap/>
            <w:vAlign w:val="bottom"/>
            <w:hideMark/>
          </w:tcPr>
          <w:p w14:paraId="33BB552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-786</w:t>
            </w:r>
          </w:p>
        </w:tc>
        <w:tc>
          <w:tcPr>
            <w:tcW w:w="283" w:type="dxa"/>
            <w:tcBorders>
              <w:top w:val="nil"/>
              <w:left w:val="nil"/>
              <w:bottom w:val="nil"/>
              <w:right w:val="nil"/>
            </w:tcBorders>
            <w:shd w:val="clear" w:color="auto" w:fill="auto"/>
            <w:noWrap/>
            <w:vAlign w:val="bottom"/>
            <w:hideMark/>
          </w:tcPr>
          <w:p w14:paraId="34BE9DF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FBE3285"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18,025</w:t>
            </w:r>
          </w:p>
        </w:tc>
        <w:tc>
          <w:tcPr>
            <w:tcW w:w="284" w:type="dxa"/>
            <w:tcBorders>
              <w:top w:val="nil"/>
              <w:left w:val="nil"/>
              <w:bottom w:val="nil"/>
              <w:right w:val="nil"/>
            </w:tcBorders>
            <w:shd w:val="clear" w:color="auto" w:fill="auto"/>
            <w:noWrap/>
            <w:vAlign w:val="bottom"/>
            <w:hideMark/>
          </w:tcPr>
          <w:p w14:paraId="0EA4D77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64EB683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18,811</w:t>
            </w:r>
          </w:p>
        </w:tc>
        <w:tc>
          <w:tcPr>
            <w:tcW w:w="283" w:type="dxa"/>
            <w:tcBorders>
              <w:top w:val="nil"/>
              <w:left w:val="nil"/>
              <w:bottom w:val="nil"/>
              <w:right w:val="nil"/>
            </w:tcBorders>
            <w:shd w:val="clear" w:color="auto" w:fill="auto"/>
            <w:noWrap/>
            <w:vAlign w:val="bottom"/>
            <w:hideMark/>
          </w:tcPr>
          <w:p w14:paraId="360AF53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5D6DAE3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-465</w:t>
            </w:r>
          </w:p>
        </w:tc>
        <w:tc>
          <w:tcPr>
            <w:tcW w:w="284" w:type="dxa"/>
            <w:tcBorders>
              <w:top w:val="nil"/>
              <w:left w:val="nil"/>
              <w:bottom w:val="nil"/>
              <w:right w:val="nil"/>
            </w:tcBorders>
            <w:shd w:val="clear" w:color="auto" w:fill="auto"/>
            <w:noWrap/>
            <w:vAlign w:val="bottom"/>
            <w:hideMark/>
          </w:tcPr>
          <w:p w14:paraId="53C099FE"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EE0795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11,062</w:t>
            </w:r>
          </w:p>
        </w:tc>
        <w:tc>
          <w:tcPr>
            <w:tcW w:w="284" w:type="dxa"/>
            <w:tcBorders>
              <w:top w:val="nil"/>
              <w:left w:val="nil"/>
              <w:bottom w:val="nil"/>
              <w:right w:val="nil"/>
            </w:tcBorders>
            <w:shd w:val="clear" w:color="auto" w:fill="auto"/>
            <w:noWrap/>
            <w:vAlign w:val="bottom"/>
            <w:hideMark/>
          </w:tcPr>
          <w:p w14:paraId="249BF72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E65EA1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11,527</w:t>
            </w:r>
          </w:p>
        </w:tc>
        <w:tc>
          <w:tcPr>
            <w:tcW w:w="283" w:type="dxa"/>
            <w:tcBorders>
              <w:top w:val="nil"/>
              <w:left w:val="nil"/>
              <w:bottom w:val="nil"/>
              <w:right w:val="nil"/>
            </w:tcBorders>
            <w:shd w:val="clear" w:color="auto" w:fill="auto"/>
            <w:noWrap/>
            <w:vAlign w:val="bottom"/>
            <w:hideMark/>
          </w:tcPr>
          <w:p w14:paraId="76D13F8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547FF8F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-1,251</w:t>
            </w:r>
          </w:p>
        </w:tc>
        <w:tc>
          <w:tcPr>
            <w:tcW w:w="283" w:type="dxa"/>
            <w:tcBorders>
              <w:top w:val="nil"/>
              <w:left w:val="nil"/>
              <w:bottom w:val="nil"/>
              <w:right w:val="nil"/>
            </w:tcBorders>
            <w:shd w:val="clear" w:color="auto" w:fill="auto"/>
            <w:noWrap/>
            <w:vAlign w:val="bottom"/>
            <w:hideMark/>
          </w:tcPr>
          <w:p w14:paraId="4C7ECF3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7DFF5ED"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29,087</w:t>
            </w:r>
          </w:p>
        </w:tc>
        <w:tc>
          <w:tcPr>
            <w:tcW w:w="284" w:type="dxa"/>
            <w:tcBorders>
              <w:top w:val="nil"/>
              <w:left w:val="nil"/>
              <w:bottom w:val="nil"/>
              <w:right w:val="nil"/>
            </w:tcBorders>
            <w:shd w:val="clear" w:color="auto" w:fill="auto"/>
            <w:noWrap/>
            <w:vAlign w:val="bottom"/>
            <w:hideMark/>
          </w:tcPr>
          <w:p w14:paraId="25EA5E7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B37AFA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30,338</w:t>
            </w:r>
          </w:p>
        </w:tc>
        <w:tc>
          <w:tcPr>
            <w:tcW w:w="283" w:type="dxa"/>
            <w:tcBorders>
              <w:top w:val="nil"/>
              <w:left w:val="nil"/>
              <w:bottom w:val="nil"/>
              <w:right w:val="single" w:sz="8" w:space="0" w:color="auto"/>
            </w:tcBorders>
            <w:shd w:val="clear" w:color="auto" w:fill="auto"/>
            <w:noWrap/>
            <w:vAlign w:val="bottom"/>
            <w:hideMark/>
          </w:tcPr>
          <w:p w14:paraId="1259CBF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30DCEEAC"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0F19546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nil"/>
              <w:right w:val="nil"/>
            </w:tcBorders>
            <w:shd w:val="clear" w:color="auto" w:fill="auto"/>
            <w:noWrap/>
            <w:vAlign w:val="bottom"/>
            <w:hideMark/>
          </w:tcPr>
          <w:p w14:paraId="59C887C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70</w:t>
            </w:r>
          </w:p>
        </w:tc>
        <w:tc>
          <w:tcPr>
            <w:tcW w:w="831" w:type="dxa"/>
            <w:tcBorders>
              <w:top w:val="nil"/>
              <w:left w:val="nil"/>
              <w:bottom w:val="nil"/>
              <w:right w:val="nil"/>
            </w:tcBorders>
            <w:shd w:val="clear" w:color="auto" w:fill="auto"/>
            <w:noWrap/>
            <w:vAlign w:val="bottom"/>
            <w:hideMark/>
          </w:tcPr>
          <w:p w14:paraId="7D0CCCC1"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973</w:t>
            </w:r>
          </w:p>
        </w:tc>
        <w:tc>
          <w:tcPr>
            <w:tcW w:w="283" w:type="dxa"/>
            <w:tcBorders>
              <w:top w:val="nil"/>
              <w:left w:val="nil"/>
              <w:bottom w:val="nil"/>
              <w:right w:val="nil"/>
            </w:tcBorders>
            <w:shd w:val="clear" w:color="auto" w:fill="auto"/>
            <w:noWrap/>
            <w:vAlign w:val="bottom"/>
            <w:hideMark/>
          </w:tcPr>
          <w:p w14:paraId="6F17F98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5CD96B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74,741</w:t>
            </w:r>
          </w:p>
        </w:tc>
        <w:tc>
          <w:tcPr>
            <w:tcW w:w="284" w:type="dxa"/>
            <w:tcBorders>
              <w:top w:val="nil"/>
              <w:left w:val="nil"/>
              <w:bottom w:val="nil"/>
              <w:right w:val="nil"/>
            </w:tcBorders>
            <w:shd w:val="clear" w:color="auto" w:fill="auto"/>
            <w:noWrap/>
            <w:vAlign w:val="bottom"/>
            <w:hideMark/>
          </w:tcPr>
          <w:p w14:paraId="3B1C24D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41BDA8E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73,768</w:t>
            </w:r>
          </w:p>
        </w:tc>
        <w:tc>
          <w:tcPr>
            <w:tcW w:w="283" w:type="dxa"/>
            <w:tcBorders>
              <w:top w:val="nil"/>
              <w:left w:val="nil"/>
              <w:bottom w:val="nil"/>
              <w:right w:val="nil"/>
            </w:tcBorders>
            <w:shd w:val="clear" w:color="auto" w:fill="auto"/>
            <w:noWrap/>
            <w:vAlign w:val="bottom"/>
            <w:hideMark/>
          </w:tcPr>
          <w:p w14:paraId="2404FE6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6EA1A65D"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652</w:t>
            </w:r>
          </w:p>
        </w:tc>
        <w:tc>
          <w:tcPr>
            <w:tcW w:w="284" w:type="dxa"/>
            <w:tcBorders>
              <w:top w:val="nil"/>
              <w:left w:val="nil"/>
              <w:bottom w:val="nil"/>
              <w:right w:val="nil"/>
            </w:tcBorders>
            <w:shd w:val="clear" w:color="auto" w:fill="auto"/>
            <w:noWrap/>
            <w:vAlign w:val="bottom"/>
            <w:hideMark/>
          </w:tcPr>
          <w:p w14:paraId="4A7826E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E798C7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49,853</w:t>
            </w:r>
          </w:p>
        </w:tc>
        <w:tc>
          <w:tcPr>
            <w:tcW w:w="284" w:type="dxa"/>
            <w:tcBorders>
              <w:top w:val="nil"/>
              <w:left w:val="nil"/>
              <w:bottom w:val="nil"/>
              <w:right w:val="nil"/>
            </w:tcBorders>
            <w:shd w:val="clear" w:color="auto" w:fill="auto"/>
            <w:noWrap/>
            <w:vAlign w:val="bottom"/>
            <w:hideMark/>
          </w:tcPr>
          <w:p w14:paraId="180F7B1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4F1052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49,201</w:t>
            </w:r>
          </w:p>
        </w:tc>
        <w:tc>
          <w:tcPr>
            <w:tcW w:w="283" w:type="dxa"/>
            <w:tcBorders>
              <w:top w:val="nil"/>
              <w:left w:val="nil"/>
              <w:bottom w:val="nil"/>
              <w:right w:val="nil"/>
            </w:tcBorders>
            <w:shd w:val="clear" w:color="auto" w:fill="auto"/>
            <w:noWrap/>
            <w:vAlign w:val="bottom"/>
            <w:hideMark/>
          </w:tcPr>
          <w:p w14:paraId="4D5EA78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434E5032"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1,625</w:t>
            </w:r>
          </w:p>
        </w:tc>
        <w:tc>
          <w:tcPr>
            <w:tcW w:w="283" w:type="dxa"/>
            <w:tcBorders>
              <w:top w:val="nil"/>
              <w:left w:val="nil"/>
              <w:bottom w:val="nil"/>
              <w:right w:val="nil"/>
            </w:tcBorders>
            <w:shd w:val="clear" w:color="auto" w:fill="auto"/>
            <w:noWrap/>
            <w:vAlign w:val="bottom"/>
            <w:hideMark/>
          </w:tcPr>
          <w:p w14:paraId="2E6759B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4DE8B8B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124,594</w:t>
            </w:r>
          </w:p>
        </w:tc>
        <w:tc>
          <w:tcPr>
            <w:tcW w:w="284" w:type="dxa"/>
            <w:tcBorders>
              <w:top w:val="nil"/>
              <w:left w:val="nil"/>
              <w:bottom w:val="nil"/>
              <w:right w:val="nil"/>
            </w:tcBorders>
            <w:shd w:val="clear" w:color="auto" w:fill="auto"/>
            <w:noWrap/>
            <w:vAlign w:val="bottom"/>
            <w:hideMark/>
          </w:tcPr>
          <w:p w14:paraId="7403F18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65634E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122,969</w:t>
            </w:r>
          </w:p>
        </w:tc>
        <w:tc>
          <w:tcPr>
            <w:tcW w:w="283" w:type="dxa"/>
            <w:tcBorders>
              <w:top w:val="nil"/>
              <w:left w:val="nil"/>
              <w:bottom w:val="nil"/>
              <w:right w:val="single" w:sz="8" w:space="0" w:color="auto"/>
            </w:tcBorders>
            <w:shd w:val="clear" w:color="auto" w:fill="auto"/>
            <w:noWrap/>
            <w:vAlign w:val="bottom"/>
            <w:hideMark/>
          </w:tcPr>
          <w:p w14:paraId="4437EF1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50FB3A46"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26BD0CB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3D9E506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D7E6909"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6,505</w:t>
            </w:r>
          </w:p>
        </w:tc>
        <w:tc>
          <w:tcPr>
            <w:tcW w:w="283" w:type="dxa"/>
            <w:tcBorders>
              <w:top w:val="nil"/>
              <w:left w:val="nil"/>
              <w:bottom w:val="single" w:sz="4" w:space="0" w:color="auto"/>
              <w:right w:val="nil"/>
            </w:tcBorders>
            <w:shd w:val="clear" w:color="auto" w:fill="auto"/>
            <w:noWrap/>
            <w:vAlign w:val="bottom"/>
            <w:hideMark/>
          </w:tcPr>
          <w:p w14:paraId="7590694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0233E3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213,466</w:t>
            </w:r>
          </w:p>
        </w:tc>
        <w:tc>
          <w:tcPr>
            <w:tcW w:w="284" w:type="dxa"/>
            <w:tcBorders>
              <w:top w:val="nil"/>
              <w:left w:val="nil"/>
              <w:bottom w:val="single" w:sz="4" w:space="0" w:color="auto"/>
              <w:right w:val="nil"/>
            </w:tcBorders>
            <w:shd w:val="clear" w:color="auto" w:fill="auto"/>
            <w:noWrap/>
            <w:vAlign w:val="bottom"/>
            <w:hideMark/>
          </w:tcPr>
          <w:p w14:paraId="23171FE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92F7273"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206,961</w:t>
            </w:r>
          </w:p>
        </w:tc>
        <w:tc>
          <w:tcPr>
            <w:tcW w:w="283" w:type="dxa"/>
            <w:tcBorders>
              <w:top w:val="nil"/>
              <w:left w:val="nil"/>
              <w:bottom w:val="single" w:sz="4" w:space="0" w:color="auto"/>
              <w:right w:val="nil"/>
            </w:tcBorders>
            <w:shd w:val="clear" w:color="auto" w:fill="auto"/>
            <w:noWrap/>
            <w:vAlign w:val="bottom"/>
            <w:hideMark/>
          </w:tcPr>
          <w:p w14:paraId="3C4692F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7A8040B3"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3,925</w:t>
            </w:r>
          </w:p>
        </w:tc>
        <w:tc>
          <w:tcPr>
            <w:tcW w:w="284" w:type="dxa"/>
            <w:tcBorders>
              <w:top w:val="nil"/>
              <w:left w:val="nil"/>
              <w:bottom w:val="single" w:sz="4" w:space="0" w:color="auto"/>
              <w:right w:val="nil"/>
            </w:tcBorders>
            <w:shd w:val="clear" w:color="auto" w:fill="auto"/>
            <w:noWrap/>
            <w:vAlign w:val="bottom"/>
            <w:hideMark/>
          </w:tcPr>
          <w:p w14:paraId="253F1DB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0163FE1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189,046</w:t>
            </w:r>
          </w:p>
        </w:tc>
        <w:tc>
          <w:tcPr>
            <w:tcW w:w="284" w:type="dxa"/>
            <w:tcBorders>
              <w:top w:val="nil"/>
              <w:left w:val="nil"/>
              <w:bottom w:val="single" w:sz="4" w:space="0" w:color="auto"/>
              <w:right w:val="nil"/>
            </w:tcBorders>
            <w:shd w:val="clear" w:color="auto" w:fill="auto"/>
            <w:noWrap/>
            <w:vAlign w:val="bottom"/>
            <w:hideMark/>
          </w:tcPr>
          <w:p w14:paraId="7416FDC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111FA0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185,121</w:t>
            </w:r>
          </w:p>
        </w:tc>
        <w:tc>
          <w:tcPr>
            <w:tcW w:w="283" w:type="dxa"/>
            <w:tcBorders>
              <w:top w:val="nil"/>
              <w:left w:val="nil"/>
              <w:bottom w:val="single" w:sz="4" w:space="0" w:color="auto"/>
              <w:right w:val="nil"/>
            </w:tcBorders>
            <w:shd w:val="clear" w:color="auto" w:fill="auto"/>
            <w:noWrap/>
            <w:vAlign w:val="bottom"/>
            <w:hideMark/>
          </w:tcPr>
          <w:p w14:paraId="19B1E25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584510DA"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10,430</w:t>
            </w:r>
          </w:p>
        </w:tc>
        <w:tc>
          <w:tcPr>
            <w:tcW w:w="283" w:type="dxa"/>
            <w:tcBorders>
              <w:top w:val="nil"/>
              <w:left w:val="nil"/>
              <w:bottom w:val="single" w:sz="4" w:space="0" w:color="auto"/>
              <w:right w:val="nil"/>
            </w:tcBorders>
            <w:shd w:val="clear" w:color="auto" w:fill="auto"/>
            <w:noWrap/>
            <w:vAlign w:val="bottom"/>
            <w:hideMark/>
          </w:tcPr>
          <w:p w14:paraId="6CA44E9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7667D70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402,512</w:t>
            </w:r>
          </w:p>
        </w:tc>
        <w:tc>
          <w:tcPr>
            <w:tcW w:w="284" w:type="dxa"/>
            <w:tcBorders>
              <w:top w:val="nil"/>
              <w:left w:val="nil"/>
              <w:bottom w:val="single" w:sz="4" w:space="0" w:color="auto"/>
              <w:right w:val="nil"/>
            </w:tcBorders>
            <w:shd w:val="clear" w:color="auto" w:fill="auto"/>
            <w:noWrap/>
            <w:vAlign w:val="bottom"/>
            <w:hideMark/>
          </w:tcPr>
          <w:p w14:paraId="08B2635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E99FB6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392,082</w:t>
            </w:r>
          </w:p>
        </w:tc>
        <w:tc>
          <w:tcPr>
            <w:tcW w:w="283" w:type="dxa"/>
            <w:tcBorders>
              <w:top w:val="nil"/>
              <w:left w:val="nil"/>
              <w:bottom w:val="single" w:sz="4" w:space="0" w:color="auto"/>
              <w:right w:val="single" w:sz="8" w:space="0" w:color="auto"/>
            </w:tcBorders>
            <w:shd w:val="clear" w:color="auto" w:fill="auto"/>
            <w:noWrap/>
            <w:vAlign w:val="bottom"/>
            <w:hideMark/>
          </w:tcPr>
          <w:p w14:paraId="344EE02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0D3C47CF"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0F7690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2014</w:t>
            </w:r>
          </w:p>
        </w:tc>
        <w:tc>
          <w:tcPr>
            <w:tcW w:w="960" w:type="dxa"/>
            <w:tcBorders>
              <w:top w:val="nil"/>
              <w:left w:val="nil"/>
              <w:bottom w:val="nil"/>
              <w:right w:val="nil"/>
            </w:tcBorders>
            <w:shd w:val="clear" w:color="auto" w:fill="auto"/>
            <w:noWrap/>
            <w:vAlign w:val="bottom"/>
            <w:hideMark/>
          </w:tcPr>
          <w:p w14:paraId="3E85AE2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50</w:t>
            </w:r>
          </w:p>
        </w:tc>
        <w:tc>
          <w:tcPr>
            <w:tcW w:w="831" w:type="dxa"/>
            <w:tcBorders>
              <w:top w:val="nil"/>
              <w:left w:val="nil"/>
              <w:bottom w:val="nil"/>
              <w:right w:val="nil"/>
            </w:tcBorders>
            <w:shd w:val="clear" w:color="auto" w:fill="auto"/>
            <w:noWrap/>
            <w:vAlign w:val="bottom"/>
            <w:hideMark/>
          </w:tcPr>
          <w:p w14:paraId="2975E76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-546</w:t>
            </w:r>
          </w:p>
        </w:tc>
        <w:tc>
          <w:tcPr>
            <w:tcW w:w="283" w:type="dxa"/>
            <w:tcBorders>
              <w:top w:val="nil"/>
              <w:left w:val="nil"/>
              <w:bottom w:val="nil"/>
              <w:right w:val="nil"/>
            </w:tcBorders>
            <w:shd w:val="clear" w:color="auto" w:fill="auto"/>
            <w:noWrap/>
            <w:vAlign w:val="bottom"/>
            <w:hideMark/>
          </w:tcPr>
          <w:p w14:paraId="2B3A415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4E97CE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17,908</w:t>
            </w:r>
          </w:p>
        </w:tc>
        <w:tc>
          <w:tcPr>
            <w:tcW w:w="284" w:type="dxa"/>
            <w:tcBorders>
              <w:top w:val="nil"/>
              <w:left w:val="nil"/>
              <w:bottom w:val="nil"/>
              <w:right w:val="nil"/>
            </w:tcBorders>
            <w:shd w:val="clear" w:color="auto" w:fill="auto"/>
            <w:noWrap/>
            <w:vAlign w:val="bottom"/>
            <w:hideMark/>
          </w:tcPr>
          <w:p w14:paraId="3C6A4D2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51F1F9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18,454</w:t>
            </w:r>
          </w:p>
        </w:tc>
        <w:tc>
          <w:tcPr>
            <w:tcW w:w="283" w:type="dxa"/>
            <w:tcBorders>
              <w:top w:val="nil"/>
              <w:left w:val="nil"/>
              <w:bottom w:val="nil"/>
              <w:right w:val="nil"/>
            </w:tcBorders>
            <w:shd w:val="clear" w:color="auto" w:fill="auto"/>
            <w:noWrap/>
            <w:vAlign w:val="bottom"/>
            <w:hideMark/>
          </w:tcPr>
          <w:p w14:paraId="260BF42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33A2E95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-15</w:t>
            </w:r>
          </w:p>
        </w:tc>
        <w:tc>
          <w:tcPr>
            <w:tcW w:w="284" w:type="dxa"/>
            <w:tcBorders>
              <w:top w:val="nil"/>
              <w:left w:val="nil"/>
              <w:bottom w:val="nil"/>
              <w:right w:val="nil"/>
            </w:tcBorders>
            <w:shd w:val="clear" w:color="auto" w:fill="auto"/>
            <w:noWrap/>
            <w:vAlign w:val="bottom"/>
            <w:hideMark/>
          </w:tcPr>
          <w:p w14:paraId="0BDD9E2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008C37D"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11,291</w:t>
            </w:r>
          </w:p>
        </w:tc>
        <w:tc>
          <w:tcPr>
            <w:tcW w:w="284" w:type="dxa"/>
            <w:tcBorders>
              <w:top w:val="nil"/>
              <w:left w:val="nil"/>
              <w:bottom w:val="nil"/>
              <w:right w:val="nil"/>
            </w:tcBorders>
            <w:shd w:val="clear" w:color="auto" w:fill="auto"/>
            <w:noWrap/>
            <w:vAlign w:val="bottom"/>
            <w:hideMark/>
          </w:tcPr>
          <w:p w14:paraId="7B40684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0ED4BC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11,306</w:t>
            </w:r>
          </w:p>
        </w:tc>
        <w:tc>
          <w:tcPr>
            <w:tcW w:w="283" w:type="dxa"/>
            <w:tcBorders>
              <w:top w:val="nil"/>
              <w:left w:val="nil"/>
              <w:bottom w:val="nil"/>
              <w:right w:val="nil"/>
            </w:tcBorders>
            <w:shd w:val="clear" w:color="auto" w:fill="auto"/>
            <w:noWrap/>
            <w:vAlign w:val="bottom"/>
            <w:hideMark/>
          </w:tcPr>
          <w:p w14:paraId="5A80DEFE"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1CF79E0D"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-561</w:t>
            </w:r>
          </w:p>
        </w:tc>
        <w:tc>
          <w:tcPr>
            <w:tcW w:w="283" w:type="dxa"/>
            <w:tcBorders>
              <w:top w:val="nil"/>
              <w:left w:val="nil"/>
              <w:bottom w:val="nil"/>
              <w:right w:val="nil"/>
            </w:tcBorders>
            <w:shd w:val="clear" w:color="auto" w:fill="auto"/>
            <w:noWrap/>
            <w:vAlign w:val="bottom"/>
            <w:hideMark/>
          </w:tcPr>
          <w:p w14:paraId="6277222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F660C4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29,199</w:t>
            </w:r>
          </w:p>
        </w:tc>
        <w:tc>
          <w:tcPr>
            <w:tcW w:w="284" w:type="dxa"/>
            <w:tcBorders>
              <w:top w:val="nil"/>
              <w:left w:val="nil"/>
              <w:bottom w:val="nil"/>
              <w:right w:val="nil"/>
            </w:tcBorders>
            <w:shd w:val="clear" w:color="auto" w:fill="auto"/>
            <w:noWrap/>
            <w:vAlign w:val="bottom"/>
            <w:hideMark/>
          </w:tcPr>
          <w:p w14:paraId="58F2F9E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C691C0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29,760</w:t>
            </w:r>
          </w:p>
        </w:tc>
        <w:tc>
          <w:tcPr>
            <w:tcW w:w="283" w:type="dxa"/>
            <w:tcBorders>
              <w:top w:val="nil"/>
              <w:left w:val="nil"/>
              <w:bottom w:val="nil"/>
              <w:right w:val="single" w:sz="8" w:space="0" w:color="auto"/>
            </w:tcBorders>
            <w:shd w:val="clear" w:color="auto" w:fill="auto"/>
            <w:noWrap/>
            <w:vAlign w:val="bottom"/>
            <w:hideMark/>
          </w:tcPr>
          <w:p w14:paraId="6764487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6AD9FE84"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5C9B967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nil"/>
              <w:right w:val="nil"/>
            </w:tcBorders>
            <w:shd w:val="clear" w:color="auto" w:fill="auto"/>
            <w:noWrap/>
            <w:vAlign w:val="bottom"/>
            <w:hideMark/>
          </w:tcPr>
          <w:p w14:paraId="57E8D50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70</w:t>
            </w:r>
          </w:p>
        </w:tc>
        <w:tc>
          <w:tcPr>
            <w:tcW w:w="831" w:type="dxa"/>
            <w:tcBorders>
              <w:top w:val="nil"/>
              <w:left w:val="nil"/>
              <w:bottom w:val="nil"/>
              <w:right w:val="nil"/>
            </w:tcBorders>
            <w:shd w:val="clear" w:color="auto" w:fill="auto"/>
            <w:noWrap/>
            <w:vAlign w:val="bottom"/>
            <w:hideMark/>
          </w:tcPr>
          <w:p w14:paraId="1A427B44"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1,963</w:t>
            </w:r>
          </w:p>
        </w:tc>
        <w:tc>
          <w:tcPr>
            <w:tcW w:w="283" w:type="dxa"/>
            <w:tcBorders>
              <w:top w:val="nil"/>
              <w:left w:val="nil"/>
              <w:bottom w:val="nil"/>
              <w:right w:val="nil"/>
            </w:tcBorders>
            <w:shd w:val="clear" w:color="auto" w:fill="auto"/>
            <w:noWrap/>
            <w:vAlign w:val="bottom"/>
            <w:hideMark/>
          </w:tcPr>
          <w:p w14:paraId="037F98E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5118938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74,625</w:t>
            </w:r>
          </w:p>
        </w:tc>
        <w:tc>
          <w:tcPr>
            <w:tcW w:w="284" w:type="dxa"/>
            <w:tcBorders>
              <w:top w:val="nil"/>
              <w:left w:val="nil"/>
              <w:bottom w:val="nil"/>
              <w:right w:val="nil"/>
            </w:tcBorders>
            <w:shd w:val="clear" w:color="auto" w:fill="auto"/>
            <w:noWrap/>
            <w:vAlign w:val="bottom"/>
            <w:hideMark/>
          </w:tcPr>
          <w:p w14:paraId="36E181A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438DAE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72,662</w:t>
            </w:r>
          </w:p>
        </w:tc>
        <w:tc>
          <w:tcPr>
            <w:tcW w:w="283" w:type="dxa"/>
            <w:tcBorders>
              <w:top w:val="nil"/>
              <w:left w:val="nil"/>
              <w:bottom w:val="nil"/>
              <w:right w:val="nil"/>
            </w:tcBorders>
            <w:shd w:val="clear" w:color="auto" w:fill="auto"/>
            <w:noWrap/>
            <w:vAlign w:val="bottom"/>
            <w:hideMark/>
          </w:tcPr>
          <w:p w14:paraId="1432E94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002CDB7C"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1,257</w:t>
            </w:r>
          </w:p>
        </w:tc>
        <w:tc>
          <w:tcPr>
            <w:tcW w:w="284" w:type="dxa"/>
            <w:tcBorders>
              <w:top w:val="nil"/>
              <w:left w:val="nil"/>
              <w:bottom w:val="nil"/>
              <w:right w:val="nil"/>
            </w:tcBorders>
            <w:shd w:val="clear" w:color="auto" w:fill="auto"/>
            <w:noWrap/>
            <w:vAlign w:val="bottom"/>
            <w:hideMark/>
          </w:tcPr>
          <w:p w14:paraId="53ECD37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F79C85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49,967</w:t>
            </w:r>
          </w:p>
        </w:tc>
        <w:tc>
          <w:tcPr>
            <w:tcW w:w="284" w:type="dxa"/>
            <w:tcBorders>
              <w:top w:val="nil"/>
              <w:left w:val="nil"/>
              <w:bottom w:val="nil"/>
              <w:right w:val="nil"/>
            </w:tcBorders>
            <w:shd w:val="clear" w:color="auto" w:fill="auto"/>
            <w:noWrap/>
            <w:vAlign w:val="bottom"/>
            <w:hideMark/>
          </w:tcPr>
          <w:p w14:paraId="3E076B60"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DAF1D7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48,710</w:t>
            </w:r>
          </w:p>
        </w:tc>
        <w:tc>
          <w:tcPr>
            <w:tcW w:w="283" w:type="dxa"/>
            <w:tcBorders>
              <w:top w:val="nil"/>
              <w:left w:val="nil"/>
              <w:bottom w:val="nil"/>
              <w:right w:val="nil"/>
            </w:tcBorders>
            <w:shd w:val="clear" w:color="auto" w:fill="auto"/>
            <w:noWrap/>
            <w:vAlign w:val="bottom"/>
            <w:hideMark/>
          </w:tcPr>
          <w:p w14:paraId="02092A2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34A3EE0B"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3,220</w:t>
            </w:r>
          </w:p>
        </w:tc>
        <w:tc>
          <w:tcPr>
            <w:tcW w:w="283" w:type="dxa"/>
            <w:tcBorders>
              <w:top w:val="nil"/>
              <w:left w:val="nil"/>
              <w:bottom w:val="nil"/>
              <w:right w:val="nil"/>
            </w:tcBorders>
            <w:shd w:val="clear" w:color="auto" w:fill="auto"/>
            <w:noWrap/>
            <w:vAlign w:val="bottom"/>
            <w:hideMark/>
          </w:tcPr>
          <w:p w14:paraId="0FEFF2D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344009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124,592</w:t>
            </w:r>
          </w:p>
        </w:tc>
        <w:tc>
          <w:tcPr>
            <w:tcW w:w="284" w:type="dxa"/>
            <w:tcBorders>
              <w:top w:val="nil"/>
              <w:left w:val="nil"/>
              <w:bottom w:val="nil"/>
              <w:right w:val="nil"/>
            </w:tcBorders>
            <w:shd w:val="clear" w:color="auto" w:fill="auto"/>
            <w:noWrap/>
            <w:vAlign w:val="bottom"/>
            <w:hideMark/>
          </w:tcPr>
          <w:p w14:paraId="62D77C9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7FD2AD1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121,372</w:t>
            </w:r>
          </w:p>
        </w:tc>
        <w:tc>
          <w:tcPr>
            <w:tcW w:w="283" w:type="dxa"/>
            <w:tcBorders>
              <w:top w:val="nil"/>
              <w:left w:val="nil"/>
              <w:bottom w:val="nil"/>
              <w:right w:val="single" w:sz="8" w:space="0" w:color="auto"/>
            </w:tcBorders>
            <w:shd w:val="clear" w:color="auto" w:fill="auto"/>
            <w:noWrap/>
            <w:vAlign w:val="bottom"/>
            <w:hideMark/>
          </w:tcPr>
          <w:p w14:paraId="5047BAE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3F2FD471" w14:textId="77777777" w:rsidTr="00E22714">
        <w:trPr>
          <w:trHeight w:val="288"/>
          <w:jc w:val="center"/>
        </w:trPr>
        <w:tc>
          <w:tcPr>
            <w:tcW w:w="960" w:type="dxa"/>
            <w:tcBorders>
              <w:top w:val="nil"/>
              <w:left w:val="single" w:sz="8" w:space="0" w:color="auto"/>
              <w:bottom w:val="single" w:sz="4" w:space="0" w:color="auto"/>
              <w:right w:val="nil"/>
            </w:tcBorders>
            <w:shd w:val="clear" w:color="auto" w:fill="auto"/>
            <w:noWrap/>
            <w:vAlign w:val="bottom"/>
            <w:hideMark/>
          </w:tcPr>
          <w:p w14:paraId="4805FC8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single" w:sz="4" w:space="0" w:color="auto"/>
              <w:right w:val="nil"/>
            </w:tcBorders>
            <w:shd w:val="clear" w:color="auto" w:fill="auto"/>
            <w:noWrap/>
            <w:vAlign w:val="bottom"/>
            <w:hideMark/>
          </w:tcPr>
          <w:p w14:paraId="28B6649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89</w:t>
            </w:r>
          </w:p>
        </w:tc>
        <w:tc>
          <w:tcPr>
            <w:tcW w:w="831" w:type="dxa"/>
            <w:tcBorders>
              <w:top w:val="nil"/>
              <w:left w:val="nil"/>
              <w:bottom w:val="single" w:sz="4" w:space="0" w:color="auto"/>
              <w:right w:val="nil"/>
            </w:tcBorders>
            <w:shd w:val="clear" w:color="auto" w:fill="auto"/>
            <w:noWrap/>
            <w:vAlign w:val="bottom"/>
            <w:hideMark/>
          </w:tcPr>
          <w:p w14:paraId="783DFDF9"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6,741</w:t>
            </w:r>
          </w:p>
        </w:tc>
        <w:tc>
          <w:tcPr>
            <w:tcW w:w="283" w:type="dxa"/>
            <w:tcBorders>
              <w:top w:val="nil"/>
              <w:left w:val="nil"/>
              <w:bottom w:val="single" w:sz="4" w:space="0" w:color="auto"/>
              <w:right w:val="nil"/>
            </w:tcBorders>
            <w:shd w:val="clear" w:color="auto" w:fill="auto"/>
            <w:noWrap/>
            <w:vAlign w:val="bottom"/>
            <w:hideMark/>
          </w:tcPr>
          <w:p w14:paraId="7D4522B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05241B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212,499</w:t>
            </w:r>
          </w:p>
        </w:tc>
        <w:tc>
          <w:tcPr>
            <w:tcW w:w="284" w:type="dxa"/>
            <w:tcBorders>
              <w:top w:val="nil"/>
              <w:left w:val="nil"/>
              <w:bottom w:val="single" w:sz="4" w:space="0" w:color="auto"/>
              <w:right w:val="nil"/>
            </w:tcBorders>
            <w:shd w:val="clear" w:color="auto" w:fill="auto"/>
            <w:noWrap/>
            <w:vAlign w:val="bottom"/>
            <w:hideMark/>
          </w:tcPr>
          <w:p w14:paraId="4EAFE4F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4CEFCF9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205,758</w:t>
            </w:r>
          </w:p>
        </w:tc>
        <w:tc>
          <w:tcPr>
            <w:tcW w:w="283" w:type="dxa"/>
            <w:tcBorders>
              <w:top w:val="nil"/>
              <w:left w:val="nil"/>
              <w:bottom w:val="single" w:sz="4" w:space="0" w:color="auto"/>
              <w:right w:val="nil"/>
            </w:tcBorders>
            <w:shd w:val="clear" w:color="auto" w:fill="auto"/>
            <w:noWrap/>
            <w:vAlign w:val="bottom"/>
            <w:hideMark/>
          </w:tcPr>
          <w:p w14:paraId="26FCABD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single" w:sz="4" w:space="0" w:color="auto"/>
              <w:right w:val="nil"/>
            </w:tcBorders>
            <w:shd w:val="clear" w:color="auto" w:fill="auto"/>
            <w:noWrap/>
            <w:vAlign w:val="bottom"/>
            <w:hideMark/>
          </w:tcPr>
          <w:p w14:paraId="4659A0AA"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2,079</w:t>
            </w:r>
          </w:p>
        </w:tc>
        <w:tc>
          <w:tcPr>
            <w:tcW w:w="284" w:type="dxa"/>
            <w:tcBorders>
              <w:top w:val="nil"/>
              <w:left w:val="nil"/>
              <w:bottom w:val="single" w:sz="4" w:space="0" w:color="auto"/>
              <w:right w:val="nil"/>
            </w:tcBorders>
            <w:shd w:val="clear" w:color="auto" w:fill="auto"/>
            <w:noWrap/>
            <w:vAlign w:val="bottom"/>
            <w:hideMark/>
          </w:tcPr>
          <w:p w14:paraId="777564C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6DA75FDC"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185,505</w:t>
            </w:r>
          </w:p>
        </w:tc>
        <w:tc>
          <w:tcPr>
            <w:tcW w:w="284" w:type="dxa"/>
            <w:tcBorders>
              <w:top w:val="nil"/>
              <w:left w:val="nil"/>
              <w:bottom w:val="single" w:sz="4" w:space="0" w:color="auto"/>
              <w:right w:val="nil"/>
            </w:tcBorders>
            <w:shd w:val="clear" w:color="auto" w:fill="auto"/>
            <w:noWrap/>
            <w:vAlign w:val="bottom"/>
            <w:hideMark/>
          </w:tcPr>
          <w:p w14:paraId="49155EA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53DCFD8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183,426</w:t>
            </w:r>
          </w:p>
        </w:tc>
        <w:tc>
          <w:tcPr>
            <w:tcW w:w="283" w:type="dxa"/>
            <w:tcBorders>
              <w:top w:val="nil"/>
              <w:left w:val="nil"/>
              <w:bottom w:val="single" w:sz="4" w:space="0" w:color="auto"/>
              <w:right w:val="nil"/>
            </w:tcBorders>
            <w:shd w:val="clear" w:color="auto" w:fill="auto"/>
            <w:noWrap/>
            <w:vAlign w:val="bottom"/>
            <w:hideMark/>
          </w:tcPr>
          <w:p w14:paraId="5FF68A6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single" w:sz="4" w:space="0" w:color="auto"/>
              <w:right w:val="nil"/>
            </w:tcBorders>
            <w:shd w:val="clear" w:color="auto" w:fill="auto"/>
            <w:noWrap/>
            <w:vAlign w:val="bottom"/>
            <w:hideMark/>
          </w:tcPr>
          <w:p w14:paraId="10290011"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8,820</w:t>
            </w:r>
          </w:p>
        </w:tc>
        <w:tc>
          <w:tcPr>
            <w:tcW w:w="283" w:type="dxa"/>
            <w:tcBorders>
              <w:top w:val="nil"/>
              <w:left w:val="nil"/>
              <w:bottom w:val="single" w:sz="4" w:space="0" w:color="auto"/>
              <w:right w:val="nil"/>
            </w:tcBorders>
            <w:shd w:val="clear" w:color="auto" w:fill="auto"/>
            <w:noWrap/>
            <w:vAlign w:val="bottom"/>
            <w:hideMark/>
          </w:tcPr>
          <w:p w14:paraId="0FF453C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2B3FF88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398,004</w:t>
            </w:r>
          </w:p>
        </w:tc>
        <w:tc>
          <w:tcPr>
            <w:tcW w:w="284" w:type="dxa"/>
            <w:tcBorders>
              <w:top w:val="nil"/>
              <w:left w:val="nil"/>
              <w:bottom w:val="single" w:sz="4" w:space="0" w:color="auto"/>
              <w:right w:val="nil"/>
            </w:tcBorders>
            <w:shd w:val="clear" w:color="auto" w:fill="auto"/>
            <w:noWrap/>
            <w:vAlign w:val="bottom"/>
            <w:hideMark/>
          </w:tcPr>
          <w:p w14:paraId="502F1695"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4" w:space="0" w:color="auto"/>
              <w:right w:val="nil"/>
            </w:tcBorders>
            <w:shd w:val="clear" w:color="auto" w:fill="auto"/>
            <w:noWrap/>
            <w:vAlign w:val="bottom"/>
            <w:hideMark/>
          </w:tcPr>
          <w:p w14:paraId="3982386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389,184</w:t>
            </w:r>
          </w:p>
        </w:tc>
        <w:tc>
          <w:tcPr>
            <w:tcW w:w="283" w:type="dxa"/>
            <w:tcBorders>
              <w:top w:val="nil"/>
              <w:left w:val="nil"/>
              <w:bottom w:val="single" w:sz="4" w:space="0" w:color="auto"/>
              <w:right w:val="single" w:sz="8" w:space="0" w:color="auto"/>
            </w:tcBorders>
            <w:shd w:val="clear" w:color="auto" w:fill="auto"/>
            <w:noWrap/>
            <w:vAlign w:val="bottom"/>
            <w:hideMark/>
          </w:tcPr>
          <w:p w14:paraId="53BAC54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06B36FB8"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8F5D91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2015</w:t>
            </w:r>
          </w:p>
        </w:tc>
        <w:tc>
          <w:tcPr>
            <w:tcW w:w="960" w:type="dxa"/>
            <w:tcBorders>
              <w:top w:val="nil"/>
              <w:left w:val="nil"/>
              <w:bottom w:val="nil"/>
              <w:right w:val="nil"/>
            </w:tcBorders>
            <w:shd w:val="clear" w:color="auto" w:fill="auto"/>
            <w:noWrap/>
            <w:vAlign w:val="bottom"/>
            <w:hideMark/>
          </w:tcPr>
          <w:p w14:paraId="7A96A36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50</w:t>
            </w:r>
          </w:p>
        </w:tc>
        <w:tc>
          <w:tcPr>
            <w:tcW w:w="831" w:type="dxa"/>
            <w:tcBorders>
              <w:top w:val="nil"/>
              <w:left w:val="nil"/>
              <w:bottom w:val="nil"/>
              <w:right w:val="nil"/>
            </w:tcBorders>
            <w:shd w:val="clear" w:color="auto" w:fill="auto"/>
            <w:noWrap/>
            <w:vAlign w:val="bottom"/>
            <w:hideMark/>
          </w:tcPr>
          <w:p w14:paraId="00082C1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-1,845</w:t>
            </w:r>
          </w:p>
        </w:tc>
        <w:tc>
          <w:tcPr>
            <w:tcW w:w="283" w:type="dxa"/>
            <w:tcBorders>
              <w:top w:val="nil"/>
              <w:left w:val="nil"/>
              <w:bottom w:val="nil"/>
              <w:right w:val="nil"/>
            </w:tcBorders>
            <w:shd w:val="clear" w:color="auto" w:fill="auto"/>
            <w:noWrap/>
            <w:vAlign w:val="bottom"/>
            <w:hideMark/>
          </w:tcPr>
          <w:p w14:paraId="548F6D1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D5971FD"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16,288</w:t>
            </w:r>
          </w:p>
        </w:tc>
        <w:tc>
          <w:tcPr>
            <w:tcW w:w="284" w:type="dxa"/>
            <w:tcBorders>
              <w:top w:val="nil"/>
              <w:left w:val="nil"/>
              <w:bottom w:val="nil"/>
              <w:right w:val="nil"/>
            </w:tcBorders>
            <w:shd w:val="clear" w:color="auto" w:fill="auto"/>
            <w:noWrap/>
            <w:vAlign w:val="bottom"/>
            <w:hideMark/>
          </w:tcPr>
          <w:p w14:paraId="0B76BB7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6502CC26"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18,133</w:t>
            </w:r>
          </w:p>
        </w:tc>
        <w:tc>
          <w:tcPr>
            <w:tcW w:w="283" w:type="dxa"/>
            <w:tcBorders>
              <w:top w:val="nil"/>
              <w:left w:val="nil"/>
              <w:bottom w:val="nil"/>
              <w:right w:val="nil"/>
            </w:tcBorders>
            <w:shd w:val="clear" w:color="auto" w:fill="auto"/>
            <w:noWrap/>
            <w:vAlign w:val="bottom"/>
            <w:hideMark/>
          </w:tcPr>
          <w:p w14:paraId="375EBAAD"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482C55C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-816</w:t>
            </w:r>
          </w:p>
        </w:tc>
        <w:tc>
          <w:tcPr>
            <w:tcW w:w="284" w:type="dxa"/>
            <w:tcBorders>
              <w:top w:val="nil"/>
              <w:left w:val="nil"/>
              <w:bottom w:val="nil"/>
              <w:right w:val="nil"/>
            </w:tcBorders>
            <w:shd w:val="clear" w:color="auto" w:fill="auto"/>
            <w:noWrap/>
            <w:vAlign w:val="bottom"/>
            <w:hideMark/>
          </w:tcPr>
          <w:p w14:paraId="67E30EA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CB5FD54"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10,279</w:t>
            </w:r>
          </w:p>
        </w:tc>
        <w:tc>
          <w:tcPr>
            <w:tcW w:w="284" w:type="dxa"/>
            <w:tcBorders>
              <w:top w:val="nil"/>
              <w:left w:val="nil"/>
              <w:bottom w:val="nil"/>
              <w:right w:val="nil"/>
            </w:tcBorders>
            <w:shd w:val="clear" w:color="auto" w:fill="auto"/>
            <w:noWrap/>
            <w:vAlign w:val="bottom"/>
            <w:hideMark/>
          </w:tcPr>
          <w:p w14:paraId="3CC43F21"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4FB6B6F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11,095</w:t>
            </w:r>
          </w:p>
        </w:tc>
        <w:tc>
          <w:tcPr>
            <w:tcW w:w="283" w:type="dxa"/>
            <w:tcBorders>
              <w:top w:val="nil"/>
              <w:left w:val="nil"/>
              <w:bottom w:val="nil"/>
              <w:right w:val="nil"/>
            </w:tcBorders>
            <w:shd w:val="clear" w:color="auto" w:fill="auto"/>
            <w:noWrap/>
            <w:vAlign w:val="bottom"/>
            <w:hideMark/>
          </w:tcPr>
          <w:p w14:paraId="2F971E9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537D6B6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-2,661</w:t>
            </w:r>
          </w:p>
        </w:tc>
        <w:tc>
          <w:tcPr>
            <w:tcW w:w="283" w:type="dxa"/>
            <w:tcBorders>
              <w:top w:val="nil"/>
              <w:left w:val="nil"/>
              <w:bottom w:val="nil"/>
              <w:right w:val="nil"/>
            </w:tcBorders>
            <w:shd w:val="clear" w:color="auto" w:fill="auto"/>
            <w:noWrap/>
            <w:vAlign w:val="bottom"/>
            <w:hideMark/>
          </w:tcPr>
          <w:p w14:paraId="0D8E6BD9"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BCC08F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26,567</w:t>
            </w:r>
          </w:p>
        </w:tc>
        <w:tc>
          <w:tcPr>
            <w:tcW w:w="284" w:type="dxa"/>
            <w:tcBorders>
              <w:top w:val="nil"/>
              <w:left w:val="nil"/>
              <w:bottom w:val="nil"/>
              <w:right w:val="nil"/>
            </w:tcBorders>
            <w:shd w:val="clear" w:color="auto" w:fill="auto"/>
            <w:noWrap/>
            <w:vAlign w:val="bottom"/>
            <w:hideMark/>
          </w:tcPr>
          <w:p w14:paraId="4D81FC1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EB02BC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29,228</w:t>
            </w:r>
          </w:p>
        </w:tc>
        <w:tc>
          <w:tcPr>
            <w:tcW w:w="283" w:type="dxa"/>
            <w:tcBorders>
              <w:top w:val="nil"/>
              <w:left w:val="nil"/>
              <w:bottom w:val="nil"/>
              <w:right w:val="single" w:sz="8" w:space="0" w:color="auto"/>
            </w:tcBorders>
            <w:shd w:val="clear" w:color="auto" w:fill="auto"/>
            <w:noWrap/>
            <w:vAlign w:val="bottom"/>
            <w:hideMark/>
          </w:tcPr>
          <w:p w14:paraId="178C916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594508FA" w14:textId="77777777" w:rsidTr="00E22714">
        <w:trPr>
          <w:trHeight w:val="288"/>
          <w:jc w:val="center"/>
        </w:trPr>
        <w:tc>
          <w:tcPr>
            <w:tcW w:w="960" w:type="dxa"/>
            <w:tcBorders>
              <w:top w:val="nil"/>
              <w:left w:val="single" w:sz="8" w:space="0" w:color="auto"/>
              <w:bottom w:val="nil"/>
              <w:right w:val="nil"/>
            </w:tcBorders>
            <w:shd w:val="clear" w:color="auto" w:fill="auto"/>
            <w:noWrap/>
            <w:vAlign w:val="bottom"/>
            <w:hideMark/>
          </w:tcPr>
          <w:p w14:paraId="2CD1A203"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nil"/>
              <w:right w:val="nil"/>
            </w:tcBorders>
            <w:shd w:val="clear" w:color="auto" w:fill="auto"/>
            <w:noWrap/>
            <w:vAlign w:val="bottom"/>
            <w:hideMark/>
          </w:tcPr>
          <w:p w14:paraId="0141217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70</w:t>
            </w:r>
          </w:p>
        </w:tc>
        <w:tc>
          <w:tcPr>
            <w:tcW w:w="831" w:type="dxa"/>
            <w:tcBorders>
              <w:top w:val="nil"/>
              <w:left w:val="nil"/>
              <w:bottom w:val="nil"/>
              <w:right w:val="nil"/>
            </w:tcBorders>
            <w:shd w:val="clear" w:color="auto" w:fill="auto"/>
            <w:noWrap/>
            <w:vAlign w:val="bottom"/>
            <w:hideMark/>
          </w:tcPr>
          <w:p w14:paraId="3AAD7393"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82</w:t>
            </w:r>
          </w:p>
        </w:tc>
        <w:tc>
          <w:tcPr>
            <w:tcW w:w="283" w:type="dxa"/>
            <w:tcBorders>
              <w:top w:val="nil"/>
              <w:left w:val="nil"/>
              <w:bottom w:val="nil"/>
              <w:right w:val="nil"/>
            </w:tcBorders>
            <w:shd w:val="clear" w:color="auto" w:fill="auto"/>
            <w:noWrap/>
            <w:vAlign w:val="bottom"/>
            <w:hideMark/>
          </w:tcPr>
          <w:p w14:paraId="2B37A1B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10441AEA"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71,541</w:t>
            </w:r>
          </w:p>
        </w:tc>
        <w:tc>
          <w:tcPr>
            <w:tcW w:w="284" w:type="dxa"/>
            <w:tcBorders>
              <w:top w:val="nil"/>
              <w:left w:val="nil"/>
              <w:bottom w:val="nil"/>
              <w:right w:val="nil"/>
            </w:tcBorders>
            <w:shd w:val="clear" w:color="auto" w:fill="auto"/>
            <w:noWrap/>
            <w:vAlign w:val="bottom"/>
            <w:hideMark/>
          </w:tcPr>
          <w:p w14:paraId="1FC93B4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05F3FC7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71,459</w:t>
            </w:r>
          </w:p>
        </w:tc>
        <w:tc>
          <w:tcPr>
            <w:tcW w:w="283" w:type="dxa"/>
            <w:tcBorders>
              <w:top w:val="nil"/>
              <w:left w:val="nil"/>
              <w:bottom w:val="nil"/>
              <w:right w:val="nil"/>
            </w:tcBorders>
            <w:shd w:val="clear" w:color="auto" w:fill="auto"/>
            <w:noWrap/>
            <w:vAlign w:val="bottom"/>
            <w:hideMark/>
          </w:tcPr>
          <w:p w14:paraId="7C28593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nil"/>
              <w:right w:val="nil"/>
            </w:tcBorders>
            <w:shd w:val="clear" w:color="auto" w:fill="auto"/>
            <w:noWrap/>
            <w:vAlign w:val="bottom"/>
            <w:hideMark/>
          </w:tcPr>
          <w:p w14:paraId="32F43900"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392</w:t>
            </w:r>
          </w:p>
        </w:tc>
        <w:tc>
          <w:tcPr>
            <w:tcW w:w="284" w:type="dxa"/>
            <w:tcBorders>
              <w:top w:val="nil"/>
              <w:left w:val="nil"/>
              <w:bottom w:val="nil"/>
              <w:right w:val="nil"/>
            </w:tcBorders>
            <w:shd w:val="clear" w:color="auto" w:fill="auto"/>
            <w:noWrap/>
            <w:vAlign w:val="bottom"/>
            <w:hideMark/>
          </w:tcPr>
          <w:p w14:paraId="5E3B858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2C7F2FD1"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48,525</w:t>
            </w:r>
          </w:p>
        </w:tc>
        <w:tc>
          <w:tcPr>
            <w:tcW w:w="284" w:type="dxa"/>
            <w:tcBorders>
              <w:top w:val="nil"/>
              <w:left w:val="nil"/>
              <w:bottom w:val="nil"/>
              <w:right w:val="nil"/>
            </w:tcBorders>
            <w:shd w:val="clear" w:color="auto" w:fill="auto"/>
            <w:noWrap/>
            <w:vAlign w:val="bottom"/>
            <w:hideMark/>
          </w:tcPr>
          <w:p w14:paraId="265A243E"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6B2D24A7"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48,133</w:t>
            </w:r>
          </w:p>
        </w:tc>
        <w:tc>
          <w:tcPr>
            <w:tcW w:w="283" w:type="dxa"/>
            <w:tcBorders>
              <w:top w:val="nil"/>
              <w:left w:val="nil"/>
              <w:bottom w:val="nil"/>
              <w:right w:val="nil"/>
            </w:tcBorders>
            <w:shd w:val="clear" w:color="auto" w:fill="auto"/>
            <w:noWrap/>
            <w:vAlign w:val="bottom"/>
            <w:hideMark/>
          </w:tcPr>
          <w:p w14:paraId="3DE41B7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nil"/>
              <w:right w:val="nil"/>
            </w:tcBorders>
            <w:shd w:val="clear" w:color="auto" w:fill="auto"/>
            <w:noWrap/>
            <w:vAlign w:val="bottom"/>
            <w:hideMark/>
          </w:tcPr>
          <w:p w14:paraId="72FEADB9"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474</w:t>
            </w:r>
          </w:p>
        </w:tc>
        <w:tc>
          <w:tcPr>
            <w:tcW w:w="283" w:type="dxa"/>
            <w:tcBorders>
              <w:top w:val="nil"/>
              <w:left w:val="nil"/>
              <w:bottom w:val="nil"/>
              <w:right w:val="nil"/>
            </w:tcBorders>
            <w:shd w:val="clear" w:color="auto" w:fill="auto"/>
            <w:noWrap/>
            <w:vAlign w:val="bottom"/>
            <w:hideMark/>
          </w:tcPr>
          <w:p w14:paraId="2F5B77F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6315E59E"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120,066</w:t>
            </w:r>
          </w:p>
        </w:tc>
        <w:tc>
          <w:tcPr>
            <w:tcW w:w="284" w:type="dxa"/>
            <w:tcBorders>
              <w:top w:val="nil"/>
              <w:left w:val="nil"/>
              <w:bottom w:val="nil"/>
              <w:right w:val="nil"/>
            </w:tcBorders>
            <w:shd w:val="clear" w:color="auto" w:fill="auto"/>
            <w:noWrap/>
            <w:vAlign w:val="bottom"/>
            <w:hideMark/>
          </w:tcPr>
          <w:p w14:paraId="5A16C2A7"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nil"/>
              <w:right w:val="nil"/>
            </w:tcBorders>
            <w:shd w:val="clear" w:color="auto" w:fill="auto"/>
            <w:noWrap/>
            <w:vAlign w:val="bottom"/>
            <w:hideMark/>
          </w:tcPr>
          <w:p w14:paraId="36365BDB"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119,592</w:t>
            </w:r>
          </w:p>
        </w:tc>
        <w:tc>
          <w:tcPr>
            <w:tcW w:w="283" w:type="dxa"/>
            <w:tcBorders>
              <w:top w:val="nil"/>
              <w:left w:val="nil"/>
              <w:bottom w:val="nil"/>
              <w:right w:val="single" w:sz="8" w:space="0" w:color="auto"/>
            </w:tcBorders>
            <w:shd w:val="clear" w:color="auto" w:fill="auto"/>
            <w:noWrap/>
            <w:vAlign w:val="bottom"/>
            <w:hideMark/>
          </w:tcPr>
          <w:p w14:paraId="5E6EBC92"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r w:rsidR="007405AE" w:rsidRPr="00E22714" w14:paraId="4E22791C" w14:textId="77777777" w:rsidTr="00E22714">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487633CA"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 </w:t>
            </w:r>
          </w:p>
        </w:tc>
        <w:tc>
          <w:tcPr>
            <w:tcW w:w="960" w:type="dxa"/>
            <w:tcBorders>
              <w:top w:val="nil"/>
              <w:left w:val="nil"/>
              <w:bottom w:val="single" w:sz="8" w:space="0" w:color="auto"/>
              <w:right w:val="nil"/>
            </w:tcBorders>
            <w:shd w:val="clear" w:color="auto" w:fill="auto"/>
            <w:noWrap/>
            <w:vAlign w:val="bottom"/>
            <w:hideMark/>
          </w:tcPr>
          <w:p w14:paraId="79ADA57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89</w:t>
            </w:r>
          </w:p>
        </w:tc>
        <w:tc>
          <w:tcPr>
            <w:tcW w:w="831" w:type="dxa"/>
            <w:tcBorders>
              <w:top w:val="nil"/>
              <w:left w:val="nil"/>
              <w:bottom w:val="single" w:sz="8" w:space="0" w:color="auto"/>
              <w:right w:val="nil"/>
            </w:tcBorders>
            <w:shd w:val="clear" w:color="auto" w:fill="auto"/>
            <w:noWrap/>
            <w:vAlign w:val="bottom"/>
            <w:hideMark/>
          </w:tcPr>
          <w:p w14:paraId="15B1EBAD"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11,952</w:t>
            </w:r>
          </w:p>
        </w:tc>
        <w:tc>
          <w:tcPr>
            <w:tcW w:w="283" w:type="dxa"/>
            <w:tcBorders>
              <w:top w:val="nil"/>
              <w:left w:val="nil"/>
              <w:bottom w:val="single" w:sz="8" w:space="0" w:color="auto"/>
              <w:right w:val="nil"/>
            </w:tcBorders>
            <w:shd w:val="clear" w:color="auto" w:fill="auto"/>
            <w:noWrap/>
            <w:vAlign w:val="bottom"/>
            <w:hideMark/>
          </w:tcPr>
          <w:p w14:paraId="65AB01B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6C6DE0A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215,870</w:t>
            </w:r>
          </w:p>
        </w:tc>
        <w:tc>
          <w:tcPr>
            <w:tcW w:w="284" w:type="dxa"/>
            <w:tcBorders>
              <w:top w:val="nil"/>
              <w:left w:val="nil"/>
              <w:bottom w:val="single" w:sz="8" w:space="0" w:color="auto"/>
              <w:right w:val="nil"/>
            </w:tcBorders>
            <w:shd w:val="clear" w:color="auto" w:fill="auto"/>
            <w:noWrap/>
            <w:vAlign w:val="bottom"/>
            <w:hideMark/>
          </w:tcPr>
          <w:p w14:paraId="4E51888B"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8F016C9"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203,918</w:t>
            </w:r>
          </w:p>
        </w:tc>
        <w:tc>
          <w:tcPr>
            <w:tcW w:w="283" w:type="dxa"/>
            <w:tcBorders>
              <w:top w:val="nil"/>
              <w:left w:val="nil"/>
              <w:bottom w:val="single" w:sz="8" w:space="0" w:color="auto"/>
              <w:right w:val="nil"/>
            </w:tcBorders>
            <w:shd w:val="clear" w:color="auto" w:fill="auto"/>
            <w:noWrap/>
            <w:vAlign w:val="bottom"/>
            <w:hideMark/>
          </w:tcPr>
          <w:p w14:paraId="1DA6F224"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88" w:type="dxa"/>
            <w:tcBorders>
              <w:top w:val="nil"/>
              <w:left w:val="nil"/>
              <w:bottom w:val="single" w:sz="8" w:space="0" w:color="auto"/>
              <w:right w:val="nil"/>
            </w:tcBorders>
            <w:shd w:val="clear" w:color="auto" w:fill="auto"/>
            <w:noWrap/>
            <w:vAlign w:val="bottom"/>
            <w:hideMark/>
          </w:tcPr>
          <w:p w14:paraId="28A40FBE"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8,513</w:t>
            </w:r>
          </w:p>
        </w:tc>
        <w:tc>
          <w:tcPr>
            <w:tcW w:w="284" w:type="dxa"/>
            <w:tcBorders>
              <w:top w:val="nil"/>
              <w:left w:val="nil"/>
              <w:bottom w:val="single" w:sz="8" w:space="0" w:color="auto"/>
              <w:right w:val="nil"/>
            </w:tcBorders>
            <w:shd w:val="clear" w:color="auto" w:fill="auto"/>
            <w:noWrap/>
            <w:vAlign w:val="bottom"/>
            <w:hideMark/>
          </w:tcPr>
          <w:p w14:paraId="38FCBC7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52D8311F"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189,683</w:t>
            </w:r>
          </w:p>
        </w:tc>
        <w:tc>
          <w:tcPr>
            <w:tcW w:w="284" w:type="dxa"/>
            <w:tcBorders>
              <w:top w:val="nil"/>
              <w:left w:val="nil"/>
              <w:bottom w:val="single" w:sz="8" w:space="0" w:color="auto"/>
              <w:right w:val="nil"/>
            </w:tcBorders>
            <w:shd w:val="clear" w:color="auto" w:fill="auto"/>
            <w:noWrap/>
            <w:vAlign w:val="bottom"/>
            <w:hideMark/>
          </w:tcPr>
          <w:p w14:paraId="4AE15C0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42959792"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181,170</w:t>
            </w:r>
          </w:p>
        </w:tc>
        <w:tc>
          <w:tcPr>
            <w:tcW w:w="283" w:type="dxa"/>
            <w:tcBorders>
              <w:top w:val="nil"/>
              <w:left w:val="nil"/>
              <w:bottom w:val="single" w:sz="8" w:space="0" w:color="auto"/>
              <w:right w:val="nil"/>
            </w:tcBorders>
            <w:shd w:val="clear" w:color="auto" w:fill="auto"/>
            <w:noWrap/>
            <w:vAlign w:val="bottom"/>
            <w:hideMark/>
          </w:tcPr>
          <w:p w14:paraId="7FE499FF"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831" w:type="dxa"/>
            <w:tcBorders>
              <w:top w:val="nil"/>
              <w:left w:val="nil"/>
              <w:bottom w:val="single" w:sz="8" w:space="0" w:color="auto"/>
              <w:right w:val="nil"/>
            </w:tcBorders>
            <w:shd w:val="clear" w:color="auto" w:fill="auto"/>
            <w:noWrap/>
            <w:vAlign w:val="bottom"/>
            <w:hideMark/>
          </w:tcPr>
          <w:p w14:paraId="7FF4C34B" w14:textId="77777777" w:rsidR="002E2937" w:rsidRPr="00E22714" w:rsidRDefault="002E2937" w:rsidP="00E22714">
            <w:pPr>
              <w:spacing w:after="0" w:line="240" w:lineRule="auto"/>
              <w:jc w:val="right"/>
              <w:rPr>
                <w:rFonts w:ascii="Times New Roman" w:eastAsia="Times New Roman" w:hAnsi="Times New Roman" w:cs="Times New Roman"/>
                <w:b/>
                <w:bCs/>
                <w:color w:val="000000"/>
                <w:sz w:val="16"/>
                <w:szCs w:val="16"/>
                <w:lang w:eastAsia="en-GB"/>
              </w:rPr>
            </w:pPr>
            <w:r w:rsidRPr="00E22714">
              <w:rPr>
                <w:rFonts w:ascii="Times New Roman" w:eastAsia="Times New Roman" w:hAnsi="Times New Roman" w:cs="Times New Roman"/>
                <w:b/>
                <w:bCs/>
                <w:color w:val="000000"/>
                <w:sz w:val="16"/>
                <w:szCs w:val="16"/>
                <w:lang w:eastAsia="en-GB"/>
              </w:rPr>
              <w:t>20,465</w:t>
            </w:r>
          </w:p>
        </w:tc>
        <w:tc>
          <w:tcPr>
            <w:tcW w:w="283" w:type="dxa"/>
            <w:tcBorders>
              <w:top w:val="nil"/>
              <w:left w:val="nil"/>
              <w:bottom w:val="single" w:sz="8" w:space="0" w:color="auto"/>
              <w:right w:val="nil"/>
            </w:tcBorders>
            <w:shd w:val="clear" w:color="auto" w:fill="auto"/>
            <w:noWrap/>
            <w:vAlign w:val="bottom"/>
            <w:hideMark/>
          </w:tcPr>
          <w:p w14:paraId="6BF51798"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34970C18"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405,553</w:t>
            </w:r>
          </w:p>
        </w:tc>
        <w:tc>
          <w:tcPr>
            <w:tcW w:w="284" w:type="dxa"/>
            <w:tcBorders>
              <w:top w:val="nil"/>
              <w:left w:val="nil"/>
              <w:bottom w:val="single" w:sz="8" w:space="0" w:color="auto"/>
              <w:right w:val="nil"/>
            </w:tcBorders>
            <w:shd w:val="clear" w:color="auto" w:fill="auto"/>
            <w:noWrap/>
            <w:vAlign w:val="bottom"/>
            <w:hideMark/>
          </w:tcPr>
          <w:p w14:paraId="21B7C186"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c>
          <w:tcPr>
            <w:tcW w:w="940" w:type="dxa"/>
            <w:tcBorders>
              <w:top w:val="nil"/>
              <w:left w:val="nil"/>
              <w:bottom w:val="single" w:sz="8" w:space="0" w:color="auto"/>
              <w:right w:val="nil"/>
            </w:tcBorders>
            <w:shd w:val="clear" w:color="auto" w:fill="auto"/>
            <w:noWrap/>
            <w:vAlign w:val="bottom"/>
            <w:hideMark/>
          </w:tcPr>
          <w:p w14:paraId="2187EC20" w14:textId="77777777" w:rsidR="002E2937" w:rsidRPr="00E22714" w:rsidRDefault="002E2937" w:rsidP="00E22714">
            <w:pPr>
              <w:spacing w:after="0" w:line="240" w:lineRule="auto"/>
              <w:jc w:val="right"/>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385,088</w:t>
            </w:r>
          </w:p>
        </w:tc>
        <w:tc>
          <w:tcPr>
            <w:tcW w:w="283" w:type="dxa"/>
            <w:tcBorders>
              <w:top w:val="nil"/>
              <w:left w:val="nil"/>
              <w:bottom w:val="single" w:sz="8" w:space="0" w:color="auto"/>
              <w:right w:val="single" w:sz="8" w:space="0" w:color="auto"/>
            </w:tcBorders>
            <w:shd w:val="clear" w:color="auto" w:fill="auto"/>
            <w:noWrap/>
            <w:vAlign w:val="bottom"/>
            <w:hideMark/>
          </w:tcPr>
          <w:p w14:paraId="767A552C" w14:textId="77777777" w:rsidR="002E2937" w:rsidRPr="00E22714" w:rsidRDefault="002E2937" w:rsidP="00E22714">
            <w:pPr>
              <w:spacing w:after="0" w:line="240" w:lineRule="auto"/>
              <w:rPr>
                <w:rFonts w:ascii="Times New Roman" w:eastAsia="Times New Roman" w:hAnsi="Times New Roman" w:cs="Times New Roman"/>
                <w:color w:val="000000"/>
                <w:sz w:val="16"/>
                <w:szCs w:val="16"/>
                <w:lang w:eastAsia="en-GB"/>
              </w:rPr>
            </w:pPr>
            <w:r w:rsidRPr="00E22714">
              <w:rPr>
                <w:rFonts w:ascii="Times New Roman" w:eastAsia="Times New Roman" w:hAnsi="Times New Roman" w:cs="Times New Roman"/>
                <w:color w:val="000000"/>
                <w:sz w:val="16"/>
                <w:szCs w:val="16"/>
                <w:lang w:eastAsia="en-GB"/>
              </w:rPr>
              <w:t>)</w:t>
            </w:r>
          </w:p>
        </w:tc>
      </w:tr>
    </w:tbl>
    <w:p w14:paraId="17B49180" w14:textId="21ED9B10" w:rsidR="00E323A4" w:rsidRPr="00E22714" w:rsidRDefault="00E323A4" w:rsidP="00E22714">
      <w:pPr>
        <w:spacing w:line="240" w:lineRule="auto"/>
        <w:rPr>
          <w:rFonts w:ascii="Times New Roman" w:hAnsi="Times New Roman" w:cs="Times New Roman"/>
        </w:rPr>
      </w:pPr>
    </w:p>
    <w:p w14:paraId="50852787" w14:textId="0A6C4A41" w:rsidR="00951C3C" w:rsidRPr="00E22714" w:rsidRDefault="00951C3C" w:rsidP="00E22714">
      <w:pPr>
        <w:spacing w:line="240" w:lineRule="auto"/>
        <w:rPr>
          <w:rFonts w:ascii="Times New Roman" w:hAnsi="Times New Roman" w:cs="Times New Roman"/>
        </w:rPr>
      </w:pPr>
      <w:r w:rsidRPr="00E22714">
        <w:rPr>
          <w:rFonts w:ascii="Times New Roman" w:hAnsi="Times New Roman" w:cs="Times New Roman"/>
          <w:b/>
          <w:sz w:val="20"/>
        </w:rPr>
        <w:t xml:space="preserve">Table 1: </w:t>
      </w:r>
      <w:r w:rsidR="003779CB" w:rsidRPr="00E22714">
        <w:rPr>
          <w:rFonts w:ascii="Times New Roman" w:hAnsi="Times New Roman" w:cs="Times New Roman"/>
          <w:b/>
          <w:sz w:val="20"/>
        </w:rPr>
        <w:t>Modelled estimates of ‘excess deaths’ (observed and predicted deaths in brackets), by ages 50, 70 and 89 years for each year in the period 2010-2015, for males, females and combined. Additional deaths are indicated in bold</w:t>
      </w:r>
      <w:r w:rsidR="003779CB" w:rsidRPr="00E22714">
        <w:rPr>
          <w:rFonts w:ascii="Times New Roman" w:hAnsi="Times New Roman" w:cs="Times New Roman"/>
        </w:rPr>
        <w:t xml:space="preserve">. </w:t>
      </w:r>
    </w:p>
    <w:p w14:paraId="7FE602BC" w14:textId="77777777" w:rsidR="00951C3C" w:rsidRPr="00E22714" w:rsidRDefault="00951C3C" w:rsidP="00E22714">
      <w:pPr>
        <w:spacing w:line="240" w:lineRule="auto"/>
        <w:rPr>
          <w:rFonts w:ascii="Times New Roman" w:hAnsi="Times New Roman" w:cs="Times New Roman"/>
        </w:rPr>
      </w:pPr>
    </w:p>
    <w:p w14:paraId="4CC5E43B" w14:textId="77777777" w:rsidR="00951C3C" w:rsidRPr="00E22714" w:rsidRDefault="00951C3C" w:rsidP="00E22714">
      <w:pPr>
        <w:spacing w:line="240" w:lineRule="auto"/>
        <w:rPr>
          <w:rFonts w:ascii="Times New Roman" w:hAnsi="Times New Roman" w:cs="Times New Roman"/>
        </w:rPr>
        <w:sectPr w:rsidR="00951C3C" w:rsidRPr="00E22714" w:rsidSect="00111C57">
          <w:type w:val="continuous"/>
          <w:pgSz w:w="16838" w:h="11906" w:orient="landscape"/>
          <w:pgMar w:top="1440" w:right="1440" w:bottom="1440" w:left="1440" w:header="708" w:footer="708" w:gutter="0"/>
          <w:cols w:space="708"/>
          <w:docGrid w:linePitch="360"/>
        </w:sectPr>
      </w:pPr>
    </w:p>
    <w:tbl>
      <w:tblPr>
        <w:tblW w:w="3960" w:type="dxa"/>
        <w:jc w:val="center"/>
        <w:tblLook w:val="04A0" w:firstRow="1" w:lastRow="0" w:firstColumn="1" w:lastColumn="0" w:noHBand="0" w:noVBand="1"/>
      </w:tblPr>
      <w:tblGrid>
        <w:gridCol w:w="1200"/>
        <w:gridCol w:w="840"/>
        <w:gridCol w:w="986"/>
        <w:gridCol w:w="1194"/>
      </w:tblGrid>
      <w:tr w:rsidR="007405AE" w:rsidRPr="00E22714" w14:paraId="3DAD26BF" w14:textId="77777777" w:rsidTr="00E22714">
        <w:trPr>
          <w:trHeight w:val="288"/>
          <w:jc w:val="center"/>
        </w:trPr>
        <w:tc>
          <w:tcPr>
            <w:tcW w:w="1200" w:type="dxa"/>
            <w:tcBorders>
              <w:top w:val="single" w:sz="8" w:space="0" w:color="auto"/>
              <w:left w:val="single" w:sz="8" w:space="0" w:color="auto"/>
              <w:bottom w:val="single" w:sz="4" w:space="0" w:color="auto"/>
              <w:right w:val="nil"/>
            </w:tcBorders>
            <w:shd w:val="clear" w:color="auto" w:fill="auto"/>
            <w:noWrap/>
            <w:vAlign w:val="bottom"/>
            <w:hideMark/>
          </w:tcPr>
          <w:p w14:paraId="3B0E9A1B" w14:textId="77777777" w:rsidR="00951C3C" w:rsidRPr="00E22714" w:rsidRDefault="00951C3C" w:rsidP="00E22714">
            <w:pPr>
              <w:spacing w:after="0" w:line="240" w:lineRule="auto"/>
              <w:rPr>
                <w:rFonts w:ascii="Times New Roman" w:eastAsia="Times New Roman" w:hAnsi="Times New Roman" w:cs="Times New Roman"/>
                <w:b/>
                <w:bCs/>
                <w:color w:val="000000"/>
                <w:lang w:eastAsia="en-GB"/>
              </w:rPr>
            </w:pPr>
            <w:r w:rsidRPr="00E22714">
              <w:rPr>
                <w:rFonts w:ascii="Times New Roman" w:eastAsia="Times New Roman" w:hAnsi="Times New Roman" w:cs="Times New Roman"/>
                <w:b/>
                <w:bCs/>
                <w:color w:val="000000"/>
                <w:lang w:eastAsia="en-GB"/>
              </w:rPr>
              <w:t>Period</w:t>
            </w:r>
          </w:p>
        </w:tc>
        <w:tc>
          <w:tcPr>
            <w:tcW w:w="840" w:type="dxa"/>
            <w:tcBorders>
              <w:top w:val="single" w:sz="8" w:space="0" w:color="auto"/>
              <w:left w:val="single" w:sz="4" w:space="0" w:color="auto"/>
              <w:bottom w:val="single" w:sz="4" w:space="0" w:color="auto"/>
              <w:right w:val="nil"/>
            </w:tcBorders>
            <w:shd w:val="clear" w:color="auto" w:fill="auto"/>
            <w:noWrap/>
            <w:vAlign w:val="bottom"/>
            <w:hideMark/>
          </w:tcPr>
          <w:p w14:paraId="3A3ACD9C" w14:textId="77777777" w:rsidR="00951C3C" w:rsidRPr="00E22714" w:rsidRDefault="00951C3C" w:rsidP="00E22714">
            <w:pPr>
              <w:spacing w:after="0" w:line="240" w:lineRule="auto"/>
              <w:rPr>
                <w:rFonts w:ascii="Times New Roman" w:eastAsia="Times New Roman" w:hAnsi="Times New Roman" w:cs="Times New Roman"/>
                <w:b/>
                <w:bCs/>
                <w:color w:val="000000"/>
                <w:lang w:eastAsia="en-GB"/>
              </w:rPr>
            </w:pPr>
            <w:r w:rsidRPr="00E22714">
              <w:rPr>
                <w:rFonts w:ascii="Times New Roman" w:eastAsia="Times New Roman" w:hAnsi="Times New Roman" w:cs="Times New Roman"/>
                <w:b/>
                <w:bCs/>
                <w:color w:val="000000"/>
                <w:lang w:eastAsia="en-GB"/>
              </w:rPr>
              <w:t>Males</w:t>
            </w:r>
          </w:p>
        </w:tc>
        <w:tc>
          <w:tcPr>
            <w:tcW w:w="840" w:type="dxa"/>
            <w:tcBorders>
              <w:top w:val="single" w:sz="8" w:space="0" w:color="auto"/>
              <w:left w:val="nil"/>
              <w:bottom w:val="single" w:sz="4" w:space="0" w:color="auto"/>
              <w:right w:val="nil"/>
            </w:tcBorders>
            <w:shd w:val="clear" w:color="auto" w:fill="auto"/>
            <w:noWrap/>
            <w:vAlign w:val="bottom"/>
            <w:hideMark/>
          </w:tcPr>
          <w:p w14:paraId="7CEE9E4E" w14:textId="77777777" w:rsidR="00951C3C" w:rsidRPr="00E22714" w:rsidRDefault="00951C3C" w:rsidP="00E22714">
            <w:pPr>
              <w:spacing w:after="0" w:line="240" w:lineRule="auto"/>
              <w:rPr>
                <w:rFonts w:ascii="Times New Roman" w:eastAsia="Times New Roman" w:hAnsi="Times New Roman" w:cs="Times New Roman"/>
                <w:b/>
                <w:bCs/>
                <w:color w:val="000000"/>
                <w:lang w:eastAsia="en-GB"/>
              </w:rPr>
            </w:pPr>
            <w:r w:rsidRPr="00E22714">
              <w:rPr>
                <w:rFonts w:ascii="Times New Roman" w:eastAsia="Times New Roman" w:hAnsi="Times New Roman" w:cs="Times New Roman"/>
                <w:b/>
                <w:bCs/>
                <w:color w:val="000000"/>
                <w:lang w:eastAsia="en-GB"/>
              </w:rPr>
              <w:t>Females</w:t>
            </w:r>
          </w:p>
        </w:tc>
        <w:tc>
          <w:tcPr>
            <w:tcW w:w="1080" w:type="dxa"/>
            <w:tcBorders>
              <w:top w:val="single" w:sz="8" w:space="0" w:color="auto"/>
              <w:left w:val="nil"/>
              <w:bottom w:val="single" w:sz="4" w:space="0" w:color="auto"/>
              <w:right w:val="single" w:sz="8" w:space="0" w:color="auto"/>
            </w:tcBorders>
            <w:shd w:val="clear" w:color="auto" w:fill="auto"/>
            <w:noWrap/>
            <w:vAlign w:val="bottom"/>
            <w:hideMark/>
          </w:tcPr>
          <w:p w14:paraId="693BFEDC" w14:textId="77777777" w:rsidR="00951C3C" w:rsidRPr="00E22714" w:rsidRDefault="00951C3C" w:rsidP="00E22714">
            <w:pPr>
              <w:spacing w:after="0" w:line="240" w:lineRule="auto"/>
              <w:rPr>
                <w:rFonts w:ascii="Times New Roman" w:eastAsia="Times New Roman" w:hAnsi="Times New Roman" w:cs="Times New Roman"/>
                <w:b/>
                <w:bCs/>
                <w:color w:val="000000"/>
                <w:lang w:eastAsia="en-GB"/>
              </w:rPr>
            </w:pPr>
            <w:r w:rsidRPr="00E22714">
              <w:rPr>
                <w:rFonts w:ascii="Times New Roman" w:eastAsia="Times New Roman" w:hAnsi="Times New Roman" w:cs="Times New Roman"/>
                <w:b/>
                <w:bCs/>
                <w:color w:val="000000"/>
                <w:lang w:eastAsia="en-GB"/>
              </w:rPr>
              <w:t>Combined</w:t>
            </w:r>
          </w:p>
        </w:tc>
      </w:tr>
      <w:tr w:rsidR="007405AE" w:rsidRPr="00E22714" w14:paraId="4D7C6DD2" w14:textId="77777777" w:rsidTr="00E22714">
        <w:trPr>
          <w:trHeight w:val="288"/>
          <w:jc w:val="center"/>
        </w:trPr>
        <w:tc>
          <w:tcPr>
            <w:tcW w:w="1200" w:type="dxa"/>
            <w:tcBorders>
              <w:top w:val="nil"/>
              <w:left w:val="single" w:sz="8" w:space="0" w:color="auto"/>
              <w:bottom w:val="nil"/>
              <w:right w:val="nil"/>
            </w:tcBorders>
            <w:shd w:val="clear" w:color="auto" w:fill="auto"/>
            <w:noWrap/>
            <w:vAlign w:val="bottom"/>
            <w:hideMark/>
          </w:tcPr>
          <w:p w14:paraId="36B44BA6" w14:textId="77777777" w:rsidR="00951C3C" w:rsidRPr="00E22714" w:rsidRDefault="00951C3C" w:rsidP="00E22714">
            <w:pPr>
              <w:spacing w:after="0" w:line="240" w:lineRule="auto"/>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2010-2015</w:t>
            </w:r>
          </w:p>
        </w:tc>
        <w:tc>
          <w:tcPr>
            <w:tcW w:w="840" w:type="dxa"/>
            <w:tcBorders>
              <w:top w:val="nil"/>
              <w:left w:val="single" w:sz="4" w:space="0" w:color="auto"/>
              <w:bottom w:val="nil"/>
              <w:right w:val="nil"/>
            </w:tcBorders>
            <w:shd w:val="clear" w:color="auto" w:fill="auto"/>
            <w:noWrap/>
            <w:vAlign w:val="bottom"/>
            <w:hideMark/>
          </w:tcPr>
          <w:p w14:paraId="3DC6E61D" w14:textId="77777777" w:rsidR="00951C3C" w:rsidRPr="00E22714" w:rsidRDefault="00951C3C" w:rsidP="00E22714">
            <w:pPr>
              <w:spacing w:after="0" w:line="240" w:lineRule="auto"/>
              <w:jc w:val="right"/>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22,852</w:t>
            </w:r>
          </w:p>
        </w:tc>
        <w:tc>
          <w:tcPr>
            <w:tcW w:w="840" w:type="dxa"/>
            <w:tcBorders>
              <w:top w:val="nil"/>
              <w:left w:val="nil"/>
              <w:bottom w:val="nil"/>
              <w:right w:val="nil"/>
            </w:tcBorders>
            <w:shd w:val="clear" w:color="auto" w:fill="auto"/>
            <w:noWrap/>
            <w:vAlign w:val="bottom"/>
            <w:hideMark/>
          </w:tcPr>
          <w:p w14:paraId="1276B2F7" w14:textId="77777777" w:rsidR="00951C3C" w:rsidRPr="00E22714" w:rsidRDefault="00951C3C" w:rsidP="00E22714">
            <w:pPr>
              <w:spacing w:after="0" w:line="240" w:lineRule="auto"/>
              <w:jc w:val="right"/>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9,121</w:t>
            </w:r>
          </w:p>
        </w:tc>
        <w:tc>
          <w:tcPr>
            <w:tcW w:w="1080" w:type="dxa"/>
            <w:tcBorders>
              <w:top w:val="nil"/>
              <w:left w:val="nil"/>
              <w:bottom w:val="nil"/>
              <w:right w:val="single" w:sz="8" w:space="0" w:color="auto"/>
            </w:tcBorders>
            <w:shd w:val="clear" w:color="auto" w:fill="auto"/>
            <w:noWrap/>
            <w:vAlign w:val="bottom"/>
            <w:hideMark/>
          </w:tcPr>
          <w:p w14:paraId="6EBC6BB2" w14:textId="77777777" w:rsidR="00951C3C" w:rsidRPr="00E22714" w:rsidRDefault="00951C3C" w:rsidP="00E22714">
            <w:pPr>
              <w:spacing w:after="0" w:line="240" w:lineRule="auto"/>
              <w:jc w:val="right"/>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31,973</w:t>
            </w:r>
          </w:p>
        </w:tc>
      </w:tr>
      <w:tr w:rsidR="007405AE" w:rsidRPr="00E22714" w14:paraId="24575AC9" w14:textId="77777777" w:rsidTr="00E22714">
        <w:trPr>
          <w:trHeight w:val="300"/>
          <w:jc w:val="center"/>
        </w:trPr>
        <w:tc>
          <w:tcPr>
            <w:tcW w:w="1200" w:type="dxa"/>
            <w:tcBorders>
              <w:top w:val="nil"/>
              <w:left w:val="single" w:sz="8" w:space="0" w:color="auto"/>
              <w:bottom w:val="single" w:sz="8" w:space="0" w:color="auto"/>
              <w:right w:val="nil"/>
            </w:tcBorders>
            <w:shd w:val="clear" w:color="auto" w:fill="auto"/>
            <w:noWrap/>
            <w:vAlign w:val="bottom"/>
            <w:hideMark/>
          </w:tcPr>
          <w:p w14:paraId="398DE955" w14:textId="77777777" w:rsidR="00951C3C" w:rsidRPr="00E22714" w:rsidRDefault="00951C3C" w:rsidP="00E22714">
            <w:pPr>
              <w:spacing w:after="0" w:line="240" w:lineRule="auto"/>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2012-2015</w:t>
            </w:r>
          </w:p>
        </w:tc>
        <w:tc>
          <w:tcPr>
            <w:tcW w:w="840" w:type="dxa"/>
            <w:tcBorders>
              <w:top w:val="nil"/>
              <w:left w:val="single" w:sz="4" w:space="0" w:color="auto"/>
              <w:bottom w:val="single" w:sz="8" w:space="0" w:color="auto"/>
              <w:right w:val="nil"/>
            </w:tcBorders>
            <w:shd w:val="clear" w:color="auto" w:fill="auto"/>
            <w:noWrap/>
            <w:vAlign w:val="bottom"/>
            <w:hideMark/>
          </w:tcPr>
          <w:p w14:paraId="143D25C4" w14:textId="77777777" w:rsidR="00951C3C" w:rsidRPr="00E22714" w:rsidRDefault="00951C3C" w:rsidP="00E22714">
            <w:pPr>
              <w:spacing w:after="0" w:line="240" w:lineRule="auto"/>
              <w:jc w:val="right"/>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26,200</w:t>
            </w:r>
          </w:p>
        </w:tc>
        <w:tc>
          <w:tcPr>
            <w:tcW w:w="840" w:type="dxa"/>
            <w:tcBorders>
              <w:top w:val="nil"/>
              <w:left w:val="nil"/>
              <w:bottom w:val="single" w:sz="8" w:space="0" w:color="auto"/>
              <w:right w:val="nil"/>
            </w:tcBorders>
            <w:shd w:val="clear" w:color="auto" w:fill="auto"/>
            <w:noWrap/>
            <w:vAlign w:val="bottom"/>
            <w:hideMark/>
          </w:tcPr>
          <w:p w14:paraId="08DE9969" w14:textId="77777777" w:rsidR="00951C3C" w:rsidRPr="00E22714" w:rsidRDefault="00951C3C" w:rsidP="00E22714">
            <w:pPr>
              <w:spacing w:after="0" w:line="240" w:lineRule="auto"/>
              <w:jc w:val="right"/>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15,818</w:t>
            </w:r>
          </w:p>
        </w:tc>
        <w:tc>
          <w:tcPr>
            <w:tcW w:w="1080" w:type="dxa"/>
            <w:tcBorders>
              <w:top w:val="nil"/>
              <w:left w:val="nil"/>
              <w:bottom w:val="single" w:sz="8" w:space="0" w:color="auto"/>
              <w:right w:val="single" w:sz="8" w:space="0" w:color="auto"/>
            </w:tcBorders>
            <w:shd w:val="clear" w:color="auto" w:fill="auto"/>
            <w:noWrap/>
            <w:vAlign w:val="bottom"/>
            <w:hideMark/>
          </w:tcPr>
          <w:p w14:paraId="5EB01660" w14:textId="77777777" w:rsidR="00951C3C" w:rsidRPr="00E22714" w:rsidRDefault="00951C3C" w:rsidP="00E22714">
            <w:pPr>
              <w:spacing w:after="0" w:line="240" w:lineRule="auto"/>
              <w:jc w:val="right"/>
              <w:rPr>
                <w:rFonts w:ascii="Times New Roman" w:eastAsia="Times New Roman" w:hAnsi="Times New Roman" w:cs="Times New Roman"/>
                <w:color w:val="000000"/>
                <w:lang w:eastAsia="en-GB"/>
              </w:rPr>
            </w:pPr>
            <w:r w:rsidRPr="00E22714">
              <w:rPr>
                <w:rFonts w:ascii="Times New Roman" w:eastAsia="Times New Roman" w:hAnsi="Times New Roman" w:cs="Times New Roman"/>
                <w:color w:val="000000"/>
                <w:lang w:eastAsia="en-GB"/>
              </w:rPr>
              <w:t>42,018</w:t>
            </w:r>
          </w:p>
        </w:tc>
      </w:tr>
    </w:tbl>
    <w:p w14:paraId="464298CD" w14:textId="77777777" w:rsidR="00951C3C" w:rsidRPr="00E22714" w:rsidRDefault="00951C3C" w:rsidP="00E22714">
      <w:pPr>
        <w:spacing w:line="240" w:lineRule="auto"/>
        <w:rPr>
          <w:rFonts w:ascii="Times New Roman" w:hAnsi="Times New Roman" w:cs="Times New Roman"/>
        </w:rPr>
      </w:pPr>
    </w:p>
    <w:p w14:paraId="509A4C61" w14:textId="0B05D123" w:rsidR="004A2A80" w:rsidRPr="00E22714" w:rsidRDefault="00951C3C" w:rsidP="00E22714">
      <w:pPr>
        <w:spacing w:line="240" w:lineRule="auto"/>
        <w:rPr>
          <w:rFonts w:ascii="Times New Roman" w:hAnsi="Times New Roman" w:cs="Times New Roman"/>
          <w:b/>
          <w:sz w:val="20"/>
        </w:rPr>
      </w:pPr>
      <w:r w:rsidRPr="00E22714">
        <w:rPr>
          <w:rFonts w:ascii="Times New Roman" w:hAnsi="Times New Roman" w:cs="Times New Roman"/>
          <w:b/>
          <w:sz w:val="20"/>
        </w:rPr>
        <w:t>Table 2: Total ‘Excess’ deaths by age 89 years over the period 2010-2015 and 2012-2015</w:t>
      </w:r>
    </w:p>
    <w:p w14:paraId="6CCB2A5D" w14:textId="77777777" w:rsidR="004A2A80" w:rsidRPr="00E22714" w:rsidRDefault="004A2A80" w:rsidP="00E22714">
      <w:pPr>
        <w:spacing w:line="240" w:lineRule="auto"/>
        <w:rPr>
          <w:rFonts w:ascii="Times New Roman" w:hAnsi="Times New Roman" w:cs="Times New Roman"/>
        </w:rPr>
      </w:pPr>
    </w:p>
    <w:p w14:paraId="1A9BCF7C" w14:textId="77777777" w:rsidR="00951C3C" w:rsidRPr="00E22714" w:rsidRDefault="00455A1A" w:rsidP="00E22714">
      <w:pPr>
        <w:spacing w:line="240" w:lineRule="auto"/>
        <w:rPr>
          <w:rFonts w:ascii="Times New Roman" w:hAnsi="Times New Roman" w:cs="Times New Roman"/>
        </w:rPr>
      </w:pPr>
      <w:r w:rsidRPr="00E22714">
        <w:rPr>
          <w:rFonts w:ascii="Times New Roman" w:hAnsi="Times New Roman" w:cs="Times New Roman"/>
          <w:noProof/>
          <w:lang w:eastAsia="en-GB"/>
        </w:rPr>
        <w:drawing>
          <wp:inline distT="0" distB="0" distL="0" distR="0" wp14:anchorId="7C244AC2" wp14:editId="2F75622D">
            <wp:extent cx="7132320" cy="5351021"/>
            <wp:effectExtent l="0" t="0" r="0" b="2540"/>
            <wp:docPr id="7" name="Picture 7" descr="E:\repos\danny_elderly_mort\figures\excess_deaths_2010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pos\danny_elderly_mort\figures\excess_deaths_2010_20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42855" cy="5358925"/>
                    </a:xfrm>
                    <a:prstGeom prst="rect">
                      <a:avLst/>
                    </a:prstGeom>
                    <a:noFill/>
                    <a:ln>
                      <a:noFill/>
                    </a:ln>
                  </pic:spPr>
                </pic:pic>
              </a:graphicData>
            </a:graphic>
          </wp:inline>
        </w:drawing>
      </w:r>
    </w:p>
    <w:p w14:paraId="775C5517" w14:textId="77777777" w:rsidR="00951C3C" w:rsidRPr="00E22714" w:rsidRDefault="00951C3C" w:rsidP="00E22714">
      <w:pPr>
        <w:pStyle w:val="Caption"/>
        <w:keepNext/>
        <w:rPr>
          <w:rFonts w:ascii="Times New Roman" w:hAnsi="Times New Roman" w:cs="Times New Roman"/>
          <w:b/>
          <w:i w:val="0"/>
          <w:color w:val="auto"/>
          <w:sz w:val="20"/>
          <w:szCs w:val="20"/>
        </w:rPr>
      </w:pPr>
      <w:r w:rsidRPr="00E22714">
        <w:rPr>
          <w:rFonts w:ascii="Times New Roman" w:hAnsi="Times New Roman" w:cs="Times New Roman"/>
          <w:b/>
          <w:i w:val="0"/>
          <w:color w:val="auto"/>
          <w:sz w:val="20"/>
          <w:szCs w:val="20"/>
        </w:rPr>
        <w:lastRenderedPageBreak/>
        <w:t xml:space="preserve">Figure </w:t>
      </w:r>
      <w:r w:rsidR="00111C57" w:rsidRPr="00E22714">
        <w:rPr>
          <w:rFonts w:ascii="Times New Roman" w:hAnsi="Times New Roman" w:cs="Times New Roman"/>
          <w:b/>
          <w:i w:val="0"/>
          <w:color w:val="auto"/>
          <w:sz w:val="20"/>
          <w:szCs w:val="20"/>
        </w:rPr>
        <w:fldChar w:fldCharType="begin"/>
      </w:r>
      <w:r w:rsidR="00111C57" w:rsidRPr="00E22714">
        <w:rPr>
          <w:rFonts w:ascii="Times New Roman" w:hAnsi="Times New Roman" w:cs="Times New Roman"/>
          <w:b/>
          <w:i w:val="0"/>
          <w:color w:val="auto"/>
          <w:sz w:val="20"/>
          <w:szCs w:val="20"/>
        </w:rPr>
        <w:instrText xml:space="preserve"> SEQ Figure \* ARABIC </w:instrText>
      </w:r>
      <w:r w:rsidR="00111C57" w:rsidRPr="00E22714">
        <w:rPr>
          <w:rFonts w:ascii="Times New Roman" w:hAnsi="Times New Roman" w:cs="Times New Roman"/>
          <w:b/>
          <w:i w:val="0"/>
          <w:color w:val="auto"/>
          <w:sz w:val="20"/>
          <w:szCs w:val="20"/>
        </w:rPr>
        <w:fldChar w:fldCharType="separate"/>
      </w:r>
      <w:r w:rsidR="00466E1B" w:rsidRPr="00E22714">
        <w:rPr>
          <w:rFonts w:ascii="Times New Roman" w:hAnsi="Times New Roman" w:cs="Times New Roman"/>
          <w:b/>
          <w:i w:val="0"/>
          <w:noProof/>
          <w:color w:val="auto"/>
          <w:sz w:val="20"/>
          <w:szCs w:val="20"/>
        </w:rPr>
        <w:t>2</w:t>
      </w:r>
      <w:r w:rsidR="00111C57" w:rsidRPr="00E22714">
        <w:rPr>
          <w:rFonts w:ascii="Times New Roman" w:hAnsi="Times New Roman" w:cs="Times New Roman"/>
          <w:b/>
          <w:i w:val="0"/>
          <w:noProof/>
          <w:color w:val="auto"/>
          <w:sz w:val="20"/>
          <w:szCs w:val="20"/>
        </w:rPr>
        <w:fldChar w:fldCharType="end"/>
      </w:r>
      <w:r w:rsidRPr="00E22714">
        <w:rPr>
          <w:rFonts w:ascii="Times New Roman" w:hAnsi="Times New Roman" w:cs="Times New Roman"/>
          <w:b/>
          <w:i w:val="0"/>
          <w:color w:val="auto"/>
          <w:sz w:val="20"/>
          <w:szCs w:val="20"/>
        </w:rPr>
        <w:t xml:space="preserve"> Total 'excess deaths' (actual - projected) in England &amp; Wales, for each year from 2010 to 2015.</w:t>
      </w:r>
    </w:p>
    <w:p w14:paraId="4B7BA471" w14:textId="6A0558BF" w:rsidR="00E323A4" w:rsidRPr="00E22714" w:rsidRDefault="00E323A4" w:rsidP="00E22714">
      <w:pPr>
        <w:spacing w:line="240" w:lineRule="auto"/>
        <w:rPr>
          <w:rFonts w:ascii="Times New Roman" w:hAnsi="Times New Roman" w:cs="Times New Roman"/>
        </w:rPr>
        <w:sectPr w:rsidR="00E323A4" w:rsidRPr="00E22714" w:rsidSect="00111C57">
          <w:type w:val="continuous"/>
          <w:pgSz w:w="16838" w:h="11906" w:orient="landscape"/>
          <w:pgMar w:top="1440" w:right="1440" w:bottom="1440" w:left="1440" w:header="708" w:footer="708" w:gutter="0"/>
          <w:cols w:space="708"/>
          <w:docGrid w:linePitch="360"/>
        </w:sectPr>
      </w:pPr>
    </w:p>
    <w:p w14:paraId="61605A31" w14:textId="77777777" w:rsidR="00E323A4" w:rsidRPr="00E22714" w:rsidRDefault="00E323A4" w:rsidP="00E22714">
      <w:pPr>
        <w:pStyle w:val="Heading1"/>
        <w:spacing w:line="240" w:lineRule="auto"/>
        <w:rPr>
          <w:rFonts w:ascii="Times New Roman" w:hAnsi="Times New Roman" w:cs="Times New Roman"/>
          <w:b/>
          <w:color w:val="auto"/>
          <w:sz w:val="24"/>
        </w:rPr>
      </w:pPr>
      <w:r w:rsidRPr="00E22714">
        <w:rPr>
          <w:rFonts w:ascii="Times New Roman" w:hAnsi="Times New Roman" w:cs="Times New Roman"/>
          <w:b/>
          <w:color w:val="auto"/>
          <w:sz w:val="24"/>
        </w:rPr>
        <w:lastRenderedPageBreak/>
        <w:t>Discussion</w:t>
      </w:r>
    </w:p>
    <w:p w14:paraId="3BDA1E39" w14:textId="6A9E8F54" w:rsidR="00075CB9" w:rsidRPr="00E22714" w:rsidRDefault="006E0B54"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Our results </w:t>
      </w:r>
      <w:r w:rsidR="00AF3184" w:rsidRPr="00E22714">
        <w:rPr>
          <w:rFonts w:ascii="Times New Roman" w:hAnsi="Times New Roman" w:cs="Times New Roman"/>
          <w:sz w:val="20"/>
        </w:rPr>
        <w:t>demonstrate that</w:t>
      </w:r>
      <w:r w:rsidR="00747C48" w:rsidRPr="00E22714">
        <w:rPr>
          <w:rFonts w:ascii="Times New Roman" w:hAnsi="Times New Roman" w:cs="Times New Roman"/>
          <w:sz w:val="20"/>
        </w:rPr>
        <w:t>,</w:t>
      </w:r>
      <w:r w:rsidR="00AF3184" w:rsidRPr="00E22714">
        <w:rPr>
          <w:rFonts w:ascii="Times New Roman" w:hAnsi="Times New Roman" w:cs="Times New Roman"/>
          <w:sz w:val="20"/>
        </w:rPr>
        <w:t xml:space="preserve"> </w:t>
      </w:r>
      <w:r w:rsidR="00735CC9" w:rsidRPr="00E22714">
        <w:rPr>
          <w:rFonts w:ascii="Times New Roman" w:hAnsi="Times New Roman" w:cs="Times New Roman"/>
          <w:sz w:val="20"/>
        </w:rPr>
        <w:t>after</w:t>
      </w:r>
      <w:r w:rsidR="00AF3184" w:rsidRPr="00E22714">
        <w:rPr>
          <w:rFonts w:ascii="Times New Roman" w:hAnsi="Times New Roman" w:cs="Times New Roman"/>
          <w:sz w:val="20"/>
        </w:rPr>
        <w:t xml:space="preserve"> 2010, mortality rates </w:t>
      </w:r>
      <w:r w:rsidR="00735CC9" w:rsidRPr="00E22714">
        <w:rPr>
          <w:rFonts w:ascii="Times New Roman" w:hAnsi="Times New Roman" w:cs="Times New Roman"/>
          <w:sz w:val="20"/>
        </w:rPr>
        <w:t xml:space="preserve">at many older ages fell more slowly in England &amp; Wales than they had </w:t>
      </w:r>
      <w:r w:rsidR="003779CB" w:rsidRPr="00E22714">
        <w:rPr>
          <w:rFonts w:ascii="Times New Roman" w:hAnsi="Times New Roman" w:cs="Times New Roman"/>
          <w:sz w:val="20"/>
        </w:rPr>
        <w:t>previously</w:t>
      </w:r>
      <w:r w:rsidR="00735CC9" w:rsidRPr="00E22714">
        <w:rPr>
          <w:rFonts w:ascii="Times New Roman" w:hAnsi="Times New Roman" w:cs="Times New Roman"/>
          <w:sz w:val="20"/>
        </w:rPr>
        <w:t>.</w:t>
      </w:r>
      <w:r w:rsidRPr="00E22714">
        <w:rPr>
          <w:rFonts w:ascii="Times New Roman" w:hAnsi="Times New Roman" w:cs="Times New Roman"/>
          <w:sz w:val="20"/>
        </w:rPr>
        <w:t xml:space="preserve"> We estimate </w:t>
      </w:r>
      <w:r w:rsidR="006F3E68" w:rsidRPr="00E22714">
        <w:rPr>
          <w:rFonts w:ascii="Times New Roman" w:hAnsi="Times New Roman" w:cs="Times New Roman"/>
          <w:sz w:val="20"/>
        </w:rPr>
        <w:t>31,973</w:t>
      </w:r>
      <w:r w:rsidR="00075CB9" w:rsidRPr="00E22714">
        <w:rPr>
          <w:rFonts w:ascii="Times New Roman" w:hAnsi="Times New Roman" w:cs="Times New Roman"/>
          <w:sz w:val="20"/>
        </w:rPr>
        <w:t xml:space="preserve"> </w:t>
      </w:r>
      <w:r w:rsidR="006F3E68" w:rsidRPr="00E22714">
        <w:rPr>
          <w:rFonts w:ascii="Times New Roman" w:hAnsi="Times New Roman" w:cs="Times New Roman"/>
          <w:sz w:val="20"/>
        </w:rPr>
        <w:t>additional</w:t>
      </w:r>
      <w:r w:rsidR="00075CB9" w:rsidRPr="00E22714">
        <w:rPr>
          <w:rFonts w:ascii="Times New Roman" w:hAnsi="Times New Roman" w:cs="Times New Roman"/>
          <w:sz w:val="20"/>
        </w:rPr>
        <w:t xml:space="preserve"> deaths than projected since 2010, and 42,0</w:t>
      </w:r>
      <w:r w:rsidR="006F3E68" w:rsidRPr="00E22714">
        <w:rPr>
          <w:rFonts w:ascii="Times New Roman" w:hAnsi="Times New Roman" w:cs="Times New Roman"/>
          <w:sz w:val="20"/>
        </w:rPr>
        <w:t>18</w:t>
      </w:r>
      <w:r w:rsidR="00075CB9" w:rsidRPr="00E22714">
        <w:rPr>
          <w:rFonts w:ascii="Times New Roman" w:hAnsi="Times New Roman" w:cs="Times New Roman"/>
          <w:sz w:val="20"/>
        </w:rPr>
        <w:t xml:space="preserve"> more deaths than projected since 2012</w:t>
      </w:r>
      <w:r w:rsidR="006F3E68" w:rsidRPr="00E22714">
        <w:rPr>
          <w:rFonts w:ascii="Times New Roman" w:hAnsi="Times New Roman" w:cs="Times New Roman"/>
          <w:sz w:val="20"/>
        </w:rPr>
        <w:t>.</w:t>
      </w:r>
      <w:r w:rsidR="00735CC9" w:rsidRPr="00E22714">
        <w:rPr>
          <w:rFonts w:ascii="Times New Roman" w:hAnsi="Times New Roman" w:cs="Times New Roman"/>
          <w:sz w:val="20"/>
        </w:rPr>
        <w:t xml:space="preserve"> </w:t>
      </w:r>
      <w:r w:rsidR="006F3E68" w:rsidRPr="00E22714">
        <w:rPr>
          <w:rFonts w:ascii="Times New Roman" w:hAnsi="Times New Roman" w:cs="Times New Roman"/>
          <w:sz w:val="20"/>
        </w:rPr>
        <w:t>E</w:t>
      </w:r>
      <w:r w:rsidR="00735CC9" w:rsidRPr="00E22714">
        <w:rPr>
          <w:rFonts w:ascii="Times New Roman" w:hAnsi="Times New Roman" w:cs="Times New Roman"/>
          <w:sz w:val="20"/>
        </w:rPr>
        <w:t>xcess deaths were concentrated amongst the elderly</w:t>
      </w:r>
      <w:r w:rsidRPr="00E22714">
        <w:rPr>
          <w:rFonts w:ascii="Times New Roman" w:hAnsi="Times New Roman" w:cs="Times New Roman"/>
          <w:sz w:val="20"/>
        </w:rPr>
        <w:t>.</w:t>
      </w:r>
      <w:r w:rsidR="00075CB9" w:rsidRPr="00E22714">
        <w:rPr>
          <w:rFonts w:ascii="Times New Roman" w:hAnsi="Times New Roman" w:cs="Times New Roman"/>
          <w:sz w:val="20"/>
        </w:rPr>
        <w:t xml:space="preserve"> </w:t>
      </w:r>
    </w:p>
    <w:p w14:paraId="7D1091F4" w14:textId="061BF8D7" w:rsidR="00075CB9" w:rsidRPr="00E22714" w:rsidRDefault="00075CB9"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These estimates should be considered conservative for two reasons. Firstly, these only cover deaths up to the age of 89 years. Estimates of death and population counts above the age of 89 years are available for 2010 to 2014, but not in the 2015 release. </w:t>
      </w:r>
      <w:r w:rsidR="006F3E68" w:rsidRPr="00E22714">
        <w:rPr>
          <w:rFonts w:ascii="Times New Roman" w:hAnsi="Times New Roman" w:cs="Times New Roman"/>
          <w:sz w:val="20"/>
        </w:rPr>
        <w:t>We expect that the number of</w:t>
      </w:r>
      <w:r w:rsidR="00E13702" w:rsidRPr="00E22714">
        <w:rPr>
          <w:rFonts w:ascii="Times New Roman" w:hAnsi="Times New Roman" w:cs="Times New Roman"/>
          <w:sz w:val="20"/>
        </w:rPr>
        <w:t xml:space="preserve"> excess deaths above the age of 89 </w:t>
      </w:r>
      <w:r w:rsidR="006F3E68" w:rsidRPr="00E22714">
        <w:rPr>
          <w:rFonts w:ascii="Times New Roman" w:hAnsi="Times New Roman" w:cs="Times New Roman"/>
          <w:sz w:val="20"/>
        </w:rPr>
        <w:t>would add to our estimates</w:t>
      </w:r>
      <w:r w:rsidR="00E13702" w:rsidRPr="00E22714">
        <w:rPr>
          <w:rFonts w:ascii="Times New Roman" w:hAnsi="Times New Roman" w:cs="Times New Roman"/>
          <w:sz w:val="20"/>
        </w:rPr>
        <w:t xml:space="preserve">. </w:t>
      </w:r>
      <w:r w:rsidRPr="00E22714">
        <w:rPr>
          <w:rFonts w:ascii="Times New Roman" w:hAnsi="Times New Roman" w:cs="Times New Roman"/>
          <w:sz w:val="20"/>
        </w:rPr>
        <w:t xml:space="preserve">Secondly, </w:t>
      </w:r>
      <w:r w:rsidR="00E13702" w:rsidRPr="00E22714">
        <w:rPr>
          <w:rFonts w:ascii="Times New Roman" w:hAnsi="Times New Roman" w:cs="Times New Roman"/>
          <w:sz w:val="20"/>
        </w:rPr>
        <w:t>our model specification produced relatively conservative estimates of total additional deaths. A</w:t>
      </w:r>
      <w:r w:rsidRPr="00E22714">
        <w:rPr>
          <w:rFonts w:ascii="Times New Roman" w:hAnsi="Times New Roman" w:cs="Times New Roman"/>
          <w:sz w:val="20"/>
        </w:rPr>
        <w:t xml:space="preserve"> slightly more complex model specification</w:t>
      </w:r>
      <w:r w:rsidR="003779CB" w:rsidRPr="00E22714">
        <w:rPr>
          <w:rFonts w:ascii="Times New Roman" w:hAnsi="Times New Roman" w:cs="Times New Roman"/>
          <w:sz w:val="20"/>
        </w:rPr>
        <w:t xml:space="preserve"> (Appendix B)</w:t>
      </w:r>
      <w:r w:rsidRPr="00E22714">
        <w:rPr>
          <w:rFonts w:ascii="Times New Roman" w:hAnsi="Times New Roman" w:cs="Times New Roman"/>
          <w:sz w:val="20"/>
        </w:rPr>
        <w:t>, which allowed for nonlinear trends in rates of mortality risk improvement at various ages, produced even higher estimates of total ‘excess’ mortality, with 60,0</w:t>
      </w:r>
      <w:r w:rsidR="006F3E68" w:rsidRPr="00E22714">
        <w:rPr>
          <w:rFonts w:ascii="Times New Roman" w:hAnsi="Times New Roman" w:cs="Times New Roman"/>
          <w:sz w:val="20"/>
        </w:rPr>
        <w:t>73</w:t>
      </w:r>
      <w:r w:rsidRPr="00E22714">
        <w:rPr>
          <w:rFonts w:ascii="Times New Roman" w:hAnsi="Times New Roman" w:cs="Times New Roman"/>
          <w:sz w:val="20"/>
        </w:rPr>
        <w:t xml:space="preserve"> additional deaths estimated between 2010 and 2015, and around 65,0</w:t>
      </w:r>
      <w:r w:rsidR="00DD52D5" w:rsidRPr="00E22714">
        <w:rPr>
          <w:rFonts w:ascii="Times New Roman" w:hAnsi="Times New Roman" w:cs="Times New Roman"/>
          <w:sz w:val="20"/>
        </w:rPr>
        <w:t>45</w:t>
      </w:r>
      <w:r w:rsidRPr="00E22714">
        <w:rPr>
          <w:rFonts w:ascii="Times New Roman" w:hAnsi="Times New Roman" w:cs="Times New Roman"/>
          <w:sz w:val="20"/>
        </w:rPr>
        <w:t xml:space="preserve"> additional deaths between 2012 and 2015</w:t>
      </w:r>
      <w:r w:rsidR="00735CC9" w:rsidRPr="00E22714">
        <w:rPr>
          <w:rFonts w:ascii="Times New Roman" w:hAnsi="Times New Roman" w:cs="Times New Roman"/>
          <w:sz w:val="20"/>
        </w:rPr>
        <w:t>, for all ages up to and including 89 years</w:t>
      </w:r>
      <w:r w:rsidRPr="00E22714">
        <w:rPr>
          <w:rFonts w:ascii="Times New Roman" w:hAnsi="Times New Roman" w:cs="Times New Roman"/>
          <w:sz w:val="20"/>
        </w:rPr>
        <w:t xml:space="preserve">. </w:t>
      </w:r>
      <w:r w:rsidR="007A2D73" w:rsidRPr="00E22714">
        <w:rPr>
          <w:rFonts w:ascii="Times New Roman" w:hAnsi="Times New Roman" w:cs="Times New Roman"/>
          <w:sz w:val="20"/>
        </w:rPr>
        <w:t xml:space="preserve">While </w:t>
      </w:r>
      <w:r w:rsidRPr="00E22714">
        <w:rPr>
          <w:rFonts w:ascii="Times New Roman" w:hAnsi="Times New Roman" w:cs="Times New Roman"/>
          <w:sz w:val="20"/>
        </w:rPr>
        <w:t>th</w:t>
      </w:r>
      <w:r w:rsidR="007A2D73" w:rsidRPr="00E22714">
        <w:rPr>
          <w:rFonts w:ascii="Times New Roman" w:hAnsi="Times New Roman" w:cs="Times New Roman"/>
          <w:sz w:val="20"/>
        </w:rPr>
        <w:t>e</w:t>
      </w:r>
      <w:r w:rsidRPr="00E22714">
        <w:rPr>
          <w:rFonts w:ascii="Times New Roman" w:hAnsi="Times New Roman" w:cs="Times New Roman"/>
          <w:sz w:val="20"/>
        </w:rPr>
        <w:t xml:space="preserve"> alternative model specification had slightly better fit</w:t>
      </w:r>
      <w:r w:rsidR="007A2D73" w:rsidRPr="00E22714">
        <w:rPr>
          <w:rFonts w:ascii="Times New Roman" w:hAnsi="Times New Roman" w:cs="Times New Roman"/>
          <w:sz w:val="20"/>
        </w:rPr>
        <w:t xml:space="preserve">, </w:t>
      </w:r>
      <w:r w:rsidR="00E13702" w:rsidRPr="00E22714">
        <w:rPr>
          <w:rFonts w:ascii="Times New Roman" w:hAnsi="Times New Roman" w:cs="Times New Roman"/>
          <w:sz w:val="20"/>
        </w:rPr>
        <w:t>both indicat</w:t>
      </w:r>
      <w:r w:rsidR="007A2D73" w:rsidRPr="00E22714">
        <w:rPr>
          <w:rFonts w:ascii="Times New Roman" w:hAnsi="Times New Roman" w:cs="Times New Roman"/>
          <w:sz w:val="20"/>
        </w:rPr>
        <w:t>ed</w:t>
      </w:r>
      <w:r w:rsidR="00E13702" w:rsidRPr="00E22714">
        <w:rPr>
          <w:rFonts w:ascii="Times New Roman" w:hAnsi="Times New Roman" w:cs="Times New Roman"/>
          <w:sz w:val="20"/>
        </w:rPr>
        <w:t xml:space="preserve"> 2012 as a turning point in mortality trends. </w:t>
      </w:r>
    </w:p>
    <w:p w14:paraId="787E75F4" w14:textId="1D8D4478" w:rsidR="00AF3184" w:rsidRPr="00E22714" w:rsidRDefault="00AF3184" w:rsidP="00E22714">
      <w:pPr>
        <w:spacing w:line="240" w:lineRule="auto"/>
        <w:rPr>
          <w:rFonts w:ascii="Times New Roman" w:hAnsi="Times New Roman" w:cs="Times New Roman"/>
          <w:sz w:val="20"/>
        </w:rPr>
      </w:pPr>
      <w:r w:rsidRPr="00E22714">
        <w:rPr>
          <w:rFonts w:ascii="Times New Roman" w:hAnsi="Times New Roman" w:cs="Times New Roman"/>
          <w:sz w:val="20"/>
        </w:rPr>
        <w:t>Our findings appear consistent with what might be expected from a period that has seen the longest decline in long-term economic growth rate, and longest period of lack of investment in healthcare and associated social care services since World War 2</w:t>
      </w:r>
      <w:r w:rsidRPr="00E22714">
        <w:rPr>
          <w:rFonts w:ascii="Times New Roman" w:hAnsi="Times New Roman" w:cs="Times New Roman"/>
          <w:sz w:val="20"/>
          <w:highlight w:val="yellow"/>
        </w:rPr>
        <w:t>.</w:t>
      </w:r>
      <w:r w:rsidRPr="00E22714">
        <w:rPr>
          <w:rFonts w:ascii="Times New Roman" w:hAnsi="Times New Roman" w:cs="Times New Roman"/>
          <w:sz w:val="20"/>
        </w:rPr>
        <w:t xml:space="preserve"> This is both in terms of much increased and increasing levels of excess deaths amongst the elderly, but paradoxically also with somewhat reduced deaths within working ages, particular</w:t>
      </w:r>
      <w:r w:rsidR="00747C48" w:rsidRPr="00E22714">
        <w:rPr>
          <w:rFonts w:ascii="Times New Roman" w:hAnsi="Times New Roman" w:cs="Times New Roman"/>
          <w:sz w:val="20"/>
        </w:rPr>
        <w:t>ly</w:t>
      </w:r>
      <w:r w:rsidRPr="00E22714">
        <w:rPr>
          <w:rFonts w:ascii="Times New Roman" w:hAnsi="Times New Roman" w:cs="Times New Roman"/>
          <w:sz w:val="20"/>
        </w:rPr>
        <w:t xml:space="preserve"> for males (detailed in the appendix). It is known that mortality rates tend to fall for people of working age during recessions, in part because the </w:t>
      </w:r>
      <w:r w:rsidR="00803A7F" w:rsidRPr="00E22714">
        <w:rPr>
          <w:rFonts w:ascii="Times New Roman" w:hAnsi="Times New Roman" w:cs="Times New Roman"/>
          <w:sz w:val="20"/>
        </w:rPr>
        <w:t xml:space="preserve">costs of risky behaviours rise </w:t>
      </w:r>
      <w:r w:rsidR="00803A7F"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"10.1016/S0140-6736(15)00195-6", "ISSN" : "01406736", "PMID" : "26382241", "abstract" : "BACKGROUND: In the Global Burden of Disease Study 2013 (GBD 2013), knowledge about health and its determinants has been integrated into a comparable framework to inform health policy. Outputs of this analysis are relevant to current policy questions in England and elsewhere, particularly on health inequalities. We use GBD 2013 data on mortality and causes of death, and disease and injury incidence and prevalence to analyse the burden of disease and injury in England as a whole, in English regions, and within each English region by deprivation quintile. We also assess disease and injury burden in England attributable to potentially preventable risk factors. England and the English regions are compared with the remaining constituent countries of the UK and with comparable countries in the European Union (EU) and beyond. METHODS: We extracted data from the GBD 2013 to compare mortality, causes of death, years of life lost (YLLs), years lived with a disability (YLDs), and disability-adjusted life-years (DALYs) in England, the UK, and 18 other countries (the first 15 EU members [apart from the UK] and Australia, Canada, Norway, and the USA [EU15+]). We extended elements of the analysis to English regions, and subregional areas defined by deprivation quintile (deprivation areas). We used data split by the nine English regions (corresponding to the European boundaries of the Nomenclature for Territorial Statistics level 1 [NUTS 1] regions), and by quintile groups within each English region according to deprivation, thereby making 45 regional deprivation areas. Deprivation quintiles were defined by area of residence ranked at national level by Index of Multiple Deprivation score, 2010. Burden due to various risk factors is described for England using new GBD methodology to estimate independent and overlapping attributable risk for five tiers of behavioural, metabolic, and environmental risk factors. We present results for 306 causes and 2337 sequelae, and 79 risks or risk clusters. FINDINGS: Between 1990 and 2013, life expectancy from birth in England increased by 5\u00b74 years (95% uncertainty interval 5\u00b70-5\u00b78) from 75\u00b79 years (75\u00b79-76\u00b70) to 81\u00b73 years (80\u00b79-81\u00b77); gains were greater for men than for women. Rates of age-standardised YLLs reduced by 41\u00b71% (38\u00b73-43\u00b76), whereas DALYs were reduced by 23\u00b78% (20\u00b79-27\u00b71), and YLDs by 1\u00b74% (0\u00b71-2\u00b78). For these measures, England ranked better than the UK and the EU15+ means. Between 1990 and 2013, the range in life expecta\u2026", "author" : [ { "dropping-particle" : "", "family" : "Newton", "given" : "John N", "non-dropping-particle" : "", "parse-names" : false, "suffix" : "" }, { "dropping-particle" : "", "family" : "Briggs", "given" : "Adam D M", "non-dropping-particle" : "", "parse-names" : false, "suffix" : "" }, { "dropping-particle" : "", "family" : "Murray", "given" : "Christopher J L", "non-dropping-particle" : "", "parse-names" : false, "suffix" : "" }, { "dropping-particle" : "", "family" : "Dicker", "given" : "Daniel", "non-dropping-particle" : "", "parse-names" : false, "suffix" : "" }, { "dropping-particle" : "", "family" : "Foreman", "given" : "Kyle J", "non-dropping-particle" : "", "parse-names" : false, "suffix" : "" }, { "dropping-particle" : "", "family" : "Wang", "given" : "Haidong", "non-dropping-particle" : "", "parse-names" : false, "suffix" : "" }, { "dropping-particle" : "", "family" : "Naghavi", "given" : "Mohsen", "non-dropping-particle" : "", "parse-names" : false, "suffix" : "" }, { "dropping-particle" : "", "family" : "Forouzanfar", "given" : "Mohammad H", "non-dropping-particle" : "", "parse-names" : false, "suffix" : "" }, { "dropping-particle" : "", "family" : "Ohno", "given" : "Summer Lockett", "non-dropping-particle" : "", "parse-names" : false, "suffix" : "" }, { "dropping-particle" : "", "family" : "Barber", "given" : "Ryan M", "non-dropping-particle" : "", "parse-names" : false, "suffix" : "" }, { "dropping-particle" : "", "family" : "Vos", "given" : "Theo", "non-dropping-particle" : "", "parse-names" : false, "suffix" : "" }, { "dropping-particle" : "", "family" : "Stanaway", "given" : "Jeffrey D", "non-dropping-particle" : "", "parse-names" : false, "suffix" : "" }, { "dropping-particle" : "", "family" : "Schmidt", "given" : "J\u00fcrgen C", "non-dropping-particle" : "", "parse-names" : false, "suffix" : "" }, { "dropping-particle" : "", "family" : "Hughes", "given" : "Andrew J", "non-dropping-particle" : "", "parse-names" : false, "suffix" : "" }, { "dropping-particle" : "", "family" : "Fay", "given" : "Derek F J", "non-dropping-particle" : "", "parse-names" : false, "suffix" : "" }, { "dropping-particle" : "", "family" : "Ecob", "given" : "Russell", "non-dropping-particle" : "", "parse-names" : false, "suffix" : "" }, { "dropping-particle" : "", "family" : "Gresser", "given" : "Charis", "non-dropping-particle" : "", "parse-names" : false, "suffix" : "" }, { "dropping-particle" : "", "family" : "McKee", "given" : "Martin", "non-dropping-particle" : "", "parse-names" : false, "suffix" : "" }, { "dropping-particle" : "", "family" : "Rutter", "given" : "Harry", "non-dropping-particle" : "", "parse-names" : false, "suffix" : "" }, { "dropping-particle" : "", "family" : "Abubakar", "given" : "Ibrahim", "non-dropping-particle" : "", "parse-names" : false, "suffix" : "" }, { "dropping-particle" : "", "family" : "Ali", "given" : "Raghib", "non-dropping-particle" : "", "parse-names" : false, "suffix" : "" }, { "dropping-particle" : "", "family" : "Anderson", "given" : "H Ross", "non-dropping-particle" : "", "parse-names" : false, "suffix" : "" }, { "dropping-particle" : "", "family" : "Banerjee", "given" : "Amitava", "non-dropping-particle" : "", "parse-names" : false, "suffix" : "" }, { "dropping-particle" : "", "family" : "Bennett", "given" : "Derrick A", "non-dropping-particle" : "", "parse-names" : false, "suffix" : "" }, { "dropping-particle" : "", "family" : "Bernab\u00e9", "given" : "Eduardo", "non-dropping-particle" : "", "parse-names" : false, "suffix" : "" }, { "dropping-particle" : "", "family" : "Bhui", "given" : "Kamaldeep S", "non-dropping-particle" : "", "parse-names" : false, "suffix" : "" }, { "dropping-particle" : "", "family" : "Biryukov", "given" : "Stanley M", "non-dropping-particle" : "", "parse-names" : false, "suffix" : "" }, { "dropping-particle" : "", "family" : "Bourne", "given" : "Rupert R", "non-dropping-particle" : "", "parse-names" : false, "suffix" : "" }, { "dropping-particle" : "", "family" : "Brayne", "given" : "Carol E G", "non-dropping-particle" : "", "parse-names" : false, "suffix" : "" }, { "dropping-particle" : "", "family" : "Bruce", "given" : "Nigel G", "non-dropping-particle" : "", "parse-names" : false, "suffix" : "" }, { "dropping-particle" : "", "family" : "Brugha", "given" : "Traolach S", "non-dropping-particle" : "", "parse-names" : false, "suffix" : "" }, { "dropping-particle" : "", "family" : "Burch", "given" : "Michael", "non-dropping-particle" : "", "parse-names" : false, "suffix" : "" }, { "dropping-particle" : "", "family" : "Capewell", "given" : "Simon", "non-dropping-particle" : "", "parse-names" : false, "suffix" : "" }, { "dropping-particle" : "", "family" : "Casey", "given" : "Daniel", "non-dropping-particle" : "", "parse-names" : false, "suffix" : "" }, { "dropping-particle" : "", "family" : "Chowdhury", "given" : "Rajiv", "non-dropping-particle" : "", "parse-names" : false, "suffix" : "" }, { "dropping-particle" : "", "family" : "Coates", "given" : "Matthew M", "non-dropping-particle" : "", "parse-names" : false, "suffix" : "" }, { "dropping-particle" : "", "family" : "Cooper", "given" : "Cyrus", "non-dropping-particle" : "", "parse-names" : false, "suffix" : "" }, { "dropping-particle" : "", "family" : "Critchley", "given" : "Julia A", "non-dropping-particle" : "", "parse-names" : false, "suffix" : "" }, { "dropping-particle" : "", "family" : "Dargan", "given" : "Paul I", "non-dropping-particle" : "", "parse-names" : false, "suffix" : "" }, { "dropping-particle" : "", "family" : "Dherani", "given" : "Mukesh K", "non-dropping-particle" : "", "parse-names" : false, "suffix" : "" }, { "dropping-particle" : "", "family" : "Elliott", "given" : "Paul", "non-dropping-particle" : "", "parse-names" : false, "suffix" : "" }, { "dropping-particle" : "", "family" : "Ezzati", "given" : "Majid", "non-dropping-particle" : "", "parse-names" : false, "suffix" : "" }, { "dropping-particle" : "", "family" : "Fenton", "given" : "Kevin A", "non-dropping-particle" : "", "parse-names" : false, "suffix" : "" }, { "dropping-particle" : "", "family" : "Fraser", "given" : "Maya S", "non-dropping-particle" : "", "parse-names" : false, "suffix" : "" }, { "dropping-particle" : "", "family" : "F\u00fcrst", "given" : "Thomas", "non-dropping-particle" : "", "parse-names" : false, "suffix" : "" }, { "dropping-particle" : "", "family" : "Greaves", "given" : "Felix", "non-dropping-particle" : "", "parse-names" : false, "suffix" : "" }, { "dropping-particle" : "", "family" : "Green", "given" : "Mark A", "non-dropping-particle" : "", "parse-names" : false, "suffix" : "" }, { "dropping-particle" : "", "family" : "Gunnell", "given" : "David J", "non-dropping-particle" : "", "parse-names" : false, "suffix" : "" }, { "dropping-particle" : "", "family" : "Hannigan", "given" : "Bernadette M", "non-dropping-particle" : "", "parse-names" : false, "suffix" : "" }, { "dropping-particle" : "", "family" : "Hay", "given" : "Roderick J", "non-dropping-particle" : "", "parse-names" : false, "suffix" : "" }, { "dropping-particle" : "", "family" : "Hay", "given" : "Simon I", "non-dropping-particle" : "", "parse-names" : false, "suffix" : "" }, { "dropping-particle" : "", "family" : "Hemingway", "given" : "Harry", "non-dropping-particle" : "", "parse-names" : false, "suffix" : "" }, { "dropping-particle" : "", "family" : "Larson", "given" : "Heidi J", "non-dropping-particle" : "", "parse-names" : false, "suffix" : "" }, { "dropping-particle" : "", "family" : "Looker", "given" : "Katharine J", "non-dropping-particle" : "", "parse-names" : false, "suffix" : "" }, { "dropping-particle" : "", "family" : "Lunevicius", "given" : "Raimundas", "non-dropping-particle" : "", "parse-names" : false, "suffix" : "" }, { "dropping-particle" : "", "family" : "Lyons", "given" : "Ronan A", "non-dropping-particle" : "", "parse-names" : false, "suffix" : "" }, { "dropping-particle" : "", "family" : "Marcenes", "given" : "Wagner", "non-dropping-particle" : "", "parse-names" : false, "suffix" : "" }, { "dropping-particle" : "", "family" : "Mason-Jones", "given" : "Amanda J", "non-dropping-particle" : "", "parse-names" : false, "suffix" : "" }, { "dropping-particle" : "", "family" : "Matthews", "given" : "Fiona E", "non-dropping-particle" : "", "parse-names" : false, "suffix" : "" }, { "dropping-particle" : "", "family" : "Moller", "given" : "Henrik", "non-dropping-particle" : "", "parse-names" : false, "suffix" : "" }, { "dropping-particle" : "", "family" : "Murdoch", "given" : "Michele E", "non-dropping-particle" : "", "parse-names" : false, "suffix" : "" }, { "dropping-particle" : "", "family" : "Newton", "given" : "Charles R", "non-dropping-particle" : "", "parse-names" : false, "suffix" : "" }, { "dropping-particle" : "", "family" : "Pearce", "given" : "Neil", "non-dropping-particle" : "", "parse-names" : false, "suffix" : "" }, { "dropping-particle" : "", "family" : "Piel", "given" : "Fr\u00e9d\u00e9ric B", "non-dropping-particle" : "", "parse-names" : false, "suffix" : "" }, { "dropping-particle" : "", "family" : "Pope", "given" : "Daniel", "non-dropping-particle" : "", "parse-names" : false, "suffix" : "" }, { "dropping-particle" : "", "family" : "Rahimi", "given" : "Kazem", "non-dropping-particle" : "", "parse-names" : false, "suffix" : "" }, { "dropping-particle" : "", "family" : "Rodriguez", "given" : "Alina", "non-dropping-particle" : "", "parse-names" : false, "suffix" : "" }, { "dropping-particle" : "", "family" : "Scarborough", "given" : "Peter", "non-dropping-particle" : "", "parse-names" : false, "suffix" : "" }, { "dropping-particle" : "", "family" : "Schumacher", "given" : "Austin E", "non-dropping-particle" : "", "parse-names" : false, "suffix" : "" }, { "dropping-particle" : "", "family" : "Shiue", "given" : "Ivy", "non-dropping-particle" : "", "parse-names" : false, "suffix" : "" }, { "dropping-particle" : "", "family" : "Smeeth", "given" : "Liam", "non-dropping-particle" : "", "parse-names" : false, "suffix" : "" }, { "dropping-particle" : "", "family" : "Tedstone", "given" : "Alison", "non-dropping-particle" : "", "parse-names" : false, "suffix" : "" }, { "dropping-particle" : "", "family" : "Valabhji", "given" : "Jonathan", "non-dropping-particle" : "", "parse-names" : false, "suffix" : "" }, { "dropping-particle" : "", "family" : "Williams", "given" : "Hywel C", "non-dropping-particle" : "", "parse-names" : false, "suffix" : "" }, { "dropping-particle" : "", "family" : "Wolfe", "given" : "Charles D A", "non-dropping-particle" : "", "parse-names" : false, "suffix" : "" }, { "dropping-particle" : "", "family" : "Woolf", "given" : "Anthony D", "non-dropping-particle" : "", "parse-names" : false, "suffix" : "" }, { "dropping-particle" : "", "family" : "Davis", "given" : "Adrian C J", "non-dropping-particle" : "", "parse-names" : false, "suffix" : "" } ], "container-title" : "The Lancet", "id" : "ITEM-1", "issued" : { "date-parts" : [ [ "2015" ] ] }, "title" : "Changes in health in England, with analysis by English regions and areas of deprivation, 1990\u20132013", "type" : "article-journal" }, "uris" : [ "http://www.mendeley.com/documents/?uuid=16d3962a-abb5-424c-b9fa-d189253469d9" ] } ], "mendeley" : { "formattedCitation" : "(13)", "plainTextFormattedCitation" : "(13)", "previouslyFormattedCitation" : "(13)" }, "properties" : { "noteIndex" : 0 }, "schema" : "https://github.com/citation-style-language/schema/raw/master/csl-citation.json" }</w:instrText>
      </w:r>
      <w:r w:rsidR="00803A7F"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(13)</w:t>
      </w:r>
      <w:r w:rsidR="00803A7F" w:rsidRPr="00E22714">
        <w:rPr>
          <w:rFonts w:ascii="Times New Roman" w:hAnsi="Times New Roman" w:cs="Times New Roman"/>
          <w:sz w:val="20"/>
        </w:rPr>
        <w:fldChar w:fldCharType="end"/>
      </w:r>
      <w:r w:rsidRPr="00E22714">
        <w:rPr>
          <w:rFonts w:ascii="Times New Roman" w:hAnsi="Times New Roman" w:cs="Times New Roman"/>
          <w:sz w:val="20"/>
        </w:rPr>
        <w:t>.</w:t>
      </w:r>
      <w:r w:rsidR="005B12E3" w:rsidRPr="00E22714">
        <w:rPr>
          <w:rFonts w:ascii="Times New Roman" w:hAnsi="Times New Roman" w:cs="Times New Roman"/>
          <w:sz w:val="20"/>
        </w:rPr>
        <w:t xml:space="preserve"> Changes in these drivers of acute causes of mortality tend to react quickly to ‘environmental stimul</w:t>
      </w:r>
      <w:r w:rsidR="00803A7F" w:rsidRPr="00E22714">
        <w:rPr>
          <w:rFonts w:ascii="Times New Roman" w:hAnsi="Times New Roman" w:cs="Times New Roman"/>
          <w:sz w:val="20"/>
        </w:rPr>
        <w:t>i</w:t>
      </w:r>
      <w:r w:rsidR="005B12E3" w:rsidRPr="00E22714">
        <w:rPr>
          <w:rFonts w:ascii="Times New Roman" w:hAnsi="Times New Roman" w:cs="Times New Roman"/>
          <w:sz w:val="20"/>
        </w:rPr>
        <w:t xml:space="preserve">’. All-cause mortality among the elderly is more likely to be influenced by changes to the funding and functioning of social care and healthcare which may take longer to materialise. </w:t>
      </w:r>
    </w:p>
    <w:p w14:paraId="24A5A12A" w14:textId="7C236652" w:rsidR="001139AD" w:rsidRPr="00E22714" w:rsidRDefault="005856B2"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Increasing </w:t>
      </w:r>
      <w:r w:rsidR="00E13702" w:rsidRPr="00E22714">
        <w:rPr>
          <w:rFonts w:ascii="Times New Roman" w:hAnsi="Times New Roman" w:cs="Times New Roman"/>
          <w:sz w:val="20"/>
        </w:rPr>
        <w:t>elder</w:t>
      </w:r>
      <w:r w:rsidR="000D55B1" w:rsidRPr="00E22714">
        <w:rPr>
          <w:rFonts w:ascii="Times New Roman" w:hAnsi="Times New Roman" w:cs="Times New Roman"/>
          <w:sz w:val="20"/>
        </w:rPr>
        <w:t>ly</w:t>
      </w:r>
      <w:r w:rsidR="00E13702" w:rsidRPr="00E22714">
        <w:rPr>
          <w:rFonts w:ascii="Times New Roman" w:hAnsi="Times New Roman" w:cs="Times New Roman"/>
          <w:sz w:val="20"/>
        </w:rPr>
        <w:t xml:space="preserve"> </w:t>
      </w:r>
      <w:r w:rsidRPr="00E22714">
        <w:rPr>
          <w:rFonts w:ascii="Times New Roman" w:hAnsi="Times New Roman" w:cs="Times New Roman"/>
          <w:sz w:val="20"/>
        </w:rPr>
        <w:t>d</w:t>
      </w:r>
      <w:r w:rsidR="00A432E5" w:rsidRPr="00E22714">
        <w:rPr>
          <w:rFonts w:ascii="Times New Roman" w:hAnsi="Times New Roman" w:cs="Times New Roman"/>
          <w:sz w:val="20"/>
        </w:rPr>
        <w:t xml:space="preserve">eath rates </w:t>
      </w:r>
      <w:r w:rsidR="000D55B1" w:rsidRPr="00E22714">
        <w:rPr>
          <w:rFonts w:ascii="Times New Roman" w:hAnsi="Times New Roman" w:cs="Times New Roman"/>
          <w:sz w:val="20"/>
        </w:rPr>
        <w:t>may be</w:t>
      </w:r>
      <w:r w:rsidRPr="00E22714">
        <w:rPr>
          <w:rFonts w:ascii="Times New Roman" w:hAnsi="Times New Roman" w:cs="Times New Roman"/>
          <w:sz w:val="20"/>
        </w:rPr>
        <w:t xml:space="preserve"> ‘canaries in a coal-mine</w:t>
      </w:r>
      <w:r w:rsidR="005B12E3" w:rsidRPr="00E22714">
        <w:rPr>
          <w:rFonts w:ascii="Times New Roman" w:hAnsi="Times New Roman" w:cs="Times New Roman"/>
          <w:sz w:val="20"/>
        </w:rPr>
        <w:t>’</w:t>
      </w:r>
      <w:r w:rsidRPr="00E22714">
        <w:rPr>
          <w:rFonts w:ascii="Times New Roman" w:hAnsi="Times New Roman" w:cs="Times New Roman"/>
          <w:sz w:val="20"/>
        </w:rPr>
        <w:t xml:space="preserve">, indicating an underlying decline in </w:t>
      </w:r>
      <w:r w:rsidR="005B12E3" w:rsidRPr="00E22714">
        <w:rPr>
          <w:rFonts w:ascii="Times New Roman" w:hAnsi="Times New Roman" w:cs="Times New Roman"/>
          <w:sz w:val="20"/>
        </w:rPr>
        <w:t xml:space="preserve">population </w:t>
      </w:r>
      <w:r w:rsidRPr="00E22714">
        <w:rPr>
          <w:rFonts w:ascii="Times New Roman" w:hAnsi="Times New Roman" w:cs="Times New Roman"/>
          <w:sz w:val="20"/>
        </w:rPr>
        <w:t>health, wellbeing</w:t>
      </w:r>
      <w:r w:rsidR="00E13702" w:rsidRPr="00E22714">
        <w:rPr>
          <w:rFonts w:ascii="Times New Roman" w:hAnsi="Times New Roman" w:cs="Times New Roman"/>
          <w:sz w:val="20"/>
        </w:rPr>
        <w:t>,</w:t>
      </w:r>
      <w:r w:rsidRPr="00E22714">
        <w:rPr>
          <w:rFonts w:ascii="Times New Roman" w:hAnsi="Times New Roman" w:cs="Times New Roman"/>
          <w:sz w:val="20"/>
        </w:rPr>
        <w:t xml:space="preserve"> and quality of life. </w:t>
      </w:r>
      <w:r w:rsidR="007A2D73" w:rsidRPr="00E22714">
        <w:rPr>
          <w:rFonts w:ascii="Times New Roman" w:hAnsi="Times New Roman" w:cs="Times New Roman"/>
          <w:sz w:val="20"/>
        </w:rPr>
        <w:t>[4]</w:t>
      </w:r>
      <w:r w:rsidRPr="00E22714">
        <w:rPr>
          <w:rFonts w:ascii="Times New Roman" w:hAnsi="Times New Roman" w:cs="Times New Roman"/>
          <w:sz w:val="20"/>
        </w:rPr>
        <w:t xml:space="preserve"> </w:t>
      </w:r>
      <w:r w:rsidR="000D55B1" w:rsidRPr="00E22714">
        <w:rPr>
          <w:rFonts w:ascii="Times New Roman" w:hAnsi="Times New Roman" w:cs="Times New Roman"/>
          <w:sz w:val="20"/>
        </w:rPr>
        <w:t>S</w:t>
      </w:r>
      <w:r w:rsidR="001139AD" w:rsidRPr="00E22714">
        <w:rPr>
          <w:rFonts w:ascii="Times New Roman" w:hAnsi="Times New Roman" w:cs="Times New Roman"/>
          <w:sz w:val="20"/>
        </w:rPr>
        <w:t>ince</w:t>
      </w:r>
      <w:r w:rsidR="005B12E3" w:rsidRPr="00E22714">
        <w:rPr>
          <w:rFonts w:ascii="Times New Roman" w:hAnsi="Times New Roman" w:cs="Times New Roman"/>
          <w:sz w:val="20"/>
        </w:rPr>
        <w:t xml:space="preserve"> t</w:t>
      </w:r>
      <w:r w:rsidR="00445B0B" w:rsidRPr="00E22714">
        <w:rPr>
          <w:rFonts w:ascii="Times New Roman" w:hAnsi="Times New Roman" w:cs="Times New Roman"/>
          <w:sz w:val="20"/>
        </w:rPr>
        <w:t xml:space="preserve">he Coalition government introduced annual measurements of subjective wellbeing in 2010, </w:t>
      </w:r>
      <w:r w:rsidR="005B12E3" w:rsidRPr="00E22714">
        <w:rPr>
          <w:rFonts w:ascii="Times New Roman" w:hAnsi="Times New Roman" w:cs="Times New Roman"/>
          <w:sz w:val="20"/>
        </w:rPr>
        <w:t xml:space="preserve">there has been declining wellbeing for most age groups </w:t>
      </w:r>
      <w:r w:rsidR="00445B0B" w:rsidRPr="00E22714">
        <w:rPr>
          <w:rFonts w:ascii="Times New Roman" w:hAnsi="Times New Roman" w:cs="Times New Roman"/>
          <w:sz w:val="20"/>
        </w:rPr>
        <w:t xml:space="preserve">in each successive year. </w:t>
      </w:r>
      <w:r w:rsidR="00445B0B"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"URL" : "http://www.ons.gov.uk/peoplepopulationandcommunity/wellbeing/articles/measuringnationalwellbeing/2016", "author" : [ { "dropping-particle" : "", "family" : "ONS", "given" : "", "non-dropping-particle" : "", "parse-names" : false, "suffix" : "" } ], "id" : "ITEM-1", "issued" : { "date-parts" : [ [ "0" ] ] }, "title" : "Measuring National well-being: Life in the UK: 2016", "type" : "webpage" }, "uris" : [ "http://www.mendeley.com/documents/?uuid=d4727a40-697a-4ee2-8f97-60cfd26321ae" ] } ], "mendeley" : { "formattedCitation" : "(14)", "plainTextFormattedCitation" : "(14)", "previouslyFormattedCitation" : "(14)" }, "properties" : { "noteIndex" : 0 }, "schema" : "https://github.com/citation-style-language/schema/raw/master/csl-citation.json" }</w:instrText>
      </w:r>
      <w:r w:rsidR="00445B0B"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(14)</w:t>
      </w:r>
      <w:r w:rsidR="00445B0B" w:rsidRPr="00E22714">
        <w:rPr>
          <w:rFonts w:ascii="Times New Roman" w:hAnsi="Times New Roman" w:cs="Times New Roman"/>
          <w:sz w:val="20"/>
        </w:rPr>
        <w:fldChar w:fldCharType="end"/>
      </w:r>
      <w:r w:rsidR="005B12E3" w:rsidRPr="00E22714">
        <w:rPr>
          <w:rFonts w:ascii="Times New Roman" w:hAnsi="Times New Roman" w:cs="Times New Roman"/>
          <w:sz w:val="20"/>
        </w:rPr>
        <w:t xml:space="preserve"> The</w:t>
      </w:r>
      <w:r w:rsidR="006C3C37" w:rsidRPr="00E22714">
        <w:rPr>
          <w:rFonts w:ascii="Times New Roman" w:hAnsi="Times New Roman" w:cs="Times New Roman"/>
          <w:sz w:val="20"/>
        </w:rPr>
        <w:t xml:space="preserve"> combined effects of the GFC followed by the Coalition’s Austerity experiment </w:t>
      </w:r>
      <w:r w:rsidR="005B12E3" w:rsidRPr="00E22714">
        <w:rPr>
          <w:rFonts w:ascii="Times New Roman" w:hAnsi="Times New Roman" w:cs="Times New Roman"/>
          <w:sz w:val="20"/>
        </w:rPr>
        <w:t>appear to be resulting in wider impacts on the population that may contribute to deteriorating health and wellbeing</w:t>
      </w:r>
      <w:r w:rsidR="00736234" w:rsidRPr="00E22714">
        <w:rPr>
          <w:rFonts w:ascii="Times New Roman" w:hAnsi="Times New Roman" w:cs="Times New Roman"/>
          <w:sz w:val="20"/>
        </w:rPr>
        <w:t xml:space="preserve">, </w:t>
      </w:r>
      <w:r w:rsidR="001139AD" w:rsidRPr="00E22714">
        <w:rPr>
          <w:rFonts w:ascii="Times New Roman" w:hAnsi="Times New Roman" w:cs="Times New Roman"/>
          <w:sz w:val="20"/>
        </w:rPr>
        <w:t xml:space="preserve">including not just the rising elderly mortality reported here, but also increasing suicides rates </w:t>
      </w:r>
      <w:r w:rsidR="00803A7F"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"mendeley" : { "formattedCitation" : "(15)", "plainTextFormattedCitation" : "(15)", "previouslyFormattedCitation" : "(15)" }, "properties" : { "noteIndex" : 0 }, "schema" : "https://github.com/citation-style-language/schema/raw/master/csl-citation.json" }</w:instrText>
      </w:r>
      <w:r w:rsidR="00803A7F"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(15)</w:t>
      </w:r>
      <w:r w:rsidR="00803A7F" w:rsidRPr="00E22714">
        <w:rPr>
          <w:rFonts w:ascii="Times New Roman" w:hAnsi="Times New Roman" w:cs="Times New Roman"/>
          <w:sz w:val="20"/>
        </w:rPr>
        <w:fldChar w:fldCharType="end"/>
      </w:r>
      <w:r w:rsidR="00803A7F" w:rsidRPr="00E22714">
        <w:rPr>
          <w:rFonts w:ascii="Times New Roman" w:hAnsi="Times New Roman" w:cs="Times New Roman"/>
          <w:sz w:val="20"/>
        </w:rPr>
        <w:t>.</w:t>
      </w:r>
      <w:r w:rsidR="006C3C37" w:rsidRPr="00E22714">
        <w:rPr>
          <w:rFonts w:ascii="Times New Roman" w:hAnsi="Times New Roman" w:cs="Times New Roman"/>
          <w:sz w:val="20"/>
        </w:rPr>
        <w:t xml:space="preserve"> </w:t>
      </w:r>
    </w:p>
    <w:p w14:paraId="0657C0E1" w14:textId="058C9B93" w:rsidR="00893259" w:rsidRPr="00E22714" w:rsidRDefault="006C3C37"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Though the working age working poor </w:t>
      </w:r>
      <w:r w:rsidR="00656B3F" w:rsidRPr="00E22714">
        <w:rPr>
          <w:rFonts w:ascii="Times New Roman" w:hAnsi="Times New Roman" w:cs="Times New Roman"/>
          <w:sz w:val="20"/>
        </w:rPr>
        <w:t xml:space="preserve">(and their children) </w:t>
      </w:r>
      <w:r w:rsidRPr="00E22714">
        <w:rPr>
          <w:rFonts w:ascii="Times New Roman" w:hAnsi="Times New Roman" w:cs="Times New Roman"/>
          <w:sz w:val="20"/>
        </w:rPr>
        <w:t>experienced some of the most overtly adverse changes to social security provision in the UK, leading for instance to an explosion s</w:t>
      </w:r>
      <w:r w:rsidR="00656B3F" w:rsidRPr="00E22714">
        <w:rPr>
          <w:rFonts w:ascii="Times New Roman" w:hAnsi="Times New Roman" w:cs="Times New Roman"/>
          <w:sz w:val="20"/>
        </w:rPr>
        <w:t xml:space="preserve">ince 2010 in food bank use, </w:t>
      </w:r>
      <w:r w:rsidR="00656B3F"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"10.1111/area.12233", "ISSN" : "00040894", "author" : [ { "dropping-particle" : "", "family" : "Lambie-Mumford", "given" : "Hannah", "non-dropping-particle" : "", "parse-names" : false, "suffix" : "" }, { "dropping-particle" : "", "family" : "Green", "given" : "Mark A", "non-dropping-particle" : "", "parse-names" : false, "suffix" : "" } ], "container-title" : "Area", "id" : "ITEM-1", "issued" : { "date-parts" : [ [ "2015", "10" ] ] }, "page" : "n/a-n/a", "title" : "Austerity, welfare reform and the rising use of food banks by children in England and Wales", "type" : "article-journal" }, "uris" : [ "http://www.mendeley.com/documents/?uuid=3bb37626-daef-47c9-bcc3-99993218af52" ] } ], "mendeley" : { "formattedCitation" : "(16)", "plainTextFormattedCitation" : "(16)", "previouslyFormattedCitation" : "(16)" }, "properties" : { "noteIndex" : 0 }, "schema" : "https://github.com/citation-style-language/schema/raw/master/csl-citation.json" }</w:instrText>
      </w:r>
      <w:r w:rsidR="00656B3F"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(16)</w:t>
      </w:r>
      <w:r w:rsidR="00656B3F" w:rsidRPr="00E22714">
        <w:rPr>
          <w:rFonts w:ascii="Times New Roman" w:hAnsi="Times New Roman" w:cs="Times New Roman"/>
          <w:sz w:val="20"/>
        </w:rPr>
        <w:fldChar w:fldCharType="end"/>
      </w:r>
      <w:r w:rsidR="00656B3F" w:rsidRPr="00E22714">
        <w:rPr>
          <w:rFonts w:ascii="Times New Roman" w:hAnsi="Times New Roman" w:cs="Times New Roman"/>
          <w:sz w:val="20"/>
        </w:rPr>
        <w:t xml:space="preserve"> it is </w:t>
      </w:r>
      <w:r w:rsidR="00736234" w:rsidRPr="00E22714">
        <w:rPr>
          <w:rFonts w:ascii="Times New Roman" w:hAnsi="Times New Roman" w:cs="Times New Roman"/>
          <w:sz w:val="20"/>
        </w:rPr>
        <w:t xml:space="preserve">among </w:t>
      </w:r>
      <w:r w:rsidR="00656B3F" w:rsidRPr="00E22714">
        <w:rPr>
          <w:rFonts w:ascii="Times New Roman" w:hAnsi="Times New Roman" w:cs="Times New Roman"/>
          <w:sz w:val="20"/>
        </w:rPr>
        <w:t xml:space="preserve">the sick and frail that cuts to the quality of social and healthcare services appear to be a matter of </w:t>
      </w:r>
      <w:r w:rsidR="005856B2" w:rsidRPr="00E22714">
        <w:rPr>
          <w:rFonts w:ascii="Times New Roman" w:hAnsi="Times New Roman" w:cs="Times New Roman"/>
          <w:sz w:val="20"/>
        </w:rPr>
        <w:t xml:space="preserve">. </w:t>
      </w:r>
      <w:r w:rsidR="00656B3F" w:rsidRPr="00E22714">
        <w:rPr>
          <w:rFonts w:ascii="Times New Roman" w:hAnsi="Times New Roman" w:cs="Times New Roman"/>
          <w:sz w:val="20"/>
        </w:rPr>
        <w:t>This is despite, on paper, pensioners being one of the most generously treated demographic groups by consecutive UK governments.</w:t>
      </w:r>
      <w:r w:rsidR="00893259" w:rsidRPr="00E22714">
        <w:rPr>
          <w:rFonts w:ascii="Times New Roman" w:hAnsi="Times New Roman" w:cs="Times New Roman"/>
          <w:sz w:val="20"/>
        </w:rPr>
        <w:t xml:space="preserve"> </w:t>
      </w:r>
      <w:r w:rsidR="00893259"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"Thurley", "given" : "D", "non-dropping-particle" : "", "parse-names" : false, "suffix" : "" } ], "id" : "ITEM-1", "issued" : { "date-parts" : [ [ "2016" ] ] }, "number" : "SN-05649", "publisher-place" : "London", "title" : "State Pension uprating - 2010 onwards", "type" : "report" }, "uris" : [ "http://www.mendeley.com/documents/?uuid=99e9d7bc-ba94-4cf1-9619-27c23ff8a29b" ] } ], "mendeley" : { "formattedCitation" : "(17)", "plainTextFormattedCitation" : "(17)", "previouslyFormattedCitation" : "(17)" }, "properties" : { "noteIndex" : 0 }, "schema" : "https://github.com/citation-style-language/schema/raw/master/csl-citation.json" }</w:instrText>
      </w:r>
      <w:r w:rsidR="00893259"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(17)</w:t>
      </w:r>
      <w:r w:rsidR="00893259" w:rsidRPr="00E22714">
        <w:rPr>
          <w:rFonts w:ascii="Times New Roman" w:hAnsi="Times New Roman" w:cs="Times New Roman"/>
          <w:sz w:val="20"/>
        </w:rPr>
        <w:fldChar w:fldCharType="end"/>
      </w:r>
      <w:r w:rsidR="00893259" w:rsidRPr="00E22714">
        <w:rPr>
          <w:rFonts w:ascii="Times New Roman" w:hAnsi="Times New Roman" w:cs="Times New Roman"/>
          <w:sz w:val="20"/>
        </w:rPr>
        <w:t xml:space="preserve"> Although commitments to maintaining the relative value of pensions benefit </w:t>
      </w:r>
      <w:r w:rsidR="005856B2" w:rsidRPr="00E22714">
        <w:rPr>
          <w:rFonts w:ascii="Times New Roman" w:hAnsi="Times New Roman" w:cs="Times New Roman"/>
          <w:sz w:val="20"/>
        </w:rPr>
        <w:t xml:space="preserve">the elderly who are </w:t>
      </w:r>
      <w:r w:rsidR="00893259" w:rsidRPr="00E22714">
        <w:rPr>
          <w:rFonts w:ascii="Times New Roman" w:hAnsi="Times New Roman" w:cs="Times New Roman"/>
          <w:sz w:val="20"/>
        </w:rPr>
        <w:t>still in good health, with ageing comes frailty and expensive-to-treat multi</w:t>
      </w:r>
      <w:r w:rsidR="005856B2" w:rsidRPr="00E22714">
        <w:rPr>
          <w:rFonts w:ascii="Times New Roman" w:hAnsi="Times New Roman" w:cs="Times New Roman"/>
          <w:sz w:val="20"/>
        </w:rPr>
        <w:t>-</w:t>
      </w:r>
      <w:r w:rsidR="00893259" w:rsidRPr="00E22714">
        <w:rPr>
          <w:rFonts w:ascii="Times New Roman" w:hAnsi="Times New Roman" w:cs="Times New Roman"/>
          <w:sz w:val="20"/>
        </w:rPr>
        <w:t xml:space="preserve">morbidity. It is once health deteriorates to a point where pensioners become dependent on state social care and health care that they become exposed to a system </w:t>
      </w:r>
      <w:r w:rsidR="005856B2" w:rsidRPr="00E22714">
        <w:rPr>
          <w:rFonts w:ascii="Times New Roman" w:hAnsi="Times New Roman" w:cs="Times New Roman"/>
          <w:sz w:val="20"/>
        </w:rPr>
        <w:t>undergoing both</w:t>
      </w:r>
      <w:r w:rsidR="00893259" w:rsidRPr="00E22714">
        <w:rPr>
          <w:rFonts w:ascii="Times New Roman" w:hAnsi="Times New Roman" w:cs="Times New Roman"/>
          <w:sz w:val="20"/>
        </w:rPr>
        <w:t xml:space="preserve"> rapid reinvention and disruption, and increasing financial pressures and constraints. </w:t>
      </w:r>
      <w:r w:rsidR="00893259"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"Lafond", "given" : "S", "non-dropping-particle" : "", "parse-names" : false, "suffix" : "" }, { "dropping-particle" : "", "family" : "Arora", "given" : "S", "non-dropping-particle" : "", "parse-names" : false, "suffix" : "" }, { "dropping-particle" : "", "family" : "Charlesworth", "given" : "A", "non-dropping-particle" : "", "parse-names" : false, "suffix" : "" }, { "dropping-particle" : "", "family" : "McKeon", "given" : "A", "non-dropping-particle" : "", "parse-names" : false, "suffix" : "" } ], "id" : "ITEM-1", "issued" : { "date-parts" : [ [ "2014" ] ] }, "title" : "Into the red? The state of the NHS' finances: An analysis of NHS expenditure between 2010 and 2014", "type" : "report" }, "uris" : [ "http://www.mendeley.com/documents/?uuid=57ba5efa-7ac8-48d9-be2d-da229930b565" ] } ], "mendeley" : { "formattedCitation" : "(18)", "plainTextFormattedCitation" : "(18)", "previouslyFormattedCitation" : "(18)" }, "properties" : { "noteIndex" : 0 }, "schema" : "https://github.com/citation-style-language/schema/raw/master/csl-citation.json" }</w:instrText>
      </w:r>
      <w:r w:rsidR="00893259"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(18)</w:t>
      </w:r>
      <w:r w:rsidR="00893259" w:rsidRPr="00E22714">
        <w:rPr>
          <w:rFonts w:ascii="Times New Roman" w:hAnsi="Times New Roman" w:cs="Times New Roman"/>
          <w:sz w:val="20"/>
        </w:rPr>
        <w:fldChar w:fldCharType="end"/>
      </w:r>
      <w:r w:rsidR="00893259" w:rsidRPr="00E22714">
        <w:rPr>
          <w:rFonts w:ascii="Times New Roman" w:hAnsi="Times New Roman" w:cs="Times New Roman"/>
          <w:sz w:val="20"/>
        </w:rPr>
        <w:t xml:space="preserve"> </w:t>
      </w:r>
    </w:p>
    <w:p w14:paraId="67B40E37" w14:textId="5C5A18B3" w:rsidR="00335AD5" w:rsidRPr="00E22714" w:rsidRDefault="00893259" w:rsidP="00E22714">
      <w:pPr>
        <w:spacing w:line="240" w:lineRule="auto"/>
        <w:rPr>
          <w:rFonts w:ascii="Times New Roman" w:hAnsi="Times New Roman" w:cs="Times New Roman"/>
        </w:rPr>
      </w:pPr>
      <w:r w:rsidRPr="00E22714">
        <w:rPr>
          <w:rFonts w:ascii="Times New Roman" w:hAnsi="Times New Roman" w:cs="Times New Roman"/>
          <w:sz w:val="20"/>
        </w:rPr>
        <w:t xml:space="preserve">The longer-term consequences of austerity may take decades to become apparent. Long-term demographic records show that especially severe environmental change can </w:t>
      </w:r>
      <w:r w:rsidR="00335AD5" w:rsidRPr="00E22714">
        <w:rPr>
          <w:rFonts w:ascii="Times New Roman" w:hAnsi="Times New Roman" w:cs="Times New Roman"/>
          <w:sz w:val="20"/>
        </w:rPr>
        <w:t xml:space="preserve">cause lower cognitive functioning, increased morbidity, and an increased mortality risk to be carried by exposed populations throughout their lives. </w:t>
      </w:r>
      <w:r w:rsidR="00335AD5"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"10.1093/ije/dyt115", "abstract" : "We present two enhancements to existing methods for visualizing vital statistics data. Data from the Human Mortality Database were used and vital statistics from England and Wales are used for illustration. The simpler of these methods involves coplotting mean age of death with its variance, and the more complex of these methods is to present data as a contour plot. The coplot method shows the effect of the 20th century\u2019s epidemiological transitions. The contour plot method allows more complex and subtle age, period and cohort effects to be seen. The contour plot shows the effects of broad improvements in public health over the 20th century, including vast reductions in rates of childhood mortality, reduced baseline mortality risks during adulthood and the postponement of higher mortality risks to older ages. They also show the effects of the two world wars and the 1918 influenza pandemic on men of fighting age, women and children. The contour plots also show a cohort effect for people born around 1918, suggesting a possible epigenetic effect of parental exposure to the pandemic which shortened the cohort\u2019s lifespan and which has so far received little attention. Although this article focuses on data from England and Wales, the associated online appendices contain equivalent visualizations for almost 50 series of data available on the Human Mortality Database. We expect that further analyses of these visualizations will reveal further insights into global public health.", "author" : [ { "dropping-particle" : "", "family" : "Minton", "given" : "J", "non-dropping-particle" : "", "parse-names" : false, "suffix" : "" }, { "dropping-particle" : "", "family" : "Vanderbloemen", "given" : "L", "non-dropping-particle" : "", "parse-names" : false, "suffix" : "" }, { "dropping-particle" : "", "family" : "Dorling", "given" : "D", "non-dropping-particle" : "", "parse-names" : false, "suffix" : "" } ], "container-title" : "International Journal of Epidemiology", "id" : "ITEM-1", "issue" : "4", "issued" : { "date-parts" : [ [ "2013" ] ] }, "page" : "1164-1176", "title" : "Visualizing Europe\u2019s demographic scars with coplots and contour plots", "type" : "article-journal", "volume" : "42" }, "uris" : [ "http://www.mendeley.com/documents/?uuid=39de76e3-0889-44c7-9d3b-c4352af67b58" ] } ], "mendeley" : { "formattedCitation" : "(19)", "plainTextFormattedCitation" : "(19)", "previouslyFormattedCitation" : "(19)" }, "properties" : { "noteIndex" : 0 }, "schema" : "https://github.com/citation-style-language/schema/raw/master/csl-citation.json" }</w:instrText>
      </w:r>
      <w:r w:rsidR="00335AD5"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(19)</w:t>
      </w:r>
      <w:r w:rsidR="00335AD5" w:rsidRPr="00E22714">
        <w:rPr>
          <w:rFonts w:ascii="Times New Roman" w:hAnsi="Times New Roman" w:cs="Times New Roman"/>
          <w:sz w:val="20"/>
        </w:rPr>
        <w:fldChar w:fldCharType="end"/>
      </w:r>
      <w:r w:rsidR="00335AD5" w:rsidRPr="00E22714">
        <w:rPr>
          <w:rFonts w:ascii="Times New Roman" w:hAnsi="Times New Roman" w:cs="Times New Roman"/>
          <w:sz w:val="20"/>
        </w:rPr>
        <w:t xml:space="preserve"> </w:t>
      </w:r>
      <w:r w:rsidR="005856B2" w:rsidRPr="00E22714">
        <w:rPr>
          <w:rFonts w:ascii="Times New Roman" w:hAnsi="Times New Roman" w:cs="Times New Roman"/>
          <w:sz w:val="20"/>
        </w:rPr>
        <w:t>E</w:t>
      </w:r>
      <w:r w:rsidR="00335AD5" w:rsidRPr="00E22714">
        <w:rPr>
          <w:rFonts w:ascii="Times New Roman" w:hAnsi="Times New Roman" w:cs="Times New Roman"/>
          <w:sz w:val="20"/>
        </w:rPr>
        <w:t>vidence of more subtle cohort effects associated with shifts in labour market conditions have been identified for specific types of mortality</w:t>
      </w:r>
      <w:r w:rsidR="00510F95" w:rsidRPr="00E22714">
        <w:rPr>
          <w:rFonts w:ascii="Times New Roman" w:hAnsi="Times New Roman" w:cs="Times New Roman"/>
          <w:sz w:val="20"/>
        </w:rPr>
        <w:t xml:space="preserve">. Research exploring </w:t>
      </w:r>
      <w:r w:rsidR="00923071" w:rsidRPr="00E22714">
        <w:rPr>
          <w:rFonts w:ascii="Times New Roman" w:hAnsi="Times New Roman" w:cs="Times New Roman"/>
          <w:sz w:val="20"/>
        </w:rPr>
        <w:t xml:space="preserve">patterns in </w:t>
      </w:r>
      <w:r w:rsidR="00510F95" w:rsidRPr="00E22714">
        <w:rPr>
          <w:rFonts w:ascii="Times New Roman" w:hAnsi="Times New Roman" w:cs="Times New Roman"/>
          <w:sz w:val="20"/>
        </w:rPr>
        <w:t xml:space="preserve">Scottish alcohol mortality and suicide trends has, for example, </w:t>
      </w:r>
      <w:r w:rsidR="00923071" w:rsidRPr="00E22714">
        <w:rPr>
          <w:rFonts w:ascii="Times New Roman" w:hAnsi="Times New Roman" w:cs="Times New Roman"/>
          <w:sz w:val="20"/>
        </w:rPr>
        <w:t xml:space="preserve">indicated there may be cohort effects associated with the years in which people first enter the formal labour market, with higher rates of suicide and alcohol-related deaths amongst males, in particular, who started their work life after the start of ‘neoliberal’ labour market reforms in the early 1980s, compared with cohorts who first started work in the 1970s and before. </w:t>
      </w:r>
      <w:r w:rsidR="00923071"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"author" : [ { "dropping-particle" : "", "family" : "Parkinson", "given" : "J", "non-dropping-particle" : "", "parse-names" : false, "suffix" : "" }, { "dropping-particle" : "", "family" : "Minton", "given" : "J", "non-dropping-particle" : "", "parse-names" : false, "suffix" : "" }, { "dropping-particle" : "", "family" : "Lewsey", "given" : "J", "non-dropping-particle" : "", "parse-names" : false, "suffix" : "" }, { "dropping-particle" : "", "family" : "Bouttell", "given" : "J", "non-dropping-particle" : "", "parse-names" : false, "suffix" : "" }, { "dropping-particle" : "", "family" : "McCartney", "given" : "G", "non-dropping-particle" : "", "parse-names" : false, "suffix" : "" } ], "container-title" : "Under Review", "id" : "ITEM-1", "issued" : { "date-parts" : [ [ "0" ] ] }, "title" : "Recent cohort effects in suicide in Scotland: a legacy of the 1980s?", "type" : "article-journal" }, "uris" : [ "http://www.mendeley.com/documents/?uuid=80611dd9-3fa8-46d8-b4a6-6915f39434e6" ] }, { "id" : "ITEM-2", "itemData" : { "DOI" : "10.1016/j.puhe.2015.12.013", "ISSN" : "00333506", "author" : [ { "dropping-particle" : "", "family" : "McCartney", "given" : "G.", "non-dropping-particle" : "", "parse-names" : false, "suffix" : "" }, { "dropping-particle" : "", "family" : "Bouttell", "given" : "J.", "non-dropping-particle" : "", "parse-names" : false, "suffix" : "" }, { "dropping-particle" : "", "family" : "Craig", "given" : "N.", "non-dropping-particle" : "", "parse-names" : false, "suffix" : "" }, { "dropping-particle" : "", "family" : "Craig", "given" : "P.", "non-dropping-particle" : "", "parse-names" : false, "suffix" : "" }, { "dropping-particle" : "", "family" : "Graham", "given" : "L.", "non-dropping-particle" : "", "parse-names" : false, "suffix" : "" }, { "dropping-particle" : "", "family" : "Lakha", "given" : "F.", "non-dropping-particle" : "", "parse-names" : false, "suffix" : "" }, { "dropping-particle" : "", "family" : "Lewsey", "given" : "J.", "non-dropping-particle" : "", "parse-names" : false, "suffix" : "" }, { "dropping-particle" : "", "family" : "McAdams", "given" : "R.", "non-dropping-particle" : "", "parse-names" : false, "suffix" : "" }, { "dropping-particle" : "", "family" : "MacPherson", "given" : "M.", "non-dropping-particle" : "", "parse-names" : false, "suffix" : "" }, { "dropping-particle" : "", "family" : "Minton", "given" : "J.", "non-dropping-particle" : "", "parse-names" : false, "suffix" : "" }, { "dropping-particle" : "", "family" : "Parkinson", "given" : "J.", "non-dropping-particle" : "", "parse-names" : false, "suffix" : "" }, { "dropping-particle" : "", "family" : "Robinson", "given" : "M.", "non-dropping-particle" : "", "parse-names" : false, "suffix" : "" }, { "dropping-particle" : "", "family" : "Shipton", "given" : "D.", "non-dropping-particle" : "", "parse-names" : false, "suffix" : "" }, { "dropping-particle" : "", "family" : "Taulbut", "given" : "M.", "non-dropping-particle" : "", "parse-names" : false, "suffix" : "" }, { "dropping-particle" : "", "family" : "Walsh", "given" : "D.", "non-dropping-particle" : "", "parse-names" : false, "suffix" : "" }, { "dropping-particle" : "", "family" : "Beeston", "given" : "C.", "non-dropping-particle" : "", "parse-names" : false, "suffix" : "" } ], "container-title" : "Public Health", "id" : "ITEM-2", "issued" : { "date-parts" : [ [ "2016", "3" ] ] }, "page" : "13-23", "title" : "Explaining trends in alcohol-related harms in Scotland, 1991\u20132011 (I): the role of incomes, effects of socio-economic and political adversity and demographic change", "type" : "article-journal", "volume" : "132" }, "uris" : [ "http://www.mendeley.com/documents/?uuid=d391b605-0fc0-401d-aa0f-abd97e581d71" ] } ], "mendeley" : { "formattedCitation" : "(15,20)", "plainTextFormattedCitation" : "(15,20)", "previouslyFormattedCitation" : "(15,20)" }, "properties" : { "noteIndex" : 0 }, "schema" : "https://github.com/citation-style-language/schema/raw/master/csl-citation.json" }</w:instrText>
      </w:r>
      <w:r w:rsidR="00923071"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(15,20)</w:t>
      </w:r>
      <w:r w:rsidR="00923071" w:rsidRPr="00E22714">
        <w:rPr>
          <w:rFonts w:ascii="Times New Roman" w:hAnsi="Times New Roman" w:cs="Times New Roman"/>
          <w:sz w:val="20"/>
        </w:rPr>
        <w:fldChar w:fldCharType="end"/>
      </w:r>
      <w:r w:rsidR="00923071" w:rsidRPr="00E22714">
        <w:rPr>
          <w:rFonts w:ascii="Times New Roman" w:hAnsi="Times New Roman" w:cs="Times New Roman"/>
          <w:sz w:val="20"/>
        </w:rPr>
        <w:t xml:space="preserve"> </w:t>
      </w:r>
    </w:p>
    <w:p w14:paraId="4ED1E4C1" w14:textId="77777777" w:rsidR="00E323A4" w:rsidRPr="00E22714" w:rsidRDefault="00E323A4" w:rsidP="00E22714">
      <w:pPr>
        <w:pStyle w:val="Heading2"/>
        <w:spacing w:line="240" w:lineRule="auto"/>
        <w:rPr>
          <w:rFonts w:ascii="Times New Roman" w:hAnsi="Times New Roman" w:cs="Times New Roman"/>
          <w:b/>
          <w:color w:val="auto"/>
          <w:sz w:val="20"/>
        </w:rPr>
      </w:pPr>
      <w:r w:rsidRPr="00E22714">
        <w:rPr>
          <w:rFonts w:ascii="Times New Roman" w:hAnsi="Times New Roman" w:cs="Times New Roman"/>
          <w:b/>
          <w:color w:val="auto"/>
          <w:sz w:val="20"/>
        </w:rPr>
        <w:t>Limitations</w:t>
      </w:r>
    </w:p>
    <w:p w14:paraId="6541978D" w14:textId="29BDAB07" w:rsidR="00E323A4" w:rsidRPr="00E22714" w:rsidRDefault="00E323A4"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Population estimates for ages over 90 years are not routinely available disaggregated by age in single years as part of standard UK population estimates, and are estimated by the ONS. </w:t>
      </w:r>
      <w:r w:rsidR="00736234" w:rsidRPr="00E22714">
        <w:rPr>
          <w:rFonts w:ascii="Times New Roman" w:hAnsi="Times New Roman" w:cs="Times New Roman"/>
          <w:sz w:val="20"/>
        </w:rPr>
        <w:t>Our</w:t>
      </w:r>
      <w:r w:rsidRPr="00E22714">
        <w:rPr>
          <w:rFonts w:ascii="Times New Roman" w:hAnsi="Times New Roman" w:cs="Times New Roman"/>
          <w:sz w:val="20"/>
        </w:rPr>
        <w:t xml:space="preserve"> results indicate that much of the additional burden of excess mortality has been at some of the oldest ages, </w:t>
      </w:r>
      <w:r w:rsidR="00736234" w:rsidRPr="00E22714">
        <w:rPr>
          <w:rFonts w:ascii="Times New Roman" w:hAnsi="Times New Roman" w:cs="Times New Roman"/>
          <w:sz w:val="20"/>
        </w:rPr>
        <w:t xml:space="preserve">and </w:t>
      </w:r>
      <w:r w:rsidRPr="00E22714">
        <w:rPr>
          <w:rFonts w:ascii="Times New Roman" w:hAnsi="Times New Roman" w:cs="Times New Roman"/>
          <w:sz w:val="20"/>
        </w:rPr>
        <w:t>we consider</w:t>
      </w:r>
      <w:r w:rsidR="00736234" w:rsidRPr="00E22714">
        <w:rPr>
          <w:rFonts w:ascii="Times New Roman" w:hAnsi="Times New Roman" w:cs="Times New Roman"/>
          <w:sz w:val="20"/>
        </w:rPr>
        <w:t>ed</w:t>
      </w:r>
      <w:r w:rsidRPr="00E22714">
        <w:rPr>
          <w:rFonts w:ascii="Times New Roman" w:hAnsi="Times New Roman" w:cs="Times New Roman"/>
          <w:sz w:val="20"/>
        </w:rPr>
        <w:t xml:space="preserve"> it important to produce estimates of total excess deaths up to 95 years, despite these limitations. Effective measurement and dissemination of age-disaggregated population and death counts at and above the age of 90 years should be a national record keeping priority. </w:t>
      </w:r>
    </w:p>
    <w:p w14:paraId="205FFB74" w14:textId="49E647B5" w:rsidR="00E323A4" w:rsidRPr="00E22714" w:rsidRDefault="00E323A4"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As has been noted many times, “all models are wrong, but some are useful”. </w:t>
      </w:r>
      <w:r w:rsidR="008D06C0" w:rsidRPr="00E22714">
        <w:rPr>
          <w:rFonts w:ascii="Times New Roman" w:hAnsi="Times New Roman" w:cs="Times New Roman"/>
          <w:sz w:val="20"/>
        </w:rPr>
        <w:fldChar w:fldCharType="begin" w:fldLock="1"/>
      </w:r>
      <w:r w:rsidR="00111C57">
        <w:rPr>
          <w:rFonts w:ascii="Times New Roman" w:hAnsi="Times New Roman" w:cs="Times New Roman"/>
          <w:sz w:val="20"/>
        </w:rPr>
        <w:instrText>ADDIN CSL_CITATION { "citationItems" : [ { "id" : "ITEM-1", "itemData" : { "DOI" : "10.1080/01621459.1976.10480949", "ISSN" : "0162-1459", "author" : [ { "dropping-particle" : "", "family" : "Box", "given" : "George E. P.", "non-dropping-particle" : "", "parse-names" : false, "suffix" : "" } ], "container-title" : "Journal of the American Statistical Association", "id" : "ITEM-1", "issue" : "356", "issued" : { "date-parts" : [ [ "1976", "12" ] ] }, "page" : "791-799", "title" : "Science and Statistics", "type" : "article-journal", "volume" : "71" }, "uris" : [ "http://www.mendeley.com/documents/?uuid=764a703d-3937-433a-bfc3-e3f0a08558b6" ] } ], "mendeley" : { "formattedCitation" : "(21)", "plainTextFormattedCitation" : "(21)", "previouslyFormattedCitation" : "(21)" }, "properties" : { "noteIndex" : 0 }, "schema" : "https://github.com/citation-style-language/schema/raw/master/csl-citation.json" }</w:instrText>
      </w:r>
      <w:r w:rsidR="008D06C0" w:rsidRPr="00E22714">
        <w:rPr>
          <w:rFonts w:ascii="Times New Roman" w:hAnsi="Times New Roman" w:cs="Times New Roman"/>
          <w:sz w:val="20"/>
        </w:rPr>
        <w:fldChar w:fldCharType="separate"/>
      </w:r>
      <w:r w:rsidR="00111C57" w:rsidRPr="00111C57">
        <w:rPr>
          <w:rFonts w:ascii="Times New Roman" w:hAnsi="Times New Roman" w:cs="Times New Roman"/>
          <w:noProof/>
          <w:sz w:val="20"/>
        </w:rPr>
        <w:t>(21)</w:t>
      </w:r>
      <w:r w:rsidR="008D06C0" w:rsidRPr="00E22714">
        <w:rPr>
          <w:rFonts w:ascii="Times New Roman" w:hAnsi="Times New Roman" w:cs="Times New Roman"/>
          <w:sz w:val="20"/>
        </w:rPr>
        <w:fldChar w:fldCharType="end"/>
      </w:r>
      <w:r w:rsidR="008D06C0" w:rsidRPr="00E22714">
        <w:rPr>
          <w:rFonts w:ascii="Times New Roman" w:hAnsi="Times New Roman" w:cs="Times New Roman"/>
          <w:sz w:val="20"/>
        </w:rPr>
        <w:t xml:space="preserve"> </w:t>
      </w:r>
      <w:r w:rsidR="008A3E12" w:rsidRPr="00E22714">
        <w:rPr>
          <w:rFonts w:ascii="Times New Roman" w:hAnsi="Times New Roman" w:cs="Times New Roman"/>
          <w:sz w:val="20"/>
        </w:rPr>
        <w:t>Our</w:t>
      </w:r>
      <w:r w:rsidRPr="00E22714">
        <w:rPr>
          <w:rFonts w:ascii="Times New Roman" w:hAnsi="Times New Roman" w:cs="Times New Roman"/>
          <w:sz w:val="20"/>
        </w:rPr>
        <w:t xml:space="preserve"> model</w:t>
      </w:r>
      <w:r w:rsidR="008A3E12" w:rsidRPr="00E22714">
        <w:rPr>
          <w:rFonts w:ascii="Times New Roman" w:hAnsi="Times New Roman" w:cs="Times New Roman"/>
          <w:sz w:val="20"/>
        </w:rPr>
        <w:t>s are</w:t>
      </w:r>
      <w:r w:rsidRPr="00E22714">
        <w:rPr>
          <w:rFonts w:ascii="Times New Roman" w:hAnsi="Times New Roman" w:cs="Times New Roman"/>
          <w:sz w:val="20"/>
        </w:rPr>
        <w:t xml:space="preserve"> ‘wrong’ in the sense that </w:t>
      </w:r>
      <w:r w:rsidR="008A3E12" w:rsidRPr="00E22714">
        <w:rPr>
          <w:rFonts w:ascii="Times New Roman" w:hAnsi="Times New Roman" w:cs="Times New Roman"/>
          <w:sz w:val="20"/>
        </w:rPr>
        <w:t>they</w:t>
      </w:r>
      <w:r w:rsidRPr="00E22714">
        <w:rPr>
          <w:rFonts w:ascii="Times New Roman" w:hAnsi="Times New Roman" w:cs="Times New Roman"/>
          <w:sz w:val="20"/>
        </w:rPr>
        <w:t xml:space="preserve"> appl</w:t>
      </w:r>
      <w:r w:rsidR="008A3E12" w:rsidRPr="00E22714">
        <w:rPr>
          <w:rFonts w:ascii="Times New Roman" w:hAnsi="Times New Roman" w:cs="Times New Roman"/>
          <w:sz w:val="20"/>
        </w:rPr>
        <w:t>y</w:t>
      </w:r>
      <w:r w:rsidRPr="00E22714">
        <w:rPr>
          <w:rFonts w:ascii="Times New Roman" w:hAnsi="Times New Roman" w:cs="Times New Roman"/>
          <w:sz w:val="20"/>
        </w:rPr>
        <w:t xml:space="preserve"> projected mortality rates to observed population counts for a number of consecutive years, </w:t>
      </w:r>
      <w:r w:rsidRPr="00E22714">
        <w:rPr>
          <w:rFonts w:ascii="Times New Roman" w:hAnsi="Times New Roman" w:cs="Times New Roman"/>
          <w:sz w:val="20"/>
        </w:rPr>
        <w:lastRenderedPageBreak/>
        <w:t xml:space="preserve">and of course different mortality rates at any particular age would affect the number of people alive and thus exposed to the mortality rate of people one year older in the following year. However, we </w:t>
      </w:r>
      <w:r w:rsidR="008A3E12" w:rsidRPr="00E22714">
        <w:rPr>
          <w:rFonts w:ascii="Times New Roman" w:hAnsi="Times New Roman" w:cs="Times New Roman"/>
          <w:sz w:val="20"/>
        </w:rPr>
        <w:t xml:space="preserve">believe </w:t>
      </w:r>
      <w:r w:rsidR="001139AD" w:rsidRPr="00E22714">
        <w:rPr>
          <w:rFonts w:ascii="Times New Roman" w:hAnsi="Times New Roman" w:cs="Times New Roman"/>
          <w:sz w:val="20"/>
        </w:rPr>
        <w:t xml:space="preserve">our </w:t>
      </w:r>
      <w:r w:rsidRPr="00E22714">
        <w:rPr>
          <w:rFonts w:ascii="Times New Roman" w:hAnsi="Times New Roman" w:cs="Times New Roman"/>
          <w:sz w:val="20"/>
        </w:rPr>
        <w:t xml:space="preserve">approach is appropriate for aggregate quantification of harms or benefits, because otherwise sufficiently large premature mortality could give the impression that deleterious trends are actually positive. For example, if there were a sudden rise in deaths due to cardiovascular events </w:t>
      </w:r>
      <w:r w:rsidR="003126D0" w:rsidRPr="00E22714">
        <w:rPr>
          <w:rFonts w:ascii="Times New Roman" w:hAnsi="Times New Roman" w:cs="Times New Roman"/>
          <w:sz w:val="20"/>
        </w:rPr>
        <w:t>occurring in populations in their late sixties there may then be a fall in deaths due to cancer amongst people in their seventies a few years later</w:t>
      </w:r>
      <w:r w:rsidR="00CB02A4" w:rsidRPr="00E22714">
        <w:rPr>
          <w:rFonts w:ascii="Times New Roman" w:hAnsi="Times New Roman" w:cs="Times New Roman"/>
          <w:sz w:val="20"/>
        </w:rPr>
        <w:t xml:space="preserve"> as there would be fewer people left to be exposed to this risk; </w:t>
      </w:r>
      <w:r w:rsidR="003126D0" w:rsidRPr="00E22714">
        <w:rPr>
          <w:rFonts w:ascii="Times New Roman" w:hAnsi="Times New Roman" w:cs="Times New Roman"/>
          <w:sz w:val="20"/>
        </w:rPr>
        <w:t xml:space="preserve">this </w:t>
      </w:r>
      <w:r w:rsidR="008A3E12" w:rsidRPr="00E22714">
        <w:rPr>
          <w:rFonts w:ascii="Times New Roman" w:hAnsi="Times New Roman" w:cs="Times New Roman"/>
          <w:sz w:val="20"/>
        </w:rPr>
        <w:t xml:space="preserve">would </w:t>
      </w:r>
      <w:r w:rsidR="003126D0" w:rsidRPr="00E22714">
        <w:rPr>
          <w:rFonts w:ascii="Times New Roman" w:hAnsi="Times New Roman" w:cs="Times New Roman"/>
          <w:sz w:val="20"/>
        </w:rPr>
        <w:t xml:space="preserve">not be evidence of improvements in cancer treatment and care. </w:t>
      </w:r>
      <w:r w:rsidRPr="00E22714">
        <w:rPr>
          <w:rFonts w:ascii="Times New Roman" w:hAnsi="Times New Roman" w:cs="Times New Roman"/>
          <w:sz w:val="20"/>
        </w:rPr>
        <w:t xml:space="preserve">For similar reasons, we have not altered the population sizes exposed to age-specific mortality risks in each of the years, only the degree of risks such populations are exposed to at each age.  </w:t>
      </w:r>
    </w:p>
    <w:p w14:paraId="716CFC8E" w14:textId="18078D4D" w:rsidR="00265747" w:rsidRPr="00E22714" w:rsidRDefault="00265747" w:rsidP="00E22714">
      <w:pPr>
        <w:spacing w:line="240" w:lineRule="auto"/>
        <w:rPr>
          <w:rFonts w:ascii="Times New Roman" w:hAnsi="Times New Roman" w:cs="Times New Roman"/>
          <w:b/>
          <w:sz w:val="20"/>
        </w:rPr>
      </w:pPr>
      <w:r w:rsidRPr="00E22714">
        <w:rPr>
          <w:rFonts w:ascii="Times New Roman" w:hAnsi="Times New Roman" w:cs="Times New Roman"/>
          <w:b/>
          <w:sz w:val="20"/>
        </w:rPr>
        <w:t>Conclusion</w:t>
      </w:r>
    </w:p>
    <w:p w14:paraId="7AFD28A8" w14:textId="2FDB8D22" w:rsidR="00E22B24" w:rsidRPr="00E22714" w:rsidRDefault="00C5674C" w:rsidP="00E22714">
      <w:pPr>
        <w:spacing w:line="240" w:lineRule="auto"/>
        <w:rPr>
          <w:rFonts w:ascii="Times New Roman" w:hAnsi="Times New Roman" w:cs="Times New Roman"/>
          <w:sz w:val="20"/>
        </w:rPr>
      </w:pPr>
      <w:r w:rsidRPr="00E22714">
        <w:rPr>
          <w:rFonts w:ascii="Times New Roman" w:hAnsi="Times New Roman" w:cs="Times New Roman"/>
          <w:sz w:val="20"/>
        </w:rPr>
        <w:t xml:space="preserve">Overall, the model estimates suggest there has been a deleterious shift in ‘the fundamentals’ of mortality improvements, similar to that seen after 2008 in economic growth, and that this has resulted </w:t>
      </w:r>
      <w:r w:rsidR="00736234" w:rsidRPr="00E22714">
        <w:rPr>
          <w:rFonts w:ascii="Times New Roman" w:hAnsi="Times New Roman" w:cs="Times New Roman"/>
          <w:sz w:val="20"/>
        </w:rPr>
        <w:t xml:space="preserve">in </w:t>
      </w:r>
      <w:r w:rsidR="00420F9A" w:rsidRPr="00E22714">
        <w:rPr>
          <w:rFonts w:ascii="Times New Roman" w:hAnsi="Times New Roman" w:cs="Times New Roman"/>
          <w:sz w:val="20"/>
        </w:rPr>
        <w:t xml:space="preserve">many </w:t>
      </w:r>
      <w:r w:rsidRPr="00E22714">
        <w:rPr>
          <w:rFonts w:ascii="Times New Roman" w:hAnsi="Times New Roman" w:cs="Times New Roman"/>
          <w:sz w:val="20"/>
        </w:rPr>
        <w:t xml:space="preserve">more deaths that would otherwise have been expected. </w:t>
      </w:r>
      <w:r w:rsidR="00CB02A4" w:rsidRPr="00E22714">
        <w:rPr>
          <w:rFonts w:ascii="Times New Roman" w:hAnsi="Times New Roman" w:cs="Times New Roman"/>
          <w:sz w:val="20"/>
        </w:rPr>
        <w:t>But u</w:t>
      </w:r>
      <w:r w:rsidRPr="00E22714">
        <w:rPr>
          <w:rFonts w:ascii="Times New Roman" w:hAnsi="Times New Roman" w:cs="Times New Roman"/>
          <w:sz w:val="20"/>
        </w:rPr>
        <w:t>nlike the change to the fundamental of economic growth, which occurred after 2008, mortality trends worsened in England and Wales after 2012</w:t>
      </w:r>
      <w:r w:rsidR="00CB02A4" w:rsidRPr="00E22714">
        <w:rPr>
          <w:rFonts w:ascii="Times New Roman" w:hAnsi="Times New Roman" w:cs="Times New Roman"/>
          <w:sz w:val="20"/>
        </w:rPr>
        <w:t>, and have tended to become progressively worse each year since. Despite the relatively generous political support for pensions through the ‘Triple Lock’ guarantee, and the shockingly harsh increases in conditionality and sanctioning for recipients of working age unemployment s</w:t>
      </w:r>
      <w:r w:rsidR="00420F9A" w:rsidRPr="00E22714">
        <w:rPr>
          <w:rFonts w:ascii="Times New Roman" w:hAnsi="Times New Roman" w:cs="Times New Roman"/>
          <w:sz w:val="20"/>
        </w:rPr>
        <w:t>ocial security, it is amongst the elderly</w:t>
      </w:r>
      <w:r w:rsidR="00803A7F" w:rsidRPr="00E22714">
        <w:rPr>
          <w:rFonts w:ascii="Times New Roman" w:hAnsi="Times New Roman" w:cs="Times New Roman"/>
          <w:sz w:val="20"/>
        </w:rPr>
        <w:t>,</w:t>
      </w:r>
      <w:r w:rsidR="00420F9A" w:rsidRPr="00E22714">
        <w:rPr>
          <w:rFonts w:ascii="Times New Roman" w:hAnsi="Times New Roman" w:cs="Times New Roman"/>
          <w:sz w:val="20"/>
        </w:rPr>
        <w:t xml:space="preserve"> rather than working age</w:t>
      </w:r>
      <w:r w:rsidR="00803A7F" w:rsidRPr="00E22714">
        <w:rPr>
          <w:rFonts w:ascii="Times New Roman" w:hAnsi="Times New Roman" w:cs="Times New Roman"/>
          <w:sz w:val="20"/>
        </w:rPr>
        <w:t>,</w:t>
      </w:r>
      <w:r w:rsidR="00420F9A" w:rsidRPr="00E22714">
        <w:rPr>
          <w:rFonts w:ascii="Times New Roman" w:hAnsi="Times New Roman" w:cs="Times New Roman"/>
          <w:sz w:val="20"/>
        </w:rPr>
        <w:t xml:space="preserve"> that the human costs of worsening public service provision can be counted in additional deaths by the tens of </w:t>
      </w:r>
      <w:proofErr w:type="spellStart"/>
      <w:r w:rsidR="00420F9A" w:rsidRPr="00E22714">
        <w:rPr>
          <w:rFonts w:ascii="Times New Roman" w:hAnsi="Times New Roman" w:cs="Times New Roman"/>
          <w:sz w:val="20"/>
        </w:rPr>
        <w:t>thousand</w:t>
      </w:r>
      <w:proofErr w:type="spellEnd"/>
      <w:r w:rsidR="00420F9A" w:rsidRPr="00E22714">
        <w:rPr>
          <w:rFonts w:ascii="Times New Roman" w:hAnsi="Times New Roman" w:cs="Times New Roman"/>
          <w:sz w:val="20"/>
        </w:rPr>
        <w:t xml:space="preserve">. </w:t>
      </w:r>
    </w:p>
    <w:p w14:paraId="20ED7497" w14:textId="77777777" w:rsidR="00D80E19" w:rsidRPr="00E22714" w:rsidRDefault="00D80E19" w:rsidP="00E22714">
      <w:pPr>
        <w:spacing w:line="240" w:lineRule="auto"/>
        <w:rPr>
          <w:rFonts w:ascii="Times New Roman" w:hAnsi="Times New Roman" w:cs="Times New Roman"/>
        </w:rPr>
      </w:pPr>
    </w:p>
    <w:p w14:paraId="509E80B9" w14:textId="77777777" w:rsidR="00D80E19" w:rsidRPr="00E22714" w:rsidRDefault="00D80E19" w:rsidP="00E22714">
      <w:pPr>
        <w:spacing w:line="240" w:lineRule="auto"/>
        <w:rPr>
          <w:rFonts w:ascii="Times New Roman" w:eastAsiaTheme="majorEastAsia" w:hAnsi="Times New Roman" w:cs="Times New Roman"/>
          <w:color w:val="2E74B5" w:themeColor="accent1" w:themeShade="BF"/>
          <w:sz w:val="32"/>
          <w:szCs w:val="32"/>
        </w:rPr>
      </w:pPr>
      <w:r w:rsidRPr="00E22714">
        <w:rPr>
          <w:rFonts w:ascii="Times New Roman" w:hAnsi="Times New Roman" w:cs="Times New Roman"/>
        </w:rPr>
        <w:br w:type="page"/>
      </w:r>
    </w:p>
    <w:p w14:paraId="6BBD1810" w14:textId="77777777" w:rsidR="00D80E19" w:rsidRPr="00E22714" w:rsidRDefault="00D80E19" w:rsidP="00E22714">
      <w:pPr>
        <w:pStyle w:val="Heading1"/>
        <w:spacing w:line="240" w:lineRule="auto"/>
        <w:rPr>
          <w:rFonts w:ascii="Times New Roman" w:hAnsi="Times New Roman" w:cs="Times New Roman"/>
          <w:b/>
          <w:color w:val="auto"/>
          <w:sz w:val="24"/>
          <w:szCs w:val="24"/>
        </w:rPr>
      </w:pPr>
      <w:commentRangeStart w:id="2"/>
      <w:r w:rsidRPr="00E22714">
        <w:rPr>
          <w:rFonts w:ascii="Times New Roman" w:hAnsi="Times New Roman" w:cs="Times New Roman"/>
          <w:b/>
          <w:color w:val="auto"/>
          <w:sz w:val="24"/>
          <w:szCs w:val="24"/>
        </w:rPr>
        <w:lastRenderedPageBreak/>
        <w:t xml:space="preserve">References </w:t>
      </w:r>
      <w:commentRangeEnd w:id="2"/>
      <w:r w:rsidR="000B273E" w:rsidRPr="00E22714">
        <w:rPr>
          <w:rStyle w:val="CommentReference"/>
          <w:rFonts w:ascii="Times New Roman" w:eastAsiaTheme="minorHAnsi" w:hAnsi="Times New Roman" w:cs="Times New Roman"/>
          <w:b/>
          <w:color w:val="auto"/>
          <w:sz w:val="24"/>
          <w:szCs w:val="24"/>
        </w:rPr>
        <w:commentReference w:id="2"/>
      </w:r>
    </w:p>
    <w:p w14:paraId="50511C5E" w14:textId="77777777" w:rsidR="00D80E19" w:rsidRPr="00E22714" w:rsidRDefault="00D80E19" w:rsidP="00E22714">
      <w:pPr>
        <w:spacing w:line="240" w:lineRule="auto"/>
        <w:rPr>
          <w:rFonts w:ascii="Times New Roman" w:hAnsi="Times New Roman" w:cs="Times New Roman"/>
        </w:rPr>
      </w:pPr>
    </w:p>
    <w:p w14:paraId="2EAE9D0F" w14:textId="72DC0D79" w:rsidR="00111C57" w:rsidRPr="00111C57" w:rsidRDefault="001862B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E22714">
        <w:rPr>
          <w:rFonts w:ascii="Times New Roman" w:hAnsi="Times New Roman" w:cs="Times New Roman"/>
        </w:rPr>
        <w:fldChar w:fldCharType="begin" w:fldLock="1"/>
      </w:r>
      <w:r w:rsidRPr="00E22714">
        <w:rPr>
          <w:rFonts w:ascii="Times New Roman" w:hAnsi="Times New Roman" w:cs="Times New Roman"/>
        </w:rPr>
        <w:instrText xml:space="preserve">ADDIN Mendeley Bibliography CSL_BIBLIOGRAPHY </w:instrText>
      </w:r>
      <w:r w:rsidRPr="00E22714">
        <w:rPr>
          <w:rFonts w:ascii="Times New Roman" w:hAnsi="Times New Roman" w:cs="Times New Roman"/>
        </w:rPr>
        <w:fldChar w:fldCharType="separate"/>
      </w:r>
      <w:r w:rsidR="00111C57" w:rsidRPr="00111C57">
        <w:rPr>
          <w:rFonts w:ascii="Times New Roman" w:hAnsi="Times New Roman" w:cs="Times New Roman"/>
          <w:noProof/>
          <w:szCs w:val="24"/>
        </w:rPr>
        <w:t xml:space="preserve">1. </w:t>
      </w:r>
      <w:r w:rsidR="00111C57" w:rsidRPr="00111C57">
        <w:rPr>
          <w:rFonts w:ascii="Times New Roman" w:hAnsi="Times New Roman" w:cs="Times New Roman"/>
          <w:noProof/>
          <w:szCs w:val="24"/>
        </w:rPr>
        <w:tab/>
        <w:t>Loopstra R, McKee M, Katikireddi S V., Taylor-Robinson D, Barr B, Stuckler D. Austerity and old-age mortality in England: a longitudinal cross-local area analysis, 2007-2013. J R Soc Med [Internet]. 2016 Mar 1;109(3):109–16. Available from: http://jrs.sagepub.com/lookup/doi/10.1177/0141076816632215</w:t>
      </w:r>
    </w:p>
    <w:p w14:paraId="7BCC1BC4"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2. </w:t>
      </w:r>
      <w:r w:rsidRPr="00111C57">
        <w:rPr>
          <w:rFonts w:ascii="Times New Roman" w:hAnsi="Times New Roman" w:cs="Times New Roman"/>
          <w:noProof/>
          <w:szCs w:val="24"/>
        </w:rPr>
        <w:tab/>
        <w:t>Dorling D. Why are old people in Britain dying before their time? New Statesman [Internet]. 2014;34–8. Available from: http://www.newstatesman.com/politics/2014/02/why-are-old-people-britain-dying-their-time</w:t>
      </w:r>
    </w:p>
    <w:p w14:paraId="60522DCE"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3. </w:t>
      </w:r>
      <w:r w:rsidRPr="00111C57">
        <w:rPr>
          <w:rFonts w:ascii="Times New Roman" w:hAnsi="Times New Roman" w:cs="Times New Roman"/>
          <w:noProof/>
          <w:szCs w:val="24"/>
        </w:rPr>
        <w:tab/>
        <w:t>Public Health England. Recent trends in life expectancy at older ages [Internet]. London; 2015. Available from: https://www.gov.uk/government/uploads/system/uploads/attachment_data/file/403477/Recent_trends_in_life_expectancy_at_older_ages.pdf</w:t>
      </w:r>
    </w:p>
    <w:p w14:paraId="4BB41E90"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4. </w:t>
      </w:r>
      <w:r w:rsidRPr="00111C57">
        <w:rPr>
          <w:rFonts w:ascii="Times New Roman" w:hAnsi="Times New Roman" w:cs="Times New Roman"/>
          <w:noProof/>
          <w:szCs w:val="24"/>
        </w:rPr>
        <w:tab/>
        <w:t xml:space="preserve">Green M, Dorling D, Minton J. The Geography of a rapid rise in mortality in England and Wales, 2014-2015. 2016; </w:t>
      </w:r>
    </w:p>
    <w:p w14:paraId="58055546"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5. </w:t>
      </w:r>
      <w:r w:rsidRPr="00111C57">
        <w:rPr>
          <w:rFonts w:ascii="Times New Roman" w:hAnsi="Times New Roman" w:cs="Times New Roman"/>
          <w:noProof/>
          <w:szCs w:val="24"/>
        </w:rPr>
        <w:tab/>
        <w:t xml:space="preserve">Minton J, Shaw R, Green M, Vanderbloemen L, McCartney G, Pickett K. Two cheers for a small giant? Why we need better ways of seeing data. A commentary on: “Rising morbidity and mortality in midlife among white non-Hispanic (WNH) Americans in the 21st century.” Int J Epidemiol. 2016; </w:t>
      </w:r>
    </w:p>
    <w:p w14:paraId="5FA54BE6"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6. </w:t>
      </w:r>
      <w:r w:rsidRPr="00111C57">
        <w:rPr>
          <w:rFonts w:ascii="Times New Roman" w:hAnsi="Times New Roman" w:cs="Times New Roman"/>
          <w:noProof/>
          <w:szCs w:val="24"/>
        </w:rPr>
        <w:tab/>
        <w:t>Woolf SH, Johnson RE, Phillips RL, Philipsen M. Giving Everyone the Health of the Educated: An Examination of Whether Social Change Would Save More Lives Than Medical Advances. Am J Public Health [Internet]. 2007 Apr;97(4):679–83. Available from: http://ajph.aphapublications.org/doi/abs/10.2105/AJPH.2005.084848</w:t>
      </w:r>
    </w:p>
    <w:p w14:paraId="635D9EDA"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7. </w:t>
      </w:r>
      <w:r w:rsidRPr="00111C57">
        <w:rPr>
          <w:rFonts w:ascii="Times New Roman" w:hAnsi="Times New Roman" w:cs="Times New Roman"/>
          <w:noProof/>
          <w:szCs w:val="24"/>
        </w:rPr>
        <w:tab/>
        <w:t>Leon DA. Trends in European life expectancy: a salutary view. Int J Epidemiol [Internet]. 2011 Apr [cited 2012 Jul 13];40(2):271–7. Available from: http://www.ncbi.nlm.nih.gov/pubmed/21415000</w:t>
      </w:r>
    </w:p>
    <w:p w14:paraId="19A40B68"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8. </w:t>
      </w:r>
      <w:r w:rsidRPr="00111C57">
        <w:rPr>
          <w:rFonts w:ascii="Times New Roman" w:hAnsi="Times New Roman" w:cs="Times New Roman"/>
          <w:noProof/>
          <w:szCs w:val="24"/>
        </w:rPr>
        <w:tab/>
        <w:t>Human Mortality Database [Internet]. University of California, Berkeley (USA), and Max Plank Institute for Demographic Research (Germany). 2014. Available from: www.mortality.org</w:t>
      </w:r>
    </w:p>
    <w:p w14:paraId="45565213"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9. </w:t>
      </w:r>
      <w:r w:rsidRPr="00111C57">
        <w:rPr>
          <w:rFonts w:ascii="Times New Roman" w:hAnsi="Times New Roman" w:cs="Times New Roman"/>
          <w:noProof/>
          <w:szCs w:val="24"/>
        </w:rPr>
        <w:tab/>
        <w:t xml:space="preserve">Stuckler D, Basu S. The Body Economic: Eight experiments in economic recovery, from Iceland to Greece. London: Penguin; 2013. </w:t>
      </w:r>
    </w:p>
    <w:p w14:paraId="1B976CB6"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10. </w:t>
      </w:r>
      <w:r w:rsidRPr="00111C57">
        <w:rPr>
          <w:rFonts w:ascii="Times New Roman" w:hAnsi="Times New Roman" w:cs="Times New Roman"/>
          <w:noProof/>
          <w:szCs w:val="24"/>
        </w:rPr>
        <w:tab/>
        <w:t>Mills J. File containing number of death registrations by single year of age for England &amp; Wales and the UK 1961-2014; and Mid-year population estimates by single year of age for England &amp; Wales and the UK 1961-2014 [Internet]. 2015. Available from: https://www.ons.gov.uk/file?uri=/peoplepopulationandcommunity/populationandmigration/populationestimates/adhocs/005825populationestimatesforenglandandwales1961to2014singleyearofage0to105/ewuksyoadeathspopdata19612014cmifilevaluesforissue10122015.xls</w:t>
      </w:r>
    </w:p>
    <w:p w14:paraId="1B323260"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11. </w:t>
      </w:r>
      <w:r w:rsidRPr="00111C57">
        <w:rPr>
          <w:rFonts w:ascii="Times New Roman" w:hAnsi="Times New Roman" w:cs="Times New Roman"/>
          <w:noProof/>
          <w:szCs w:val="24"/>
        </w:rPr>
        <w:tab/>
        <w:t>ONS. UK Mid year estimates 2015 [Internet]. 2016. Available from: https://www.ons.gov.uk/file?uri=/peoplepopulationandcommunity/populationandmigration/populationestimates/datasets/populationestimatesforukenglandandwalesscotlandandnorthernireland/mid2015/ukmye2015.zip</w:t>
      </w:r>
    </w:p>
    <w:p w14:paraId="6FC33F73"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12. </w:t>
      </w:r>
      <w:r w:rsidRPr="00111C57">
        <w:rPr>
          <w:rFonts w:ascii="Times New Roman" w:hAnsi="Times New Roman" w:cs="Times New Roman"/>
          <w:noProof/>
          <w:szCs w:val="24"/>
        </w:rPr>
        <w:tab/>
        <w:t>Makeham WM. On the Law of Mortality and the Construction of Annuity Tables. Assur Mag J Inst Actuar [Internet]. Cambridge University Press on behalf of the Institute and Faculty of Actuaries; 1860 Jan 1;8(6):301–10. Available from: http://www.jstor.org/stable/41134925</w:t>
      </w:r>
    </w:p>
    <w:p w14:paraId="30660FEC"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13. </w:t>
      </w:r>
      <w:r w:rsidRPr="00111C57">
        <w:rPr>
          <w:rFonts w:ascii="Times New Roman" w:hAnsi="Times New Roman" w:cs="Times New Roman"/>
          <w:noProof/>
          <w:szCs w:val="24"/>
        </w:rPr>
        <w:tab/>
        <w:t xml:space="preserve">Newton JN, Briggs ADM, Murray CJL, Dicker D, Foreman KJ, Wang H, et al. Changes in health in England, with analysis by English regions and areas of deprivation, 1990–2013. </w:t>
      </w:r>
      <w:r w:rsidRPr="00111C57">
        <w:rPr>
          <w:rFonts w:ascii="Times New Roman" w:hAnsi="Times New Roman" w:cs="Times New Roman"/>
          <w:noProof/>
          <w:szCs w:val="24"/>
        </w:rPr>
        <w:lastRenderedPageBreak/>
        <w:t>Lancet [Internet]. 2015; Available from: http://www.pubmedcentral.nih.gov/articlerender.fcgi?artid=4672153&amp;tool=pmcentrez&amp;rendertype=abstract</w:t>
      </w:r>
    </w:p>
    <w:p w14:paraId="567D8F00"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14. </w:t>
      </w:r>
      <w:r w:rsidRPr="00111C57">
        <w:rPr>
          <w:rFonts w:ascii="Times New Roman" w:hAnsi="Times New Roman" w:cs="Times New Roman"/>
          <w:noProof/>
          <w:szCs w:val="24"/>
        </w:rPr>
        <w:tab/>
        <w:t>ONS. Measuring National well-being: Life in the UK: 2016 [Internet]. Available from: http://www.ons.gov.uk/peoplepopulationandcommunity/wellbeing/articles/measuringnationalwellbeing/2016</w:t>
      </w:r>
    </w:p>
    <w:p w14:paraId="29E3CAAB"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15. </w:t>
      </w:r>
      <w:r w:rsidRPr="00111C57">
        <w:rPr>
          <w:rFonts w:ascii="Times New Roman" w:hAnsi="Times New Roman" w:cs="Times New Roman"/>
          <w:noProof/>
          <w:szCs w:val="24"/>
        </w:rPr>
        <w:tab/>
        <w:t xml:space="preserve">Parkinson J, Minton J, Lewsey J, Bouttell J, McCartney G. Recent cohort effects in suicide in Scotland: a legacy of the 1980s? Under Rev. </w:t>
      </w:r>
    </w:p>
    <w:p w14:paraId="22E2C988"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16. </w:t>
      </w:r>
      <w:r w:rsidRPr="00111C57">
        <w:rPr>
          <w:rFonts w:ascii="Times New Roman" w:hAnsi="Times New Roman" w:cs="Times New Roman"/>
          <w:noProof/>
          <w:szCs w:val="24"/>
        </w:rPr>
        <w:tab/>
        <w:t>Lambie-Mumford H, Green MA. Austerity, welfare reform and the rising use of food banks by children in England and Wales. Area [Internet]. 2015 Oct;n/a-n/a. Available from: http://doi.wiley.com/10.1111/area.12233</w:t>
      </w:r>
    </w:p>
    <w:p w14:paraId="715A1DDA"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17. </w:t>
      </w:r>
      <w:r w:rsidRPr="00111C57">
        <w:rPr>
          <w:rFonts w:ascii="Times New Roman" w:hAnsi="Times New Roman" w:cs="Times New Roman"/>
          <w:noProof/>
          <w:szCs w:val="24"/>
        </w:rPr>
        <w:tab/>
        <w:t>Thurley D. State Pension uprating - 2010 onwards [Internet]. London; 2016. Report No.: SN-05649. Available from: http://researchbriefings.files.parliament.uk/documents/SN05649/SN05649.pdf</w:t>
      </w:r>
    </w:p>
    <w:p w14:paraId="29381DEC"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18. </w:t>
      </w:r>
      <w:r w:rsidRPr="00111C57">
        <w:rPr>
          <w:rFonts w:ascii="Times New Roman" w:hAnsi="Times New Roman" w:cs="Times New Roman"/>
          <w:noProof/>
          <w:szCs w:val="24"/>
        </w:rPr>
        <w:tab/>
        <w:t>Lafond S, Arora S, Charlesworth A, McKeon A. Into the red? The state of the NHS’ finances: An analysis of NHS expenditure between 2010 and 2014 [Internet]. 2014. Available from: http://www.nuffieldtrust.org.uk/sites/files/nuffield/publication/into-the-red-report.pdf</w:t>
      </w:r>
    </w:p>
    <w:p w14:paraId="68E0A599"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19. </w:t>
      </w:r>
      <w:r w:rsidRPr="00111C57">
        <w:rPr>
          <w:rFonts w:ascii="Times New Roman" w:hAnsi="Times New Roman" w:cs="Times New Roman"/>
          <w:noProof/>
          <w:szCs w:val="24"/>
        </w:rPr>
        <w:tab/>
        <w:t>Minton J, Vanderbloemen L, Dorling D. Visualizing Europe’s demographic scars with coplots and contour plots. Int J Epidemiol [Internet]. 2013;42(4):1164–76. Available from: http://ije.oxfordjournals.org/content/42/4/1164.full</w:t>
      </w:r>
    </w:p>
    <w:p w14:paraId="0D3DC7A3"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szCs w:val="24"/>
        </w:rPr>
      </w:pPr>
      <w:r w:rsidRPr="00111C57">
        <w:rPr>
          <w:rFonts w:ascii="Times New Roman" w:hAnsi="Times New Roman" w:cs="Times New Roman"/>
          <w:noProof/>
          <w:szCs w:val="24"/>
        </w:rPr>
        <w:t xml:space="preserve">20. </w:t>
      </w:r>
      <w:r w:rsidRPr="00111C57">
        <w:rPr>
          <w:rFonts w:ascii="Times New Roman" w:hAnsi="Times New Roman" w:cs="Times New Roman"/>
          <w:noProof/>
          <w:szCs w:val="24"/>
        </w:rPr>
        <w:tab/>
        <w:t>McCartney G, Bouttell J, Craig N, Craig P, Graham L, Lakha F, et al. Explaining trends in alcohol-related harms in Scotland, 1991–2011 (I): the role of incomes, effects of socio-economic and political adversity and demographic change. Public Health [Internet]. 2016 Mar;132:13–23. Available from: http://linkinghub.elsevier.com/retrieve/pii/S0033350615005314</w:t>
      </w:r>
    </w:p>
    <w:p w14:paraId="16205EA8" w14:textId="77777777" w:rsidR="00111C57" w:rsidRPr="00111C57" w:rsidRDefault="00111C57" w:rsidP="00111C57">
      <w:pPr>
        <w:widowControl w:val="0"/>
        <w:autoSpaceDE w:val="0"/>
        <w:autoSpaceDN w:val="0"/>
        <w:adjustRightInd w:val="0"/>
        <w:spacing w:line="240" w:lineRule="auto"/>
        <w:ind w:left="640" w:hanging="640"/>
        <w:rPr>
          <w:rFonts w:ascii="Times New Roman" w:hAnsi="Times New Roman" w:cs="Times New Roman"/>
          <w:noProof/>
        </w:rPr>
      </w:pPr>
      <w:r w:rsidRPr="00111C57">
        <w:rPr>
          <w:rFonts w:ascii="Times New Roman" w:hAnsi="Times New Roman" w:cs="Times New Roman"/>
          <w:noProof/>
          <w:szCs w:val="24"/>
        </w:rPr>
        <w:t xml:space="preserve">21. </w:t>
      </w:r>
      <w:r w:rsidRPr="00111C57">
        <w:rPr>
          <w:rFonts w:ascii="Times New Roman" w:hAnsi="Times New Roman" w:cs="Times New Roman"/>
          <w:noProof/>
          <w:szCs w:val="24"/>
        </w:rPr>
        <w:tab/>
        <w:t>Box GEP. Science and Statistics. J Am Stat Assoc [Internet]. 1976 Dec;71(356):791–9. Available from: http://www.tandfonline.com/doi/abs/10.1080/01621459.1976.10480949</w:t>
      </w:r>
    </w:p>
    <w:p w14:paraId="1D1C0074" w14:textId="77777777" w:rsidR="00D80E19" w:rsidRPr="00E22714" w:rsidRDefault="001862B7" w:rsidP="00E22714">
      <w:pPr>
        <w:spacing w:line="240" w:lineRule="auto"/>
        <w:rPr>
          <w:rFonts w:ascii="Times New Roman" w:hAnsi="Times New Roman" w:cs="Times New Roman"/>
        </w:rPr>
      </w:pPr>
      <w:r w:rsidRPr="00E22714">
        <w:rPr>
          <w:rFonts w:ascii="Times New Roman" w:hAnsi="Times New Roman" w:cs="Times New Roman"/>
        </w:rPr>
        <w:fldChar w:fldCharType="end"/>
      </w:r>
    </w:p>
    <w:p w14:paraId="564A2354" w14:textId="6D9DF9BA" w:rsidR="00D80E19" w:rsidRPr="00E22714" w:rsidRDefault="00D80E19" w:rsidP="00E22714">
      <w:pPr>
        <w:spacing w:line="240" w:lineRule="auto"/>
        <w:rPr>
          <w:rFonts w:ascii="Times New Roman" w:eastAsiaTheme="majorEastAsia" w:hAnsi="Times New Roman" w:cs="Times New Roman"/>
          <w:color w:val="2E74B5" w:themeColor="accent1" w:themeShade="BF"/>
          <w:sz w:val="32"/>
          <w:szCs w:val="32"/>
        </w:rPr>
      </w:pPr>
    </w:p>
    <w:sectPr w:rsidR="00D80E19" w:rsidRPr="00E22714" w:rsidSect="00111C57">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reen, Mark" w:date="2016-10-07T16:13:00Z" w:initials="GM">
    <w:p w14:paraId="1FC6E80F" w14:textId="3B36399D" w:rsidR="00111C57" w:rsidRDefault="00111C57">
      <w:pPr>
        <w:pStyle w:val="CommentText"/>
      </w:pPr>
      <w:r>
        <w:rPr>
          <w:rStyle w:val="CommentReference"/>
        </w:rPr>
        <w:annotationRef/>
      </w:r>
      <w:r>
        <w:t>Does this belong here?</w:t>
      </w:r>
    </w:p>
  </w:comment>
  <w:comment w:id="2" w:author="Green, Mark" w:date="2016-10-07T16:19:00Z" w:initials="GM">
    <w:p w14:paraId="34FCE06C" w14:textId="35EE17F1" w:rsidR="00111C57" w:rsidRDefault="00111C57">
      <w:pPr>
        <w:pStyle w:val="CommentText"/>
      </w:pPr>
      <w:r>
        <w:rPr>
          <w:rStyle w:val="CommentReference"/>
        </w:rPr>
        <w:annotationRef/>
      </w:r>
      <w:r>
        <w:t xml:space="preserve">Don’t forget to reference to </w:t>
      </w:r>
      <w:proofErr w:type="spellStart"/>
      <w:r>
        <w:t>SocARXIV</w:t>
      </w:r>
      <w:proofErr w:type="spellEnd"/>
      <w:r>
        <w:t xml:space="preserve"> (</w:t>
      </w:r>
      <w:hyperlink r:id="rId1" w:history="1">
        <w:r w:rsidRPr="00E11EF5">
          <w:rPr>
            <w:rStyle w:val="Hyperlink"/>
          </w:rPr>
          <w:t>https://osf.io/9g378/</w:t>
        </w:r>
      </w:hyperlink>
      <w:r>
        <w:t>) for our paper pare (ref 4) especially since it was your idea!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C6E80F" w15:done="0"/>
  <w15:commentEx w15:paraId="34FCE06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A33AB" w14:textId="77777777" w:rsidR="000C3871" w:rsidRDefault="000C3871" w:rsidP="008F0C36">
      <w:pPr>
        <w:spacing w:after="0" w:line="240" w:lineRule="auto"/>
      </w:pPr>
      <w:r>
        <w:separator/>
      </w:r>
    </w:p>
  </w:endnote>
  <w:endnote w:type="continuationSeparator" w:id="0">
    <w:p w14:paraId="67C23AEF" w14:textId="77777777" w:rsidR="000C3871" w:rsidRDefault="000C3871" w:rsidP="008F0C36">
      <w:pPr>
        <w:spacing w:after="0" w:line="240" w:lineRule="auto"/>
      </w:pPr>
      <w:r>
        <w:continuationSeparator/>
      </w:r>
    </w:p>
  </w:endnote>
  <w:endnote w:type="continuationNotice" w:id="1">
    <w:p w14:paraId="5C639DC0" w14:textId="77777777" w:rsidR="000C3871" w:rsidRDefault="000C38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079392"/>
      <w:docPartObj>
        <w:docPartGallery w:val="Page Numbers (Bottom of Page)"/>
        <w:docPartUnique/>
      </w:docPartObj>
    </w:sdtPr>
    <w:sdtEndPr>
      <w:rPr>
        <w:noProof/>
      </w:rPr>
    </w:sdtEndPr>
    <w:sdtContent>
      <w:p w14:paraId="785833B5" w14:textId="16820887" w:rsidR="00111C57" w:rsidRDefault="00111C57">
        <w:pPr>
          <w:pStyle w:val="Footer"/>
          <w:jc w:val="center"/>
        </w:pPr>
        <w:r>
          <w:fldChar w:fldCharType="begin"/>
        </w:r>
        <w:r>
          <w:instrText xml:space="preserve"> PAGE   \* MERGEFORMAT </w:instrText>
        </w:r>
        <w:r>
          <w:fldChar w:fldCharType="separate"/>
        </w:r>
        <w:r w:rsidR="005C403A">
          <w:rPr>
            <w:noProof/>
          </w:rPr>
          <w:t>4</w:t>
        </w:r>
        <w:r>
          <w:rPr>
            <w:noProof/>
          </w:rPr>
          <w:fldChar w:fldCharType="end"/>
        </w:r>
      </w:p>
    </w:sdtContent>
  </w:sdt>
  <w:p w14:paraId="225FBFF0" w14:textId="77777777" w:rsidR="00111C57" w:rsidRDefault="00111C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1B648D" w14:textId="77777777" w:rsidR="000C3871" w:rsidRDefault="000C3871" w:rsidP="008F0C36">
      <w:pPr>
        <w:spacing w:after="0" w:line="240" w:lineRule="auto"/>
      </w:pPr>
      <w:r>
        <w:separator/>
      </w:r>
    </w:p>
  </w:footnote>
  <w:footnote w:type="continuationSeparator" w:id="0">
    <w:p w14:paraId="3EDA65B7" w14:textId="77777777" w:rsidR="000C3871" w:rsidRDefault="000C3871" w:rsidP="008F0C36">
      <w:pPr>
        <w:spacing w:after="0" w:line="240" w:lineRule="auto"/>
      </w:pPr>
      <w:r>
        <w:continuationSeparator/>
      </w:r>
    </w:p>
  </w:footnote>
  <w:footnote w:type="continuationNotice" w:id="1">
    <w:p w14:paraId="653CCA0B" w14:textId="77777777" w:rsidR="000C3871" w:rsidRDefault="000C387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77EFE" w14:textId="77777777" w:rsidR="00111C57" w:rsidRDefault="00111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4418E"/>
    <w:multiLevelType w:val="hybridMultilevel"/>
    <w:tmpl w:val="B4D03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en, Mark">
    <w15:presenceInfo w15:providerId="AD" w15:userId="S-1-5-21-137024685-2204166116-4157399963-348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D9E"/>
    <w:rsid w:val="00014B1F"/>
    <w:rsid w:val="00014F0F"/>
    <w:rsid w:val="00016584"/>
    <w:rsid w:val="00071F07"/>
    <w:rsid w:val="00073D67"/>
    <w:rsid w:val="00075CB9"/>
    <w:rsid w:val="00076DDE"/>
    <w:rsid w:val="00085EB6"/>
    <w:rsid w:val="00091E17"/>
    <w:rsid w:val="000A579F"/>
    <w:rsid w:val="000B273E"/>
    <w:rsid w:val="000B27ED"/>
    <w:rsid w:val="000C3871"/>
    <w:rsid w:val="000D55B1"/>
    <w:rsid w:val="00111C57"/>
    <w:rsid w:val="001139AD"/>
    <w:rsid w:val="0011555F"/>
    <w:rsid w:val="0013694A"/>
    <w:rsid w:val="00137271"/>
    <w:rsid w:val="00146EAA"/>
    <w:rsid w:val="0018105E"/>
    <w:rsid w:val="001862B7"/>
    <w:rsid w:val="001D686D"/>
    <w:rsid w:val="001D7D9E"/>
    <w:rsid w:val="0020496D"/>
    <w:rsid w:val="002074F1"/>
    <w:rsid w:val="00223EF3"/>
    <w:rsid w:val="00230C74"/>
    <w:rsid w:val="002424F4"/>
    <w:rsid w:val="00255549"/>
    <w:rsid w:val="00265747"/>
    <w:rsid w:val="0027163A"/>
    <w:rsid w:val="0029193A"/>
    <w:rsid w:val="002C4DFE"/>
    <w:rsid w:val="002E27FD"/>
    <w:rsid w:val="002E2937"/>
    <w:rsid w:val="002F1EB9"/>
    <w:rsid w:val="00305EB9"/>
    <w:rsid w:val="003126D0"/>
    <w:rsid w:val="00335AD5"/>
    <w:rsid w:val="00360F11"/>
    <w:rsid w:val="003779CB"/>
    <w:rsid w:val="003C472A"/>
    <w:rsid w:val="00420F9A"/>
    <w:rsid w:val="00424B52"/>
    <w:rsid w:val="00436D09"/>
    <w:rsid w:val="00445B0B"/>
    <w:rsid w:val="00455A1A"/>
    <w:rsid w:val="00455D91"/>
    <w:rsid w:val="004578B7"/>
    <w:rsid w:val="00466E1B"/>
    <w:rsid w:val="004722A5"/>
    <w:rsid w:val="00487107"/>
    <w:rsid w:val="004A2A80"/>
    <w:rsid w:val="004A7E39"/>
    <w:rsid w:val="004B259F"/>
    <w:rsid w:val="004C372C"/>
    <w:rsid w:val="004D5091"/>
    <w:rsid w:val="004F376E"/>
    <w:rsid w:val="004F5839"/>
    <w:rsid w:val="00504956"/>
    <w:rsid w:val="00510F95"/>
    <w:rsid w:val="00521040"/>
    <w:rsid w:val="00530909"/>
    <w:rsid w:val="00540164"/>
    <w:rsid w:val="005421AD"/>
    <w:rsid w:val="00550D00"/>
    <w:rsid w:val="0055282F"/>
    <w:rsid w:val="00560035"/>
    <w:rsid w:val="00574224"/>
    <w:rsid w:val="0057497B"/>
    <w:rsid w:val="005856B2"/>
    <w:rsid w:val="00587573"/>
    <w:rsid w:val="005B12E3"/>
    <w:rsid w:val="005C403A"/>
    <w:rsid w:val="005D0BC1"/>
    <w:rsid w:val="0060192B"/>
    <w:rsid w:val="00602B76"/>
    <w:rsid w:val="006112F4"/>
    <w:rsid w:val="00626377"/>
    <w:rsid w:val="0063324F"/>
    <w:rsid w:val="00656B3F"/>
    <w:rsid w:val="00671E81"/>
    <w:rsid w:val="00672EC6"/>
    <w:rsid w:val="00683C38"/>
    <w:rsid w:val="00691A2E"/>
    <w:rsid w:val="006B38EC"/>
    <w:rsid w:val="006C3C37"/>
    <w:rsid w:val="006D0954"/>
    <w:rsid w:val="006E0B54"/>
    <w:rsid w:val="006E2A99"/>
    <w:rsid w:val="006E34A9"/>
    <w:rsid w:val="006F3E68"/>
    <w:rsid w:val="00735CC9"/>
    <w:rsid w:val="00736234"/>
    <w:rsid w:val="007405AE"/>
    <w:rsid w:val="00747C48"/>
    <w:rsid w:val="00776936"/>
    <w:rsid w:val="007818D4"/>
    <w:rsid w:val="007846F6"/>
    <w:rsid w:val="007870EB"/>
    <w:rsid w:val="007A2D73"/>
    <w:rsid w:val="0080204B"/>
    <w:rsid w:val="00803A7F"/>
    <w:rsid w:val="00812161"/>
    <w:rsid w:val="00815060"/>
    <w:rsid w:val="00830A6C"/>
    <w:rsid w:val="008347BD"/>
    <w:rsid w:val="00842123"/>
    <w:rsid w:val="00893259"/>
    <w:rsid w:val="008A3E12"/>
    <w:rsid w:val="008C441F"/>
    <w:rsid w:val="008D06C0"/>
    <w:rsid w:val="008D2BF0"/>
    <w:rsid w:val="008D618D"/>
    <w:rsid w:val="008E510C"/>
    <w:rsid w:val="008F0C36"/>
    <w:rsid w:val="00905B97"/>
    <w:rsid w:val="00906C3A"/>
    <w:rsid w:val="00910EF2"/>
    <w:rsid w:val="00923071"/>
    <w:rsid w:val="00924B11"/>
    <w:rsid w:val="00951C3C"/>
    <w:rsid w:val="00962428"/>
    <w:rsid w:val="009674C6"/>
    <w:rsid w:val="00981ADB"/>
    <w:rsid w:val="009866A2"/>
    <w:rsid w:val="00993C33"/>
    <w:rsid w:val="009B47F3"/>
    <w:rsid w:val="009C6742"/>
    <w:rsid w:val="009D47DA"/>
    <w:rsid w:val="00A20A14"/>
    <w:rsid w:val="00A42E90"/>
    <w:rsid w:val="00A432E5"/>
    <w:rsid w:val="00A56C32"/>
    <w:rsid w:val="00A71467"/>
    <w:rsid w:val="00A8037D"/>
    <w:rsid w:val="00AC7DA4"/>
    <w:rsid w:val="00AF3184"/>
    <w:rsid w:val="00B14C65"/>
    <w:rsid w:val="00B279B3"/>
    <w:rsid w:val="00B43A0B"/>
    <w:rsid w:val="00B51CB3"/>
    <w:rsid w:val="00B64833"/>
    <w:rsid w:val="00B801AF"/>
    <w:rsid w:val="00B97354"/>
    <w:rsid w:val="00BF538E"/>
    <w:rsid w:val="00C40FC7"/>
    <w:rsid w:val="00C4295E"/>
    <w:rsid w:val="00C5674C"/>
    <w:rsid w:val="00C753FB"/>
    <w:rsid w:val="00C82AF3"/>
    <w:rsid w:val="00C93B83"/>
    <w:rsid w:val="00CB02A4"/>
    <w:rsid w:val="00CD5658"/>
    <w:rsid w:val="00CE0B2C"/>
    <w:rsid w:val="00CF3304"/>
    <w:rsid w:val="00D00C28"/>
    <w:rsid w:val="00D076AC"/>
    <w:rsid w:val="00D1519A"/>
    <w:rsid w:val="00D80E19"/>
    <w:rsid w:val="00DA26E4"/>
    <w:rsid w:val="00DA2EEA"/>
    <w:rsid w:val="00DD52D5"/>
    <w:rsid w:val="00E062EE"/>
    <w:rsid w:val="00E10AAF"/>
    <w:rsid w:val="00E13702"/>
    <w:rsid w:val="00E22714"/>
    <w:rsid w:val="00E22B24"/>
    <w:rsid w:val="00E273AE"/>
    <w:rsid w:val="00E323A4"/>
    <w:rsid w:val="00E3557A"/>
    <w:rsid w:val="00E6003F"/>
    <w:rsid w:val="00E92F54"/>
    <w:rsid w:val="00EC5EAE"/>
    <w:rsid w:val="00EE2A97"/>
    <w:rsid w:val="00EF02BD"/>
    <w:rsid w:val="00F33EBB"/>
    <w:rsid w:val="00F61151"/>
    <w:rsid w:val="00F712B2"/>
    <w:rsid w:val="00F725D4"/>
    <w:rsid w:val="00F82EEE"/>
    <w:rsid w:val="00F843BF"/>
    <w:rsid w:val="00F95600"/>
    <w:rsid w:val="00FB305E"/>
    <w:rsid w:val="00FF4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CA5FD8"/>
  <w15:docId w15:val="{F27B9C36-6A6F-43AE-A27B-7A433A46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E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53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21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E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753F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910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0EF2"/>
    <w:rPr>
      <w:sz w:val="16"/>
      <w:szCs w:val="16"/>
    </w:rPr>
  </w:style>
  <w:style w:type="paragraph" w:styleId="CommentText">
    <w:name w:val="annotation text"/>
    <w:basedOn w:val="Normal"/>
    <w:link w:val="CommentTextChar"/>
    <w:uiPriority w:val="99"/>
    <w:semiHidden/>
    <w:unhideWhenUsed/>
    <w:rsid w:val="00910EF2"/>
    <w:pPr>
      <w:spacing w:line="240" w:lineRule="auto"/>
    </w:pPr>
    <w:rPr>
      <w:sz w:val="20"/>
      <w:szCs w:val="20"/>
    </w:rPr>
  </w:style>
  <w:style w:type="character" w:customStyle="1" w:styleId="CommentTextChar">
    <w:name w:val="Comment Text Char"/>
    <w:basedOn w:val="DefaultParagraphFont"/>
    <w:link w:val="CommentText"/>
    <w:uiPriority w:val="99"/>
    <w:semiHidden/>
    <w:rsid w:val="00910EF2"/>
    <w:rPr>
      <w:sz w:val="20"/>
      <w:szCs w:val="20"/>
    </w:rPr>
  </w:style>
  <w:style w:type="paragraph" w:styleId="BalloonText">
    <w:name w:val="Balloon Text"/>
    <w:basedOn w:val="Normal"/>
    <w:link w:val="BalloonTextChar"/>
    <w:uiPriority w:val="99"/>
    <w:semiHidden/>
    <w:unhideWhenUsed/>
    <w:rsid w:val="00910E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F2"/>
    <w:rPr>
      <w:rFonts w:ascii="Segoe UI" w:hAnsi="Segoe UI" w:cs="Segoe UI"/>
      <w:sz w:val="18"/>
      <w:szCs w:val="18"/>
    </w:rPr>
  </w:style>
  <w:style w:type="paragraph" w:styleId="ListParagraph">
    <w:name w:val="List Paragraph"/>
    <w:basedOn w:val="Normal"/>
    <w:uiPriority w:val="34"/>
    <w:qFormat/>
    <w:rsid w:val="00981ADB"/>
    <w:pPr>
      <w:ind w:left="720"/>
      <w:contextualSpacing/>
    </w:pPr>
  </w:style>
  <w:style w:type="paragraph" w:styleId="Caption">
    <w:name w:val="caption"/>
    <w:basedOn w:val="Normal"/>
    <w:next w:val="Normal"/>
    <w:uiPriority w:val="35"/>
    <w:unhideWhenUsed/>
    <w:qFormat/>
    <w:rsid w:val="00E323A4"/>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924B11"/>
    <w:rPr>
      <w:b/>
      <w:bCs/>
    </w:rPr>
  </w:style>
  <w:style w:type="character" w:customStyle="1" w:styleId="CommentSubjectChar">
    <w:name w:val="Comment Subject Char"/>
    <w:basedOn w:val="CommentTextChar"/>
    <w:link w:val="CommentSubject"/>
    <w:uiPriority w:val="99"/>
    <w:semiHidden/>
    <w:rsid w:val="00924B11"/>
    <w:rPr>
      <w:b/>
      <w:bCs/>
      <w:sz w:val="20"/>
      <w:szCs w:val="20"/>
    </w:rPr>
  </w:style>
  <w:style w:type="paragraph" w:styleId="FootnoteText">
    <w:name w:val="footnote text"/>
    <w:basedOn w:val="Normal"/>
    <w:link w:val="FootnoteTextChar"/>
    <w:uiPriority w:val="99"/>
    <w:semiHidden/>
    <w:unhideWhenUsed/>
    <w:rsid w:val="008F0C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0C36"/>
    <w:rPr>
      <w:sz w:val="20"/>
      <w:szCs w:val="20"/>
    </w:rPr>
  </w:style>
  <w:style w:type="character" w:styleId="FootnoteReference">
    <w:name w:val="footnote reference"/>
    <w:basedOn w:val="DefaultParagraphFont"/>
    <w:uiPriority w:val="99"/>
    <w:semiHidden/>
    <w:unhideWhenUsed/>
    <w:rsid w:val="008F0C36"/>
    <w:rPr>
      <w:vertAlign w:val="superscript"/>
    </w:rPr>
  </w:style>
  <w:style w:type="paragraph" w:styleId="Revision">
    <w:name w:val="Revision"/>
    <w:hidden/>
    <w:uiPriority w:val="99"/>
    <w:semiHidden/>
    <w:rsid w:val="00E3557A"/>
    <w:pPr>
      <w:spacing w:after="0" w:line="240" w:lineRule="auto"/>
    </w:pPr>
  </w:style>
  <w:style w:type="character" w:customStyle="1" w:styleId="Heading3Char">
    <w:name w:val="Heading 3 Char"/>
    <w:basedOn w:val="DefaultParagraphFont"/>
    <w:link w:val="Heading3"/>
    <w:uiPriority w:val="9"/>
    <w:rsid w:val="0084212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7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DDE"/>
  </w:style>
  <w:style w:type="paragraph" w:styleId="Footer">
    <w:name w:val="footer"/>
    <w:basedOn w:val="Normal"/>
    <w:link w:val="FooterChar"/>
    <w:uiPriority w:val="99"/>
    <w:unhideWhenUsed/>
    <w:rsid w:val="0007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DDE"/>
  </w:style>
  <w:style w:type="character" w:styleId="LineNumber">
    <w:name w:val="line number"/>
    <w:basedOn w:val="DefaultParagraphFont"/>
    <w:uiPriority w:val="99"/>
    <w:semiHidden/>
    <w:unhideWhenUsed/>
    <w:rsid w:val="00076DDE"/>
  </w:style>
  <w:style w:type="character" w:styleId="Hyperlink">
    <w:name w:val="Hyperlink"/>
    <w:basedOn w:val="DefaultParagraphFont"/>
    <w:uiPriority w:val="99"/>
    <w:unhideWhenUsed/>
    <w:rsid w:val="007405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501023">
      <w:bodyDiv w:val="1"/>
      <w:marLeft w:val="0"/>
      <w:marRight w:val="0"/>
      <w:marTop w:val="0"/>
      <w:marBottom w:val="0"/>
      <w:divBdr>
        <w:top w:val="none" w:sz="0" w:space="0" w:color="auto"/>
        <w:left w:val="none" w:sz="0" w:space="0" w:color="auto"/>
        <w:bottom w:val="none" w:sz="0" w:space="0" w:color="auto"/>
        <w:right w:val="none" w:sz="0" w:space="0" w:color="auto"/>
      </w:divBdr>
    </w:div>
    <w:div w:id="812648086">
      <w:bodyDiv w:val="1"/>
      <w:marLeft w:val="0"/>
      <w:marRight w:val="0"/>
      <w:marTop w:val="0"/>
      <w:marBottom w:val="0"/>
      <w:divBdr>
        <w:top w:val="none" w:sz="0" w:space="0" w:color="auto"/>
        <w:left w:val="none" w:sz="0" w:space="0" w:color="auto"/>
        <w:bottom w:val="none" w:sz="0" w:space="0" w:color="auto"/>
        <w:right w:val="none" w:sz="0" w:space="0" w:color="auto"/>
      </w:divBdr>
    </w:div>
    <w:div w:id="1507593855">
      <w:bodyDiv w:val="1"/>
      <w:marLeft w:val="0"/>
      <w:marRight w:val="0"/>
      <w:marTop w:val="0"/>
      <w:marBottom w:val="0"/>
      <w:divBdr>
        <w:top w:val="none" w:sz="0" w:space="0" w:color="auto"/>
        <w:left w:val="none" w:sz="0" w:space="0" w:color="auto"/>
        <w:bottom w:val="none" w:sz="0" w:space="0" w:color="auto"/>
        <w:right w:val="none" w:sz="0" w:space="0" w:color="auto"/>
      </w:divBdr>
    </w:div>
    <w:div w:id="1594973984">
      <w:bodyDiv w:val="1"/>
      <w:marLeft w:val="0"/>
      <w:marRight w:val="0"/>
      <w:marTop w:val="0"/>
      <w:marBottom w:val="0"/>
      <w:divBdr>
        <w:top w:val="none" w:sz="0" w:space="0" w:color="auto"/>
        <w:left w:val="none" w:sz="0" w:space="0" w:color="auto"/>
        <w:bottom w:val="none" w:sz="0" w:space="0" w:color="auto"/>
        <w:right w:val="none" w:sz="0" w:space="0" w:color="auto"/>
      </w:divBdr>
    </w:div>
    <w:div w:id="211165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sf.io/9g37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ADE98-1A6F-4DC7-B565-1E0AAC66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10943</Words>
  <Characters>62380</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73177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Minton</dc:creator>
  <cp:lastModifiedBy>Jonathan Minton</cp:lastModifiedBy>
  <cp:revision>5</cp:revision>
  <dcterms:created xsi:type="dcterms:W3CDTF">2016-10-09T14:36:00Z</dcterms:created>
  <dcterms:modified xsi:type="dcterms:W3CDTF">2016-10-10T16:45:00Z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http://www.zotero.org/styles/environment-and-planning-a</vt:lpwstr>
  </property>
  <property fmtid="{D5CDD505-2E9C-101B-9397-08002B2CF9AE}" pid="11" name="Mendeley Recent Style Name 3_1">
    <vt:lpwstr>Environment and Planning A</vt:lpwstr>
  </property>
  <property fmtid="{D5CDD505-2E9C-101B-9397-08002B2CF9AE}" pid="12" name="Mendeley Recent Style Id 4_1">
    <vt:lpwstr>http://www.zotero.org/styles/european-journal-of-epidemiology</vt:lpwstr>
  </property>
  <property fmtid="{D5CDD505-2E9C-101B-9397-08002B2CF9AE}" pid="13" name="Mendeley Recent Style Name 4_1">
    <vt:lpwstr>European Journal of Epidemiology</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http://www.zotero.org/styles/journal-of-epidemiology-and-community-health</vt:lpwstr>
  </property>
  <property fmtid="{D5CDD505-2E9C-101B-9397-08002B2CF9AE}" pid="17" name="Mendeley Recent Style Name 6_1">
    <vt:lpwstr>Journal of Epidemiology and Community Health</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http://www.zotero.org/styles/vancouver</vt:lpwstr>
  </property>
  <property fmtid="{D5CDD505-2E9C-101B-9397-08002B2CF9AE}" pid="23" name="Mendeley Recent Style Name 9_1">
    <vt:lpwstr>Vancouver</vt:lpwstr>
  </property>
  <property fmtid="{D5CDD505-2E9C-101B-9397-08002B2CF9AE}" pid="24" name="Mendeley Unique User Id_1">
    <vt:lpwstr>e8453a48-ceaf-3d0c-b380-7da2e09f5b65</vt:lpwstr>
  </property>
</Properties>
</file>