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(ie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there any online appendix we could link to? Would it be ok to include in image a link to colour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sub-issue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[rethink the ‘public’ aspect of public transport?] – implications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(Under-utilisation of assets relative to full capacity; more self-driving cars?). Active travel and greater longevity</w:t>
      </w:r>
    </w:p>
    <w:p w:rsidR="001F2C87" w:rsidRDefault="004F43FC" w:rsidP="004F43FC">
      <w:pPr>
        <w:pStyle w:val="Heading1"/>
      </w:pPr>
      <w:r>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behaviours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licence, and the propensity, amongst those licenced to drive, to own a car and drive on a daily basis. </w:t>
      </w:r>
    </w:p>
    <w:p w:rsidR="002072E0" w:rsidRDefault="002072E0"/>
    <w:p w:rsidR="001F2C87" w:rsidRDefault="00180376">
      <w:r>
        <w:t>The concept of critical periods in a life course perspective highlights the importance of understanding the conditions which people are exposed to at key life course stages. Exposure to favourable conditions during a cri</w:t>
      </w:r>
      <w:r w:rsidR="002F4F58">
        <w:t xml:space="preserve">tical period can help ensure a positive transition leading to better outcomes at all subsequent stages in the lifecourse; conversely poor conditions during a critical period can lead to individuals setting off on a much less favourable lifecourse trajectory. The concept of critical period within the life course can therefore provide important insights into two related substantive issues: firstly, the many differences in behaviour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2072E0" w:rsidRDefault="002072E0"/>
    <w:p w:rsidR="00CA181D" w:rsidRDefault="00620416">
      <w:r>
        <w:t xml:space="preserve">In the UK, as in much of the rest of the affluent world, the acts of learning to drive, acquiring a driving licence, and subsequently owning a car and adopting a car-dependent lifestyle, all </w:t>
      </w:r>
      <w:r>
        <w:lastRenderedPageBreak/>
        <w:t xml:space="preserve">tend to begin around the critical period of the transition from childhood to adulthood, with the 17 the age at which people can first apply for, take, and potentially pass, a driving licence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A713B0" w:rsidRDefault="00A713B0"/>
    <w:p w:rsidR="00CA181D" w:rsidRDefault="00CA181D">
      <w:r>
        <w:t>We also argue that placing an emphasis on childhood-to-adulthood as a key critical period for the acquisition of a driving licence, and subsequently to drive, is important for thinking 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1F2C87" w:rsidRPr="001F2C87" w:rsidRDefault="001F2C87" w:rsidP="001F2C87">
      <w:pPr>
        <w:pStyle w:val="Heading1"/>
      </w:pPr>
      <w:r w:rsidRPr="001F2C87">
        <w:t>Methods</w:t>
      </w:r>
      <w:r w:rsidR="00CA181D">
        <w:t xml:space="preserve"> </w:t>
      </w:r>
    </w:p>
    <w:p w:rsidR="001F2C87" w:rsidRDefault="001F2C87" w:rsidP="001F2C87"/>
    <w:p w:rsidR="001F2C87" w:rsidRDefault="00A713B0" w:rsidP="001F2C87">
      <w:pPr>
        <w:pStyle w:val="Heading3"/>
      </w:pPr>
      <w:r>
        <w:t>Data</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licence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Pr="007F78B4" w:rsidRDefault="00E84B3B" w:rsidP="007F78B4">
      <w:r>
        <w:t>The BHPS variables DRIVER and CARUSE were used to establish firstly whether an individual possessed a driving licence, and subsequently whether they had access to a car. From the third wave of the survey onwards adults are first asked “Do you have a full driving licence”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w:t>
      </w:r>
      <w:r w:rsidR="00F43FA7">
        <w:lastRenderedPageBreak/>
        <w:t>have a full driving licence?”, and then “Have you got a car or van, or is there one you have use of?”. This slightly different phrasing, along perhaps with a paper-based rather than computer-based interview system, meaning more individuals may have been asked the second question even if they answered ‘no’ to the question on licence ownership, led to very notable differences in the proportions of people who reported both owning a licence and having car or van access.</w:t>
      </w:r>
      <w:r w:rsidR="00F43FA7">
        <w:rPr>
          <w:rStyle w:val="FootnoteReference"/>
        </w:rPr>
        <w:footnoteReference w:id="1"/>
      </w:r>
      <w:r w:rsidR="00F43FA7">
        <w:t xml:space="preserve"> Because of this inconsistency only data from the third wave onwards were used.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1F2C87" w:rsidRDefault="001F2C87"/>
    <w:p w:rsidR="007F78B4" w:rsidRDefault="007F78B4"/>
    <w:p w:rsidR="007F78B4" w:rsidRPr="001F2C87" w:rsidRDefault="00A713B0" w:rsidP="007F78B4">
      <w:pPr>
        <w:pStyle w:val="Heading2"/>
      </w:pPr>
      <w:r>
        <w:t xml:space="preserve">Method of Analysis: </w:t>
      </w:r>
      <w:r w:rsidR="007F78B4" w:rsidRPr="001F2C87">
        <w:t xml:space="preserve">Lexis Surfaces </w:t>
      </w:r>
    </w:p>
    <w:p w:rsidR="00A713B0" w:rsidRDefault="00A713B0" w:rsidP="006A6A01"/>
    <w:p w:rsidR="00A713B0" w:rsidRDefault="00A713B0" w:rsidP="006A6A01">
      <w:r>
        <w:t xml:space="preserve">Within our paper we explore the data descriptively using a visual tool known as a Lexis surface. Within Lexis surface many complex and subtle patterns, relating to age, period and cohort effects and interactions, can be identified. Though we use quantitative data, our interpretation of these trends is in effect qualitative and subjective. Further analysis of this and other data can develop models and formal hypothesis tests for our interpretations, but for now what we present is necessarily somewhat impressionistic. </w:t>
      </w:r>
    </w:p>
    <w:p w:rsidR="00A713B0" w:rsidRDefault="00A713B0" w:rsidP="006A6A01"/>
    <w:p w:rsidR="006A6A01" w:rsidRPr="006A6A01" w:rsidRDefault="006A6A01" w:rsidP="006A6A01">
      <w:r>
        <w:t xml:space="preserve">In a Lexis surface, a variable (‘Z’) is arranged visually on a data surface comprising age (‘relative time’) on one axis and year (‘absolute time’) on the other axis. </w:t>
      </w:r>
      <w:r w:rsidR="00F43FA7">
        <w:t xml:space="preserve">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r>
        <w:t xml:space="preserve">Within the Lexis surfaces presented here, the variable Z is either: the proportion of the BHPS sample, of a given year and age, who have a driving licence; or the proportion of those BHPS sample members who have driving licences, who also report having access to a car or van. Substantively, the former may be considered a measure of </w:t>
      </w:r>
      <w:r>
        <w:rPr>
          <w:i/>
        </w:rPr>
        <w:t xml:space="preserve">potential </w:t>
      </w:r>
      <w:r>
        <w:t xml:space="preserve">auto-mobility, and the latter a measure of </w:t>
      </w:r>
      <w:r>
        <w:rPr>
          <w:i/>
        </w:rPr>
        <w:t>realized</w:t>
      </w:r>
      <w:r>
        <w:t xml:space="preserve"> auto-mobility.</w:t>
      </w:r>
    </w:p>
    <w:p w:rsidR="0067116B" w:rsidRDefault="0067116B"/>
    <w:p w:rsidR="001F2C87" w:rsidRPr="001F2C87" w:rsidRDefault="001F2C87" w:rsidP="001F2C87">
      <w:pPr>
        <w:pStyle w:val="Heading1"/>
      </w:pPr>
      <w:r w:rsidRPr="001F2C87">
        <w:lastRenderedPageBreak/>
        <w:t>Results</w:t>
      </w:r>
      <w:r w:rsidR="00B66F3C">
        <w:t xml:space="preserve"> </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licence (subfigures A, B and C); and the proportion of those BHPS sample members with a driving licence who also have access to a car or van (Subfigures D, E and F). Subfigures A and E show levelplots separately for each gender (females on the left and males on the right), whereas subfigures B and E show the levelplots further subdivided by highest educational qualification. Subfigures C and F contain a number of simple labels and divisions, indicating different regions within the Lexis surfaces,  which will be referred to in this discussion of the results. Within each levelplot the shade of a cell indicates the proportion, with black indicating 100% and white cells indicating less than 50%.</w:t>
      </w:r>
    </w:p>
    <w:p w:rsidR="003B393A" w:rsidRDefault="003B393A" w:rsidP="003B393A"/>
    <w:p w:rsidR="003B393A" w:rsidRDefault="00D73006" w:rsidP="00D73006">
      <w:pPr>
        <w:pStyle w:val="Heading2"/>
      </w:pPr>
      <w:r>
        <w:t>Driving Licence Ownership by gender and generation</w:t>
      </w:r>
    </w:p>
    <w:p w:rsidR="004040FA" w:rsidRDefault="003B393A" w:rsidP="003B393A">
      <w:r>
        <w:t>Figure 1A shows the proportion of the adult BHPS sample who report having a driving licence, from 1993 to 2008, and for all ages from 17 to 80 years of age.   It is clear from the difference in the shade of the right sub-panel (males) compared with the left sub-panel (females) that, historically, a larger proportion of adult males tend to have driving licences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licence than older adults. As largely the same panel of individuals are being followed each year, and only a very small proportion of people possessing driving licences then have these licences revoked and have to take the test again, this difference in shades is suggestive of changes in driving licence ownership rate by cohort, with successive cohorts being more likely by a given age to possess a driving licence than earlier cohorts at the same age. By comparing similar regions (combinations of age and year) in the male and female panels it is also apparent that levels of driving licence ownership between males and females have tended to converge over successive generations. </w:t>
      </w:r>
      <w:r w:rsidR="0035027B">
        <w:t xml:space="preserve">To look at this further, consider the region indicated by the letter A in figure 1C, and above the first diagonal dashed line in the figure; this broadly demarks cohorts born before around 1940. Within this broadly defined region of the Lexis surfaces, the cells are much darker for males than for females, with the proportions of males with driving licences around 90%, and the proportions of females with driving licences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licences increasing slightly from around 90% to 95% and above, and the corresponding female driving licence ownership rates increasing from around 70% to over 80%. The region indicated by the letter C in the Figure 1C </w:t>
      </w:r>
      <w:r w:rsidR="00D5365C">
        <w:t xml:space="preserve">indicates cohorts born from around the early 1960s to around 1975. For these cohorts the proportion of males with driving licences has remained high, at around 95% or above, whereas the proportion of females with driving licences has increased further, from around 80% to around 90%. Finally, we can consider the bottom right corners of the panels, indicated by letter D on figure 1C. This shows driving licence rates for people born after around 1975. What is striking about these younger cohorts is that driving licence rates have </w:t>
      </w:r>
      <w:r w:rsidR="00D5365C">
        <w:lastRenderedPageBreak/>
        <w:t>fallen for both genders compared with earlier generations, reversing a trend towards higher driving licence ownership which had been continuing for many generations. It is also noteworthy that these falls in licence rates have been in both genders, reaching around 75-80 for some of the newer cohorts within</w:t>
      </w:r>
      <w:r w:rsidR="004040FA">
        <w:t xml:space="preserve"> this Lexis surface region. </w:t>
      </w:r>
    </w:p>
    <w:p w:rsidR="004040FA" w:rsidRDefault="004040FA"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licence but only around 70% or so of females likely to have a driving licence;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licence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programmes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licence’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and opportunities for increasing female participation in the labour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licence, by gender </w:t>
            </w:r>
          </w:p>
        </w:tc>
        <w:tc>
          <w:tcPr>
            <w:tcW w:w="1870" w:type="dxa"/>
          </w:tcPr>
          <w:p w:rsidR="00EE2381" w:rsidRPr="00EE2381" w:rsidRDefault="00EE2381" w:rsidP="00EE2381">
            <w:pPr>
              <w:rPr>
                <w:sz w:val="20"/>
              </w:rPr>
            </w:pPr>
            <w:r w:rsidRPr="00EE2381">
              <w:rPr>
                <w:sz w:val="20"/>
              </w:rPr>
              <w:t xml:space="preserve">B ) Driving licence ownership, by gender and highest qualilfication. </w:t>
            </w:r>
          </w:p>
        </w:tc>
        <w:tc>
          <w:tcPr>
            <w:tcW w:w="1928" w:type="dxa"/>
          </w:tcPr>
          <w:p w:rsidR="00EE2381" w:rsidRPr="00EE2381" w:rsidRDefault="00EE2381" w:rsidP="00EE2381">
            <w:pPr>
              <w:rPr>
                <w:sz w:val="20"/>
              </w:rPr>
            </w:pPr>
            <w:r w:rsidRPr="00EE2381">
              <w:rPr>
                <w:sz w:val="20"/>
              </w:rPr>
              <w:t>C) Driving licence ownership. Annotated.</w:t>
            </w:r>
          </w:p>
        </w:tc>
        <w:tc>
          <w:tcPr>
            <w:tcW w:w="3525" w:type="dxa"/>
          </w:tcPr>
          <w:p w:rsidR="00EE2381" w:rsidRPr="00EE2381" w:rsidRDefault="00EE2381">
            <w:pPr>
              <w:rPr>
                <w:sz w:val="20"/>
              </w:rPr>
            </w:pPr>
            <w:r w:rsidRPr="00EE2381">
              <w:rPr>
                <w:sz w:val="20"/>
              </w:rPr>
              <w:t>D) The proportion of driving licence owners with access to a car or van, by gender</w:t>
            </w:r>
          </w:p>
        </w:tc>
        <w:tc>
          <w:tcPr>
            <w:tcW w:w="1825" w:type="dxa"/>
          </w:tcPr>
          <w:p w:rsidR="00EE2381" w:rsidRPr="00EE2381" w:rsidRDefault="00EE2381">
            <w:pPr>
              <w:rPr>
                <w:sz w:val="20"/>
              </w:rPr>
            </w:pPr>
            <w:r w:rsidRPr="00EE2381">
              <w:rPr>
                <w:sz w:val="20"/>
              </w:rPr>
              <w:t>E) The proportion of driving licence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licences (A-C); and, of those sample members with driving licences, who also have access to a car or van (D-F). In all figures year runs horizontally from left to right, and age runs vertically from bottom to top</w:t>
      </w:r>
      <w:r w:rsidR="003B393A">
        <w:t>. Within each levelplot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mid 1970s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licences, though the proportion of females with licences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‘flexibilisation’,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licence.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licences in old age, the proportion of both genders with driving licences </w:t>
      </w:r>
      <w:r w:rsidR="00D73006">
        <w:t xml:space="preserve">around the age of 20-25 years </w:t>
      </w:r>
      <w:r>
        <w:t>is falling</w:t>
      </w:r>
      <w:r w:rsidR="00D73006">
        <w:t xml:space="preserve">, and does not appear to be increasing as this generation enters their thirties. Interestingly, though the fall in driving licence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Driving licence ownership by gender, generation, and highest educational qualification</w:t>
      </w:r>
    </w:p>
    <w:p w:rsidR="00D73006" w:rsidRDefault="00D73006" w:rsidP="00D73006"/>
    <w:p w:rsidR="009F14FC" w:rsidRDefault="00D73006" w:rsidP="00D73006">
      <w:r>
        <w:t>Figure 1B shows how rates of driving licence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licence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licences overall than in the other panels, as well as the greatest difference between male and female rates of driving licence ownership. Historically, male levels of driving licence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We will now look at trends and patterns in the proportion of the BHPS sample with a driving licence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A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licences also having access to a car or van, but with higher proportions of males than females of the same age and in the same cohort. For cohorts born in the 1910s, around 20% of women with driving licences, and around 50% of men with driving licences, had access to a car or van. For cohorts born in the 1920s, the proportion of licenced females with car or van access rose from </w:t>
      </w:r>
      <w:r w:rsidR="00251DF5">
        <w:t xml:space="preserve">slightly under 30% to around 60%; the corresponding change for men in these cohorts was between around 55% and about 80%. For cohorts born in the 1930s the proportion of licenced females with car or van increased to around 80%, whereas for licenced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It is important to note that, within the age range 60 to 80 years, an age effect is not observed, i.e. the proportion of people with licences with car access does not diminish between ages 60 to 70 or 70 to 80. Within the UK, drivers aged 70 or older need to renew their driving licences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licenced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licences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licences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licence)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r w:rsidRPr="008D5060">
        <w:rPr>
          <w:i/>
        </w:rPr>
        <w:t>realised</w:t>
      </w:r>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r w:rsidR="008D5060" w:rsidRPr="008D5060">
        <w:rPr>
          <w:i/>
        </w:rPr>
        <w:t>realised</w:t>
      </w:r>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licences,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mid 1940s),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automobility </w:t>
      </w:r>
      <w:r w:rsidR="0013164E">
        <w:lastRenderedPageBreak/>
        <w:t xml:space="preserve">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lastRenderedPageBreak/>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8F7190" w:rsidRDefault="008F7190"/>
    <w:p w:rsidR="008F7190" w:rsidRDefault="008F7190" w:rsidP="008F7190">
      <w:pPr>
        <w:pStyle w:val="Heading2"/>
      </w:pPr>
      <w:r>
        <w:t>The concept of mobility</w:t>
      </w:r>
    </w:p>
    <w:p w:rsidR="00D71946" w:rsidRDefault="008F7190" w:rsidP="008F7190">
      <w:r>
        <w:t>Mobility is a multi-faceted co</w:t>
      </w:r>
      <w:r w:rsidR="00B643A7">
        <w:t>ncept that can be considered along socioeconomic, geographic and temporal dimensions, and within these latter two dimensions at a range of distinct scales</w:t>
      </w:r>
      <w:r>
        <w:t>. At a broad geographic scale the concept of mobility is linked to processes and preferences towards both international and intra-national (‘internal’) migration, the willingness or need for individuals to reloca</w:t>
      </w:r>
      <w:r w:rsidR="00B643A7">
        <w:t>te to new countries or regions; long-distance movements are known to be more likely in early adulthood than at other stages in the life course, with further education at university often both forming a need for individuals to leave their familial household in the first instance, and then further incentives to relocate longer distances in search of appropriate graduate employment.</w:t>
      </w:r>
      <w:r w:rsidR="00B643A7">
        <w:fldChar w:fldCharType="begin" w:fldLock="1"/>
      </w:r>
      <w:r w:rsidR="00AB18FA">
        <w:instrText>ADDIN CSL_CITATION { "citationItems" : [ { "id" : "ITEM-1", "itemData" : { "DOI" : "10.1002/psp.1956", "ISSN" : "15448444", "author" : [ { "dropping-particle" : "", "family" : "Findlay", "given" : "Allan", "non-dropping-particle" : "", "parse-names" : false, "suffix" : "" }, { "dropping-particle" : "", "family" : "McCollum", "given" : "David", "non-dropping-particle" : "", "parse-names" : false, "suffix" : "" }, { "dropping-particle" : "", "family" : "Coulter", "given" : "Rory", "non-dropping-particle" : "", "parse-names" : false, "suffix" : "" }, { "dropping-particle" : "", "family" : "Gayle", "given" : "Vernon", "non-dropping-particle" : "", "parse-names" : false, "suffix" : "" } ], "container-title" : "Population, Space and Place", "id" : "ITEM-1", "issue" : "4", "issued" : { "date-parts" : [ [ "2015", "5" ] ] }, "page" : "390-402", "title" : "New Mobilities Across the Life Course: a Framework for Analysing Demographically Linked Drivers of Migration", "type" : "article-journal", "volume" : "21" }, "uris" : [ "http://www.mendeley.com/documents/?uuid=da1208ff-a7ac-4b2a-9b74-86dc0cde8c05" ] } ], "mendeley" : { "formattedCitation" : "&lt;sup&gt;2&lt;/sup&gt;", "plainTextFormattedCitation" : "2", "previouslyFormattedCitation" : "&lt;sup&gt;2&lt;/sup&gt;" }, "properties" : { "noteIndex" : 0 }, "schema" : "https://github.com/citation-style-language/schema/raw/master/csl-citation.json" }</w:instrText>
      </w:r>
      <w:r w:rsidR="00B643A7">
        <w:fldChar w:fldCharType="separate"/>
      </w:r>
      <w:r w:rsidR="00B643A7" w:rsidRPr="00B643A7">
        <w:rPr>
          <w:noProof/>
          <w:vertAlign w:val="superscript"/>
        </w:rPr>
        <w:t>2</w:t>
      </w:r>
      <w:r w:rsidR="00B643A7">
        <w:fldChar w:fldCharType="end"/>
      </w:r>
      <w:r w:rsidR="00B643A7">
        <w:t xml:space="preserve"> Socioeconomic and geographic mobilities are therefore intimatel</w:t>
      </w:r>
      <w:r w:rsidR="008A5B58">
        <w:t>y linked and mutually reinforcing concepts. If migration is mobility at the macro-scale of geography and time, concerning hundreds of kilometres and geographic transitions at the scale of years or decades, then auto-mobility represents the micro-scale, concerning quotidian movements at the scale of kilometres or tens of kilometres. Whether people choose to move to a new region, and where within this region people choose to live, is both affected by and affects everyday mobility, with access to a car a vital factor in such decisions. As we have seen in the BHPS data, auto-mobility is itself strongly determined by educ</w:t>
      </w:r>
      <w:r w:rsidR="00D71946">
        <w:t xml:space="preserve">ational background, as well as decreasingly by gender, and persistently, though with differential force, by generation. </w:t>
      </w:r>
    </w:p>
    <w:p w:rsidR="00D71946" w:rsidRDefault="00D71946" w:rsidP="008F7190"/>
    <w:p w:rsidR="008F7190" w:rsidRPr="008F7190" w:rsidRDefault="00D71946" w:rsidP="008F7190">
      <w:r>
        <w:t xml:space="preserve">Auto-mobility is a paradoxical form of mobility, as it both greatly decreases the friction of physical distance, while also competing for other modes of self-conveyance – walking, cycling, and using public transport – that necessarily involve greater levels of physical activity, and so potentially confer greater health benefits. Auto-mobility is therefore both the most mobile, and the most sedentary, of travel modes encountered on a daily basis. The trends we saw in region DE of figure 1D-E, showing that rates of realized auto-mobility (‘drivers driving’) increase from the start of adulthood until the early thirties, suggests that rates of </w:t>
      </w:r>
      <w:r w:rsidR="00AB18FA">
        <w:t>active travel decrease throughout young adulthood due to increasing car use. Rates of physical activity tend to decrease with age</w:t>
      </w:r>
      <w:r w:rsidR="005069C4">
        <w:t>,</w:t>
      </w:r>
      <w:r w:rsidR="005069C4">
        <w:fldChar w:fldCharType="begin" w:fldLock="1"/>
      </w:r>
      <w:r w:rsidR="005207EF">
        <w:instrText>ADDIN CSL_CITATION { "citationItems" : [ { "id" : "ITEM-1", "itemData" : { "DOI" : "10.1016/S0140-6736(12)60735-1", "ISSN" : "01406736", "author" : [ { "dropping-particle" : "", "family" : "Bauman", "given" : "Adrian E", "non-dropping-particle" : "", "parse-names" : false, "suffix" : "" }, { "dropping-particle" : "", "family" : "Reis", "given" : "Rodrigo S", "non-dropping-particle" : "", "parse-names" : false, "suffix" : "" }, { "dropping-particle" : "", "family" : "Sallis", "given" : "James F", "non-dropping-particle" : "", "parse-names" : false, "suffix" : "" }, { "dropping-particle" : "", "family" : "Wells", "given" : "Jonathan C", "non-dropping-particle" : "", "parse-names" : false, "suffix" : "" }, { "dropping-particle" : "", "family" : "Loos", "given" : "Ruth JF", "non-dropping-particle" : "", "parse-names" : false, "suffix" : "" }, { "dropping-particle" : "", "family" : "Martin", "given" : "Brian W", "non-dropping-particle" : "", "parse-names" : false, "suffix" : "" } ], "container-title" : "The Lancet", "id" : "ITEM-1", "issue" : "9838", "issued" : { "date-parts" : [ [ "2012", "7" ] ] }, "page" : "258-271", "title" : "Correlates of physical activity: why are some people physically active and others not?", "type" : "article-journal", "volume" : "380" }, "uris" : [ "http://www.mendeley.com/documents/?uuid=66feb6c6-0cf7-4d63-af8e-6209c81e18af" ] } ], "mendeley" : { "formattedCitation" : "&lt;sup&gt;3&lt;/sup&gt;", "plainTextFormattedCitation" : "3", "previouslyFormattedCitation" : "&lt;sup&gt;3&lt;/sup&gt;" }, "properties" : { "noteIndex" : 0 }, "schema" : "https://github.com/citation-style-language/schema/raw/master/csl-citation.json" }</w:instrText>
      </w:r>
      <w:r w:rsidR="005069C4">
        <w:fldChar w:fldCharType="separate"/>
      </w:r>
      <w:r w:rsidR="005069C4" w:rsidRPr="00AB18FA">
        <w:rPr>
          <w:noProof/>
          <w:vertAlign w:val="superscript"/>
        </w:rPr>
        <w:t>3</w:t>
      </w:r>
      <w:r w:rsidR="005069C4">
        <w:fldChar w:fldCharType="end"/>
      </w:r>
      <w:r w:rsidR="005069C4">
        <w:t xml:space="preserve"> and increased car dependency is likely an important contributory factor in this trend. </w:t>
      </w:r>
    </w:p>
    <w:p w:rsidR="008F7190" w:rsidRDefault="008F7190"/>
    <w:p w:rsidR="00E255B7" w:rsidRDefault="00E255B7" w:rsidP="00E255B7">
      <w:pPr>
        <w:pStyle w:val="Heading2"/>
      </w:pPr>
      <w:r>
        <w:lastRenderedPageBreak/>
        <w:t>Choice or constraint?</w:t>
      </w:r>
    </w:p>
    <w:p w:rsidR="00E255B7" w:rsidRDefault="0004098D" w:rsidP="00E255B7">
      <w:r>
        <w:t xml:space="preserve">The fact that most rich nations, including the UK, have already passed ‘peak car’ is well established, as is the role of generational differences in emerging auto-mobility and the identification of the ‘Millennials’ as a distinct cohort in their licence and car ownership trends. The reasons for these trends, and the implications for the health, social and economic opportunity, and wellbeing of future generations, are still being debated. One interpretation of these trends is that they reflect active and positive choices made by new generations, away from car use and towards reduced travel in daily life as a result of reduced need for travel; a common reason given for this reduced need is the increasing ubiquity of information and communication technologies (ICTs), meaning that people no longer need to be physically proximate to communicate, collaborate and affiliate with one another. </w:t>
      </w:r>
      <w:r w:rsidR="0079403E">
        <w:t xml:space="preserve">In addition to reducing the need for travel, ICTs and related electronic devices are a form of entertainment in their own right, which cannot be engaged with while in charge of a vehicle; from this perspective, the opportunity cost of vehicular travel is therefore increased, and the appeal of this travel modality, compared either with not travelling or travelling by public transport, is reduced. We will refer to this optimistic interpretation of the trends as the ‘Choice’ model of reduced auto-mobility. </w:t>
      </w:r>
    </w:p>
    <w:p w:rsidR="0079403E" w:rsidRDefault="0079403E" w:rsidP="00E255B7"/>
    <w:p w:rsidR="0079403E" w:rsidRPr="00E255B7" w:rsidRDefault="0079403E" w:rsidP="00E255B7">
      <w:r>
        <w:t xml:space="preserve">An alternative explanatory model for the trends is what we call the ‘Constraint’ model of reduced auto-mobility. This posits that a variety of socioeconomic factors have simply made first learning to drive, then having access to a car, </w:t>
      </w:r>
      <w:r w:rsidR="00D854F4">
        <w:t xml:space="preserve">a more distant and unaffordable prospect for newer generations. Such economic factors include increasing fuel costs, costs of insuring younger drivers, increasing costs associated with passing driving tests, and more insecure forms of employment with stagnant wages, each of which have affected Millennials more so than previous generations, and we could also posit have particularly adversely affected those without further education due to falling demands, relative to supply, for manual labour occupations.  </w:t>
      </w:r>
    </w:p>
    <w:p w:rsidR="00E11D6D" w:rsidRDefault="00E11D6D"/>
    <w:p w:rsidR="00D854F4" w:rsidRDefault="00D854F4">
      <w:r>
        <w:t xml:space="preserve">Of these two types of explanation, we believe the data from the BHPS broadly supports the ‘Constraint’ explanation more so than the ‘Choice’ explanation, although the two are not mutually exclusive. </w:t>
      </w:r>
    </w:p>
    <w:p w:rsidR="00D854F4" w:rsidRDefault="00D854F4"/>
    <w:p w:rsidR="00B66F3C" w:rsidRDefault="00B66F3C" w:rsidP="00B66F3C">
      <w:pPr>
        <w:pStyle w:val="Heading2"/>
      </w:pPr>
      <w:r>
        <w:t>Limitations</w:t>
      </w:r>
    </w:p>
    <w:p w:rsidR="00B66F3C" w:rsidRPr="00B66F3C" w:rsidRDefault="00B66F3C" w:rsidP="00B66F3C">
      <w:r>
        <w:t xml:space="preserve">The BHPS was superceded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categorisations used in the BHPS were asked only in wave F of the UKHLS, and only as part of an immigrant and ethnic minority booster sample, with regards to qualifications </w:t>
      </w:r>
      <w:r w:rsidR="004F43FC">
        <w:lastRenderedPageBreak/>
        <w:t>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rsidR="005207EF">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AB18FA" w:rsidRPr="00AB18FA">
        <w:rPr>
          <w:noProof/>
          <w:vertAlign w:val="superscript"/>
        </w:rPr>
        <w:t>4</w:t>
      </w:r>
      <w:r>
        <w:fldChar w:fldCharType="end"/>
      </w:r>
      <w:r>
        <w:t xml:space="preserve"> Within the analyses presented here, the BHPS is presented ‘as is’, without attempts to explicitly follow the same individuals over time or to analyse the influence of specific changes in household or individual circumstance on mobility outcomes; however the BHPS has been used to allow these analyses to be explored in subsequent research. </w:t>
      </w:r>
    </w:p>
    <w:p w:rsidR="007F78B4" w:rsidRDefault="007F78B4"/>
    <w:p w:rsidR="001037FF" w:rsidRDefault="001037FF" w:rsidP="001037FF">
      <w:r>
        <w:t xml:space="preserve">CHUNK 10 </w:t>
      </w:r>
    </w:p>
    <w:p w:rsidR="001037FF" w:rsidRDefault="001037FF" w:rsidP="001037FF">
      <w:r>
        <w:tab/>
        <w:t>WORDS AT START 7390</w:t>
      </w:r>
    </w:p>
    <w:p w:rsidR="001037FF" w:rsidRDefault="001037FF" w:rsidP="001037FF">
      <w:r>
        <w:t xml:space="preserve">THE AIM OF THIS CHUNK OF TIME, AND THE NEXT CHUNK OF TIME, WILL BE TO SUMMARISE RELEVANT LITERATURE RELATING TO A NUMBER OF IMPORTANT ISSUES. THESE ISSUES ARE </w:t>
      </w:r>
    </w:p>
    <w:p w:rsidR="001037FF" w:rsidRDefault="001037FF" w:rsidP="001037FF">
      <w:r>
        <w:tab/>
        <w:t>1 PEAK CAR – WHAT HAVE BEEN THE TRENDS IN CAR OWNERSHIP OVER THE LAST FEW DECADES, IN THE UK AND INTERNATIONALLY? WHAT EXPLANATIONS HAVE BEEN GIVEN FOR THESE TRENDS? WHAT IMPLICATIONS HAVE BEEN SUGGESTED FOR IMPORTANT SOCIOECONOMIC AND HEALTH OUTCOMES</w:t>
      </w:r>
    </w:p>
    <w:p w:rsidR="001037FF" w:rsidRDefault="001037FF" w:rsidP="001037FF">
      <w:r>
        <w:tab/>
        <w:t>2 PLATFORM ECONOMICS AND DRIVERLESS CARS – WHAT DISCUSSION HAS THERE BEEN ABOUT CARS AS A RESOURCE THAT CAN POTENTIALLY BE SHARED BETWEEN MORE THAN JUST A SINGLE HOUSEHOLD? WHAT PROJECTIONS HAVE THERE BEEN ABOUT FUTURE TRENDS AND THE POSSIBLITY THAT CAR ACCESS BECOMES MORE AFFORDABLE FOR CURRENT HOUSEHOLDS IN LATER GENERATIONS?</w:t>
      </w:r>
    </w:p>
    <w:p w:rsidR="001037FF" w:rsidRDefault="001037FF" w:rsidP="001037FF">
      <w:r>
        <w:tab/>
        <w:t xml:space="preserve">3 ACTIVE TRAVEL AND HEALTH – WHAT DEBATES HAVE BEEN HAD ABOUT THE HEALTH IMPACTS OF MULTIMODALITY </w:t>
      </w:r>
    </w:p>
    <w:p w:rsidR="001037FF" w:rsidRDefault="001037FF" w:rsidP="001037FF">
      <w:r>
        <w:tab/>
        <w:t>4 CAR USE AND AGEING – WHAT DOES THE LITERATURE SAY ABOUT CAR USE AND CAR DEPENDENCY IN OLDER AGE? TO WHAT EXTENT ARE PROCESSES OF HABITUATION AND LIFE COURSE APPROACHES CONSIDERED WHEN UNDERSTANDING EXISTING TRENDS AND POSSIBLE FUTURE TRENDS?</w:t>
      </w:r>
    </w:p>
    <w:p w:rsidR="001037FF" w:rsidRDefault="001037FF" w:rsidP="001037FF">
      <w:r>
        <w:tab/>
        <w:t>5 DECENTRALISATION OF POVERTY AND CAR DEPENDENCY – HAVE CHANGES IN CAR USE BEEN LINKED TO PROCESSES OF DECENTRALISATION OF POVERTY? (SUMMARISE JULIE’S AND ANGELA’S PAPER ON THIS IN GLASGOW)</w:t>
      </w:r>
    </w:p>
    <w:p w:rsidR="00970384" w:rsidRDefault="00970384" w:rsidP="001037FF">
      <w:r>
        <w:tab/>
        <w:t xml:space="preserve">6 LIFE COURSE APPROACHES TO HABITS AND HEALTH – WHAT DISCUSSION HAS THERE BEEN ABOUT YOUNG ADULTHOOD AS A CRITICAL PERIOD IN WHICH PARTICULAR HABITS BECOME ESTABLISHED AND EMBEDDED, AND SO THE IMPORTANCE OF </w:t>
      </w:r>
      <w:r>
        <w:lastRenderedPageBreak/>
        <w:t>UNDERSTANDING THE CONDITIONS FACED IN YOUNG ADULTHOOD WHEN CONSIDERING HOW PEOPLE AGE</w:t>
      </w:r>
    </w:p>
    <w:p w:rsidR="00970384" w:rsidRDefault="00970384" w:rsidP="001037FF">
      <w:r>
        <w:tab/>
        <w:t>7 CAR DEPENDENCY AND ISOLATION IN OLD AGE – WHAT DOES THE LITERATURE SAY ABOUT THE FACT MEN HISTORICALLY WERE MORE LIKELY TO HAVE DRIVING LICENCES, AND ALSO TO DIE BEFORE WOMEN, IN TERMS OF A POTENTIAL DOUBLE-DISADVANTAGE FACED BY ELDERLY WOMEN IN OLD AGE WHEN THEIR (MALE) PARTNER DIES</w:t>
      </w:r>
    </w:p>
    <w:p w:rsidR="00970384" w:rsidRDefault="00970384" w:rsidP="001037FF"/>
    <w:p w:rsidR="00970384" w:rsidRDefault="00970384" w:rsidP="00970384">
      <w:r>
        <w:t>FOR EACH OF THESE CHUNKS, I WILL PRODUCE A SPREADSHEET MARKING OUT THE PROGRESS THROUGH THE LITERATURE I HAVE MADE. THE STEPS WILL BE:</w:t>
      </w:r>
    </w:p>
    <w:p w:rsidR="00970384" w:rsidRDefault="00970384" w:rsidP="00970384">
      <w:pPr>
        <w:pStyle w:val="ListParagraph"/>
        <w:numPr>
          <w:ilvl w:val="0"/>
          <w:numId w:val="4"/>
        </w:numPr>
      </w:pPr>
      <w:r>
        <w:t>1. WIDE NET SEARCH INCLUDING SEARCH TERMS</w:t>
      </w:r>
    </w:p>
    <w:p w:rsidR="00970384" w:rsidRDefault="00970384" w:rsidP="00970384">
      <w:pPr>
        <w:pStyle w:val="ListParagraph"/>
        <w:numPr>
          <w:ilvl w:val="0"/>
          <w:numId w:val="4"/>
        </w:numPr>
      </w:pPr>
      <w:r>
        <w:t>2. IDENTIFICATION OF ONE OR TWO MOST PROMISING CLUSTERS</w:t>
      </w:r>
    </w:p>
    <w:p w:rsidR="00970384" w:rsidRDefault="00970384" w:rsidP="00970384">
      <w:pPr>
        <w:pStyle w:val="ListParagraph"/>
        <w:numPr>
          <w:ilvl w:val="0"/>
          <w:numId w:val="4"/>
        </w:numPr>
      </w:pPr>
      <w:r>
        <w:t>3. COPYING OUT OF RELEVANT ABSTRACTS FROM MOST PROMISING CLUSTERS</w:t>
      </w:r>
    </w:p>
    <w:p w:rsidR="00970384" w:rsidRDefault="00970384" w:rsidP="00970384">
      <w:pPr>
        <w:pStyle w:val="ListParagraph"/>
        <w:numPr>
          <w:ilvl w:val="0"/>
          <w:numId w:val="4"/>
        </w:numPr>
      </w:pPr>
      <w:r>
        <w:t>4. HIGHLIGHTING OF RELEVANT TEXT</w:t>
      </w:r>
    </w:p>
    <w:p w:rsidR="00970384" w:rsidRDefault="00970384" w:rsidP="00970384">
      <w:pPr>
        <w:pStyle w:val="ListParagraph"/>
        <w:numPr>
          <w:ilvl w:val="0"/>
          <w:numId w:val="4"/>
        </w:numPr>
      </w:pPr>
      <w:r>
        <w:t>5. IDENTIFICATION OF TEXTS TO READ IN FULL, PRINTING THESE OUT AND READING THEM FOR ADDITIONAL INFORMATION</w:t>
      </w:r>
    </w:p>
    <w:p w:rsidR="00970384" w:rsidRDefault="00970384" w:rsidP="00970384">
      <w:pPr>
        <w:pStyle w:val="ListParagraph"/>
        <w:numPr>
          <w:ilvl w:val="0"/>
          <w:numId w:val="4"/>
        </w:numPr>
      </w:pPr>
      <w:r>
        <w:t>6. ADDING OF REFERENCES TO RELEVANT TEXT TO MENDELEY</w:t>
      </w:r>
    </w:p>
    <w:p w:rsidR="00970384" w:rsidRDefault="00970384" w:rsidP="00970384">
      <w:pPr>
        <w:pStyle w:val="ListParagraph"/>
        <w:numPr>
          <w:ilvl w:val="0"/>
          <w:numId w:val="4"/>
        </w:numPr>
      </w:pPr>
      <w:r>
        <w:t>7. PRODUCTION OF DECLARATIVE STATEMENTS BASED ON RELEVANT TEXTS, INCLUDING REFERNECES</w:t>
      </w:r>
    </w:p>
    <w:p w:rsidR="00970384" w:rsidRDefault="00970384" w:rsidP="00970384">
      <w:pPr>
        <w:pStyle w:val="ListParagraph"/>
        <w:numPr>
          <w:ilvl w:val="0"/>
          <w:numId w:val="4"/>
        </w:numPr>
      </w:pPr>
      <w:r>
        <w:t xml:space="preserve">8. CONSOLODATION OF RELEVANT STATEMENTS INTO DECLARATIVE STATEMENT CLUSTERS </w:t>
      </w:r>
    </w:p>
    <w:p w:rsidR="00970384" w:rsidRDefault="00970384" w:rsidP="00970384">
      <w:pPr>
        <w:pStyle w:val="ListParagraph"/>
      </w:pPr>
    </w:p>
    <w:p w:rsidR="005207EF" w:rsidRDefault="005207EF" w:rsidP="005207EF">
      <w:pPr>
        <w:pStyle w:val="Heading1"/>
      </w:pPr>
      <w:r>
        <w:t>Declarative referenced statements (unordered)</w:t>
      </w:r>
    </w:p>
    <w:p w:rsidR="005207EF" w:rsidRDefault="005207EF" w:rsidP="00DA2734">
      <w:pPr>
        <w:pStyle w:val="ListParagraph"/>
        <w:numPr>
          <w:ilvl w:val="0"/>
          <w:numId w:val="6"/>
        </w:numPr>
      </w:pPr>
      <w:r>
        <w:t>A comparison between Germany and the USA, both countries with very high vehicle ownership, shows that Germans travel less by car and much more by other modes, and that American preferences to drive persist even for those living in dense, mixed use areas with close public transport.</w:t>
      </w:r>
      <w:r>
        <w:fldChar w:fldCharType="begin" w:fldLock="1"/>
      </w:r>
      <w:r w:rsidR="000A5F6D">
        <w:instrText>ADDIN CSL_CITATION { "citationItems" : [ { "id" : "ITEM-1", "itemData" : {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 "non-dropping-particle" : "", "parse-names" : false, "suffix" : "" } ], "container-title" : "Journal of Transport Geography", "id" : "ITEM-1", "issue" : "4", "issued" : { "date-parts" : [ [ "0"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Pr="00DA2734">
        <w:rPr>
          <w:noProof/>
          <w:vertAlign w:val="superscript"/>
        </w:rPr>
        <w:t>5</w:t>
      </w:r>
      <w:r>
        <w:fldChar w:fldCharType="end"/>
      </w:r>
      <w:r>
        <w:t xml:space="preserve"> </w:t>
      </w:r>
    </w:p>
    <w:p w:rsidR="005207EF" w:rsidRDefault="000A5F6D" w:rsidP="00DA2734">
      <w:pPr>
        <w:pStyle w:val="ListParagraph"/>
        <w:numPr>
          <w:ilvl w:val="0"/>
          <w:numId w:val="6"/>
        </w:numPr>
      </w:pPr>
      <w:r>
        <w:t xml:space="preserve">England and Wales remains car dependent, with 67% of commuters using cars or vans as their main commute mode in 2011. </w:t>
      </w:r>
      <w:r>
        <w:fldChar w:fldCharType="begin" w:fldLock="1"/>
      </w:r>
      <w:r w:rsidR="00DA2734">
        <w:instrText>ADDIN CSL_CITATION { "citationItems" : [ { "id" : "ITEM-1", "itemData" : {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 "non-dropping-particle" : "", "parse-names" : false, "suffix" : "" } ], "container-title" : "Plos One", "id" : "ITEM-1", "issue" : "8", "issued" : { "date-parts" : [ [ "0" ] ] }, "note" : "Plos One Plos One\nISI:000324470100055; 218YW; Times Cited:25; Cited References Count:57",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DA2734">
        <w:rPr>
          <w:noProof/>
          <w:vertAlign w:val="superscript"/>
        </w:rPr>
        <w:t>6</w:t>
      </w:r>
      <w:r>
        <w:fldChar w:fldCharType="end"/>
      </w:r>
    </w:p>
    <w:p w:rsidR="000A5F6D" w:rsidRDefault="000A5F6D" w:rsidP="00DA2734">
      <w:pPr>
        <w:pStyle w:val="ListParagraph"/>
        <w:numPr>
          <w:ilvl w:val="0"/>
          <w:numId w:val="6"/>
        </w:numPr>
      </w:pPr>
      <w:r>
        <w:t xml:space="preserve">In England and Wales, poorer socioeconomic groups tend to walk, but not cycle, more than </w:t>
      </w:r>
      <w:r w:rsidR="00DA2734">
        <w:t>richer socioeconomic groups.</w:t>
      </w:r>
      <w:r w:rsidR="00DA2734">
        <w:fldChar w:fldCharType="begin" w:fldLock="1"/>
      </w:r>
      <w:r w:rsidR="00DA2734">
        <w:instrText>ADDIN CSL_CITATION { "citationItems" : [ { "id" : "ITEM-1", "itemData" : {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 "non-dropping-particle" : "", "parse-names" : false, "suffix" : "" } ], "container-title" : "Plos One", "id" : "ITEM-1", "issue" : "8", "issued" : { "date-parts" : [ [ "0" ] ] }, "note" : "Plos One Plos One\nISI:000324470100055; 218YW; Times Cited:25; Cited References Count:57",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"&lt;sup&gt;6&lt;/sup&gt;", "plainTextFormattedCitation" : "6", "previouslyFormattedCitation" : "&lt;sup&gt;6&lt;/sup&gt;" }, "properties" : { "noteIndex" : 0 }, "schema" : "https://github.com/citation-style-language/schema/raw/master/csl-citation.json" }</w:instrText>
      </w:r>
      <w:r w:rsidR="00DA2734">
        <w:fldChar w:fldCharType="separate"/>
      </w:r>
      <w:r w:rsidR="00DA2734" w:rsidRPr="00DA2734">
        <w:rPr>
          <w:noProof/>
          <w:vertAlign w:val="superscript"/>
        </w:rPr>
        <w:t>6</w:t>
      </w:r>
      <w:r w:rsidR="00DA2734">
        <w:fldChar w:fldCharType="end"/>
      </w:r>
      <w:r w:rsidR="00DA2734">
        <w:t xml:space="preserve"> </w:t>
      </w:r>
    </w:p>
    <w:p w:rsidR="00DA2734" w:rsidRDefault="00DA2734" w:rsidP="00DA2734">
      <w:pPr>
        <w:pStyle w:val="ListParagraph"/>
        <w:numPr>
          <w:ilvl w:val="0"/>
          <w:numId w:val="6"/>
        </w:numPr>
      </w:pPr>
      <w:r>
        <w:t xml:space="preserve">In Montreal, Canada, use of public transport tends to fall as people enter their early thirties, consistent with patterns of realized auto-mobility in the UK. </w:t>
      </w:r>
      <w:r>
        <w:fldChar w:fldCharType="begin" w:fldLock="1"/>
      </w:r>
      <w:r w:rsidR="008C10F2">
        <w:instrText>ADDIN CSL_CITATION { "citationItems" : [ { "id" : "ITEM-1", "itemData" : {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 "non-dropping-particle" : "", "parse-names" : false, "suffix" : "" }, { "dropping-particle" : "", "family" : "El-Geneidy", "given" : "A", "non-dropping-particle" : "", "parse-names" : false, "suffix" : "" } ], "container-title" : "Transportation", "id" : "ITEM-1", "issue" : "1", "issued" : { "date-parts" : [ [ "0"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DA2734">
        <w:rPr>
          <w:noProof/>
          <w:vertAlign w:val="superscript"/>
        </w:rPr>
        <w:t>7</w:t>
      </w:r>
      <w:r>
        <w:fldChar w:fldCharType="end"/>
      </w:r>
    </w:p>
    <w:p w:rsidR="008C10F2" w:rsidRDefault="008C10F2" w:rsidP="00DA2734">
      <w:pPr>
        <w:pStyle w:val="ListParagraph"/>
        <w:numPr>
          <w:ilvl w:val="0"/>
          <w:numId w:val="6"/>
        </w:numPr>
      </w:pPr>
      <w:r>
        <w:t>ICTs may both reduce the need for motor travel, and also allow for better organization and utilization of private vehicle stock through apps and information sharing platforms like Uber, enabling what’s sometimes referred to as ‘collaborative consumption’.</w:t>
      </w:r>
      <w:r>
        <w:fldChar w:fldCharType="begin" w:fldLock="1"/>
      </w:r>
      <w:r>
        <w:instrText>ADDIN CSL_CITATION { "citationItems" : [ { "id" : "ITEM-1", "itemData" : {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 "non-dropping-particle" : "", "parse-names" : false, "suffix" : "" }, { "dropping-particle" : "", "family" : "Sjoklint", "given" : "M", "non-dropping-particle" : "", "parse-names" : false, "suffix" : "" }, { "dropping-particle" : "", "family" : "Ukkonen", "given" : "A", "non-dropping-particle" : "", "parse-names" : false, "suffix" : "" } ], "container-title" : "Journal of the Association for Information Science and Technology", "id" : "ITEM-1", "issue" : "9", "issued" : { "date-parts" : [ [ "0"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8C10F2">
        <w:rPr>
          <w:noProof/>
          <w:vertAlign w:val="superscript"/>
        </w:rPr>
        <w:t>8</w:t>
      </w:r>
      <w:r>
        <w:fldChar w:fldCharType="end"/>
      </w:r>
    </w:p>
    <w:p w:rsidR="00117E01" w:rsidRDefault="008C10F2" w:rsidP="00DA2734">
      <w:pPr>
        <w:pStyle w:val="ListParagraph"/>
        <w:numPr>
          <w:ilvl w:val="0"/>
          <w:numId w:val="6"/>
        </w:numPr>
      </w:pPr>
      <w:r>
        <w:t>Automated vehicles offer not just the possibility for replacing or blurring the public/private distinction in car ownership, but for augmenting train and coach use as well.</w:t>
      </w:r>
      <w:r>
        <w:fldChar w:fldCharType="begin" w:fldLock="1"/>
      </w:r>
      <w:r w:rsidR="00117E01">
        <w:instrText>ADDIN CSL_CITATION { "citationItems" : [ { "id" : "ITEM-1", "itemData" : {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 D", "non-dropping-particle" : "", "parse-names" : false, "suffix" : "" }, { "dropping-particle" : "", "family" : "Correia", "given" : "G", "non-dropping-particle" : "", "parse-names" : false, "suffix" : "" }, { "dropping-particle" : "", "family" : "Arem", "given" : "B", "non-dropping-particle" : "van", "parse-names" : false, "suffix" : "" } ], "container-title" : "Transportation Research Part a-Policy and Practice", "id" : "ITEM-1", "issued" : { "date-parts" : [ [ "0"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Pr="008C10F2">
        <w:rPr>
          <w:noProof/>
          <w:vertAlign w:val="superscript"/>
        </w:rPr>
        <w:t>9</w:t>
      </w:r>
      <w:r>
        <w:fldChar w:fldCharType="end"/>
      </w:r>
    </w:p>
    <w:p w:rsidR="00117E01" w:rsidRDefault="00117E01" w:rsidP="00DA2734">
      <w:pPr>
        <w:pStyle w:val="ListParagraph"/>
        <w:numPr>
          <w:ilvl w:val="0"/>
          <w:numId w:val="6"/>
        </w:numPr>
      </w:pPr>
      <w:r>
        <w:t>Preferences for cycling can be influenced by substantial changes in life circumstances or environments.</w:t>
      </w:r>
      <w:r>
        <w:fldChar w:fldCharType="begin" w:fldLock="1"/>
      </w:r>
      <w:r>
        <w:instrText>ADDIN CSL_CITATION { "citationItems" : [ { "id" : "ITEM-1", "itemData" : {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 "non-dropping-particle" : "", "parse-names" : false, "suffix" : "" }, { "dropping-particle" : "", "family" : "Sherwin", "given" : "H", "non-dropping-particle" : "", "parse-names" : false, "suffix" : "" }, { "dropping-particle" : "", "family" : "Jain", "given" : "J", "non-dropping-particle" : "", "parse-names" : false, "suffix" : "" }, { "dropping-particle" : "", "family" : "Christensen", "given" : "J", "non-dropping-particle" : "", "parse-names" : false, "suffix" : "" }, { "dropping-particle" : "", "family" : "Marsh", "given" : "S", "non-dropping-particle" : "", "parse-names" : false, "suffix" : "" } ], "container-title" : "Transportation Research Record", "id" : "ITEM-1", "issue" : "2322", "issued" : { "date-parts" : [ [ "0" ] ] }, "note" : "Transport Res Rec Transport Res Rec\nISI:000315841000010; 102JN; Times Cited:8; Cited References Count:18", "page" : "82-90", "title" : "Conceptual Model to Explain Turning Points in Travel Behavior Application to Bicycle Use", "type" : "article-journal" }, "uris" : [ "http://www.mendeley.com/documents/?uuid=88a14adf-ee62-408f-af08-fc4f278fad4a"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Pr="00117E01">
        <w:rPr>
          <w:noProof/>
          <w:vertAlign w:val="superscript"/>
        </w:rPr>
        <w:t>10</w:t>
      </w:r>
      <w:r>
        <w:fldChar w:fldCharType="end"/>
      </w:r>
    </w:p>
    <w:p w:rsidR="00117E01" w:rsidRDefault="00117E01" w:rsidP="00DA2734">
      <w:pPr>
        <w:pStyle w:val="ListParagraph"/>
        <w:numPr>
          <w:ilvl w:val="0"/>
          <w:numId w:val="6"/>
        </w:numPr>
      </w:pPr>
      <w:r>
        <w:t>Disabilities and impairments, which can adversely affect educational outcomes, can also adversely affect the ease of learning to drive.</w:t>
      </w:r>
      <w:r>
        <w:fldChar w:fldCharType="begin" w:fldLock="1"/>
      </w:r>
      <w:r>
        <w:instrText>ADDIN CSL_CITATION { "citationItems" : [ { "id" : "ITEM-1", "itemData" : {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 "non-dropping-particle" : "", "parse-names" : false, "suffix" : "" }, { "dropping-particle" : "", "family" : "Toseeb", "given" : "U", "non-dropping-particle" : "", "parse-names" : false, "suffix" : "" }, { "dropping-particle" : "", "family" : "Pickles", "given" : "A", "non-dropping-particle" : "", "parse-names" : false, "suffix" : "" }, { "dropping-particle" : "", "family" : "Botting", "given" : "N", "non-dropping-particle" : "", "parse-names" : false, "suffix" : "" }, { "dropping-particle" : "", "family" : "Conti-Ramsden", "given" : "G", "non-dropping-particle" : "", "parse-names" : false, "suffix" : "" } ], "container-title" : "Transportation Research Part F-Traffic Psychology and Behaviour", "id" : "ITEM-1", "issued" : { "date-parts" : [ [ "0"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"mendeley" : { "formattedCitation" : "&lt;sup&gt;11&lt;/sup&gt;", "plainTextFormattedCitation" : "11" }, "properties" : { "noteIndex" : 0 }, "schema" : "https://github.com/citation-style-language/schema/raw/master/csl-citation.json" }</w:instrText>
      </w:r>
      <w:r>
        <w:fldChar w:fldCharType="separate"/>
      </w:r>
      <w:r w:rsidRPr="00117E01">
        <w:rPr>
          <w:noProof/>
          <w:vertAlign w:val="superscript"/>
        </w:rPr>
        <w:t>11</w:t>
      </w:r>
      <w:r>
        <w:fldChar w:fldCharType="end"/>
      </w:r>
    </w:p>
    <w:p w:rsidR="008C10F2" w:rsidRDefault="00117E01" w:rsidP="00DA2734">
      <w:pPr>
        <w:pStyle w:val="ListParagraph"/>
        <w:numPr>
          <w:ilvl w:val="0"/>
          <w:numId w:val="6"/>
        </w:numPr>
      </w:pPr>
      <w:bookmarkStart w:id="1" w:name="_GoBack"/>
      <w:bookmarkEnd w:id="1"/>
      <w:r>
        <w:t xml:space="preserve">  </w:t>
      </w:r>
      <w:r w:rsidR="008C10F2">
        <w:t xml:space="preserve"> </w:t>
      </w:r>
    </w:p>
    <w:p w:rsidR="007F78B4" w:rsidRPr="00970384" w:rsidRDefault="00970384" w:rsidP="005207EF">
      <w:pPr>
        <w:pStyle w:val="Heading1"/>
        <w:rPr>
          <w:rFonts w:eastAsiaTheme="minorEastAsia"/>
        </w:rPr>
      </w:pPr>
      <w:r>
        <w:t xml:space="preserve"> </w:t>
      </w:r>
      <w:r w:rsidR="007F78B4">
        <w:br w:type="page"/>
      </w:r>
    </w:p>
    <w:p w:rsidR="007F78B4" w:rsidRDefault="007F78B4" w:rsidP="007F78B4">
      <w:pPr>
        <w:pStyle w:val="Heading1"/>
      </w:pPr>
      <w:r>
        <w:lastRenderedPageBreak/>
        <w:t>References</w:t>
      </w:r>
    </w:p>
    <w:p w:rsidR="007F78B4" w:rsidRDefault="007F78B4" w:rsidP="007F78B4"/>
    <w:p w:rsidR="00117E01" w:rsidRPr="00117E01" w:rsidRDefault="007F78B4" w:rsidP="00117E01">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00117E01" w:rsidRPr="00117E01">
        <w:rPr>
          <w:rFonts w:ascii="Calibri" w:hAnsi="Calibri" w:cs="Times New Roman"/>
          <w:noProof/>
        </w:rPr>
        <w:t>1</w:t>
      </w:r>
      <w:r w:rsidR="00117E01" w:rsidRPr="00117E01">
        <w:rPr>
          <w:rFonts w:ascii="Calibri" w:hAnsi="Calibri" w:cs="Times New Roman"/>
          <w:noProof/>
        </w:rPr>
        <w:tab/>
        <w:t>Taylor MF, Brice J, Buck N, Prentice-Lane E. British Household Panel Survey: User Manual, Volume A: Introduction, Technical Report and Appendices. 2011.</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2</w:t>
      </w:r>
      <w:r w:rsidRPr="00117E01">
        <w:rPr>
          <w:rFonts w:ascii="Calibri" w:hAnsi="Calibri" w:cs="Times New Roman"/>
          <w:noProof/>
        </w:rPr>
        <w:tab/>
        <w:t xml:space="preserve">Findlay A, McCollum D, Coulter R, Gayle V. New Mobilities Across the Life Course: a Framework for Analysing Demographically Linked Drivers of Migration. </w:t>
      </w:r>
      <w:r w:rsidRPr="00117E01">
        <w:rPr>
          <w:rFonts w:ascii="Calibri" w:hAnsi="Calibri" w:cs="Times New Roman"/>
          <w:i/>
          <w:iCs/>
          <w:noProof/>
        </w:rPr>
        <w:t>Popul Space Place</w:t>
      </w:r>
      <w:r w:rsidRPr="00117E01">
        <w:rPr>
          <w:rFonts w:ascii="Calibri" w:hAnsi="Calibri" w:cs="Times New Roman"/>
          <w:noProof/>
        </w:rPr>
        <w:t xml:space="preserve"> 2015; </w:t>
      </w:r>
      <w:r w:rsidRPr="00117E01">
        <w:rPr>
          <w:rFonts w:ascii="Calibri" w:hAnsi="Calibri" w:cs="Times New Roman"/>
          <w:b/>
          <w:bCs/>
          <w:noProof/>
        </w:rPr>
        <w:t>21</w:t>
      </w:r>
      <w:r w:rsidRPr="00117E01">
        <w:rPr>
          <w:rFonts w:ascii="Calibri" w:hAnsi="Calibri" w:cs="Times New Roman"/>
          <w:noProof/>
        </w:rPr>
        <w:t>: 390–402.</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3</w:t>
      </w:r>
      <w:r w:rsidRPr="00117E01">
        <w:rPr>
          <w:rFonts w:ascii="Calibri" w:hAnsi="Calibri" w:cs="Times New Roman"/>
          <w:noProof/>
        </w:rPr>
        <w:tab/>
        <w:t xml:space="preserve">Bauman AE, Reis RS, Sallis JF, Wells JC, Loos RJ, Martin BW. Correlates of physical activity: why are some people physically active and others not? </w:t>
      </w:r>
      <w:r w:rsidRPr="00117E01">
        <w:rPr>
          <w:rFonts w:ascii="Calibri" w:hAnsi="Calibri" w:cs="Times New Roman"/>
          <w:i/>
          <w:iCs/>
          <w:noProof/>
        </w:rPr>
        <w:t>Lancet</w:t>
      </w:r>
      <w:r w:rsidRPr="00117E01">
        <w:rPr>
          <w:rFonts w:ascii="Calibri" w:hAnsi="Calibri" w:cs="Times New Roman"/>
          <w:noProof/>
        </w:rPr>
        <w:t xml:space="preserve"> 2012; </w:t>
      </w:r>
      <w:r w:rsidRPr="00117E01">
        <w:rPr>
          <w:rFonts w:ascii="Calibri" w:hAnsi="Calibri" w:cs="Times New Roman"/>
          <w:b/>
          <w:bCs/>
          <w:noProof/>
        </w:rPr>
        <w:t>380</w:t>
      </w:r>
      <w:r w:rsidRPr="00117E01">
        <w:rPr>
          <w:rFonts w:ascii="Calibri" w:hAnsi="Calibri" w:cs="Times New Roman"/>
          <w:noProof/>
        </w:rPr>
        <w:t>: 258–71.</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4</w:t>
      </w:r>
      <w:r w:rsidRPr="00117E01">
        <w:rPr>
          <w:rFonts w:ascii="Calibri" w:hAnsi="Calibri" w:cs="Times New Roman"/>
          <w:noProof/>
        </w:rPr>
        <w:tab/>
        <w:t>Uhrig SCN. The Nature and Causes of Attrition in the British Household Panel Survey. Essex, 2008 https://www.iser.essex.ac.uk/files/iser_working_papers/2008-05.pdf.</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5</w:t>
      </w:r>
      <w:r w:rsidRPr="00117E01">
        <w:rPr>
          <w:rFonts w:ascii="Calibri" w:hAnsi="Calibri" w:cs="Times New Roman"/>
          <w:noProof/>
        </w:rPr>
        <w:tab/>
        <w:t xml:space="preserve">Buehler R. Determinants of transport mode choice: a comparison of Germany and the USA. </w:t>
      </w:r>
      <w:r w:rsidRPr="00117E01">
        <w:rPr>
          <w:rFonts w:ascii="Calibri" w:hAnsi="Calibri" w:cs="Times New Roman"/>
          <w:i/>
          <w:iCs/>
          <w:noProof/>
        </w:rPr>
        <w:t>J Transp Geogr</w:t>
      </w:r>
      <w:r w:rsidRPr="00117E01">
        <w:rPr>
          <w:rFonts w:ascii="Calibri" w:hAnsi="Calibri" w:cs="Times New Roman"/>
          <w:noProof/>
        </w:rPr>
        <w:t xml:space="preserve">; </w:t>
      </w:r>
      <w:r w:rsidRPr="00117E01">
        <w:rPr>
          <w:rFonts w:ascii="Calibri" w:hAnsi="Calibri" w:cs="Times New Roman"/>
          <w:b/>
          <w:bCs/>
          <w:noProof/>
        </w:rPr>
        <w:t>19</w:t>
      </w:r>
      <w:r w:rsidRPr="00117E01">
        <w:rPr>
          <w:rFonts w:ascii="Calibri" w:hAnsi="Calibri" w:cs="Times New Roman"/>
          <w:noProof/>
        </w:rPr>
        <w:t>: 644–57.</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6</w:t>
      </w:r>
      <w:r w:rsidRPr="00117E01">
        <w:rPr>
          <w:rFonts w:ascii="Calibri" w:hAnsi="Calibri" w:cs="Times New Roman"/>
          <w:noProof/>
        </w:rPr>
        <w:tab/>
        <w:t xml:space="preserve">Goodman A. Walking, Cycling and Driving to Work in the English and Welsh 2011 Census: Trends, Socio-Economic Patterning and Relevance to Travel Behaviour in General. </w:t>
      </w:r>
      <w:r w:rsidRPr="00117E01">
        <w:rPr>
          <w:rFonts w:ascii="Calibri" w:hAnsi="Calibri" w:cs="Times New Roman"/>
          <w:i/>
          <w:iCs/>
          <w:noProof/>
        </w:rPr>
        <w:t>PLoS One</w:t>
      </w:r>
      <w:r w:rsidRPr="00117E01">
        <w:rPr>
          <w:rFonts w:ascii="Calibri" w:hAnsi="Calibri" w:cs="Times New Roman"/>
          <w:noProof/>
        </w:rPr>
        <w:t xml:space="preserve">; </w:t>
      </w:r>
      <w:r w:rsidRPr="00117E01">
        <w:rPr>
          <w:rFonts w:ascii="Calibri" w:hAnsi="Calibri" w:cs="Times New Roman"/>
          <w:b/>
          <w:bCs/>
          <w:noProof/>
        </w:rPr>
        <w:t>8</w:t>
      </w:r>
      <w:r w:rsidRPr="00117E01">
        <w:rPr>
          <w:rFonts w:ascii="Calibri" w:hAnsi="Calibri" w:cs="Times New Roman"/>
          <w:noProof/>
        </w:rPr>
        <w:t>.</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7</w:t>
      </w:r>
      <w:r w:rsidRPr="00117E01">
        <w:rPr>
          <w:rFonts w:ascii="Calibri" w:hAnsi="Calibri" w:cs="Times New Roman"/>
          <w:noProof/>
        </w:rPr>
        <w:tab/>
        <w:t xml:space="preserve">Grimsrud M, El-Geneidy A. Transit to eternal youth: lifecycle and generational trends in Greater Montreal public transport mode share. </w:t>
      </w:r>
      <w:r w:rsidRPr="00117E01">
        <w:rPr>
          <w:rFonts w:ascii="Calibri" w:hAnsi="Calibri" w:cs="Times New Roman"/>
          <w:i/>
          <w:iCs/>
          <w:noProof/>
        </w:rPr>
        <w:t>Transportation (Amst)</w:t>
      </w:r>
      <w:r w:rsidRPr="00117E01">
        <w:rPr>
          <w:rFonts w:ascii="Calibri" w:hAnsi="Calibri" w:cs="Times New Roman"/>
          <w:noProof/>
        </w:rPr>
        <w:t xml:space="preserve">; </w:t>
      </w:r>
      <w:r w:rsidRPr="00117E01">
        <w:rPr>
          <w:rFonts w:ascii="Calibri" w:hAnsi="Calibri" w:cs="Times New Roman"/>
          <w:b/>
          <w:bCs/>
          <w:noProof/>
        </w:rPr>
        <w:t>41</w:t>
      </w:r>
      <w:r w:rsidRPr="00117E01">
        <w:rPr>
          <w:rFonts w:ascii="Calibri" w:hAnsi="Calibri" w:cs="Times New Roman"/>
          <w:noProof/>
        </w:rPr>
        <w:t>: 1–19.</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8</w:t>
      </w:r>
      <w:r w:rsidRPr="00117E01">
        <w:rPr>
          <w:rFonts w:ascii="Calibri" w:hAnsi="Calibri" w:cs="Times New Roman"/>
          <w:noProof/>
        </w:rPr>
        <w:tab/>
        <w:t xml:space="preserve">Hamari J, Sjoklint M, Ukkonen A. The sharing economy: Why people participate in collaborative consumption. </w:t>
      </w:r>
      <w:r w:rsidRPr="00117E01">
        <w:rPr>
          <w:rFonts w:ascii="Calibri" w:hAnsi="Calibri" w:cs="Times New Roman"/>
          <w:i/>
          <w:iCs/>
          <w:noProof/>
        </w:rPr>
        <w:t>J Assoc Inf Sci Technol</w:t>
      </w:r>
      <w:r w:rsidRPr="00117E01">
        <w:rPr>
          <w:rFonts w:ascii="Calibri" w:hAnsi="Calibri" w:cs="Times New Roman"/>
          <w:noProof/>
        </w:rPr>
        <w:t xml:space="preserve">; </w:t>
      </w:r>
      <w:r w:rsidRPr="00117E01">
        <w:rPr>
          <w:rFonts w:ascii="Calibri" w:hAnsi="Calibri" w:cs="Times New Roman"/>
          <w:b/>
          <w:bCs/>
          <w:noProof/>
        </w:rPr>
        <w:t>67</w:t>
      </w:r>
      <w:r w:rsidRPr="00117E01">
        <w:rPr>
          <w:rFonts w:ascii="Calibri" w:hAnsi="Calibri" w:cs="Times New Roman"/>
          <w:noProof/>
        </w:rPr>
        <w:t>: 2047–59.</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9</w:t>
      </w:r>
      <w:r w:rsidRPr="00117E01">
        <w:rPr>
          <w:rFonts w:ascii="Calibri" w:hAnsi="Calibri" w:cs="Times New Roman"/>
          <w:noProof/>
        </w:rPr>
        <w:tab/>
        <w:t xml:space="preserve">Yap MD, Correia G, van Arem B. Preferences of travellers for using automated vehicles as last mile public transport of multimodal train trips. </w:t>
      </w:r>
      <w:r w:rsidRPr="00117E01">
        <w:rPr>
          <w:rFonts w:ascii="Calibri" w:hAnsi="Calibri" w:cs="Times New Roman"/>
          <w:i/>
          <w:iCs/>
          <w:noProof/>
        </w:rPr>
        <w:t>Transp Res Part a-Policy Pract</w:t>
      </w:r>
      <w:r w:rsidRPr="00117E01">
        <w:rPr>
          <w:rFonts w:ascii="Calibri" w:hAnsi="Calibri" w:cs="Times New Roman"/>
          <w:noProof/>
        </w:rPr>
        <w:t xml:space="preserve">; </w:t>
      </w:r>
      <w:r w:rsidRPr="00117E01">
        <w:rPr>
          <w:rFonts w:ascii="Calibri" w:hAnsi="Calibri" w:cs="Times New Roman"/>
          <w:b/>
          <w:bCs/>
          <w:noProof/>
        </w:rPr>
        <w:t>94</w:t>
      </w:r>
      <w:r w:rsidRPr="00117E01">
        <w:rPr>
          <w:rFonts w:ascii="Calibri" w:hAnsi="Calibri" w:cs="Times New Roman"/>
          <w:noProof/>
        </w:rPr>
        <w:t>: 1–16.</w:t>
      </w:r>
    </w:p>
    <w:p w:rsidR="00117E01" w:rsidRPr="00117E01" w:rsidRDefault="00117E01" w:rsidP="00117E01">
      <w:pPr>
        <w:widowControl w:val="0"/>
        <w:autoSpaceDE w:val="0"/>
        <w:autoSpaceDN w:val="0"/>
        <w:adjustRightInd w:val="0"/>
        <w:ind w:left="640" w:hanging="640"/>
        <w:rPr>
          <w:rFonts w:ascii="Calibri" w:hAnsi="Calibri" w:cs="Times New Roman"/>
          <w:noProof/>
        </w:rPr>
      </w:pPr>
      <w:r w:rsidRPr="00117E01">
        <w:rPr>
          <w:rFonts w:ascii="Calibri" w:hAnsi="Calibri" w:cs="Times New Roman"/>
          <w:noProof/>
        </w:rPr>
        <w:t>10</w:t>
      </w:r>
      <w:r w:rsidRPr="00117E01">
        <w:rPr>
          <w:rFonts w:ascii="Calibri" w:hAnsi="Calibri" w:cs="Times New Roman"/>
          <w:noProof/>
        </w:rPr>
        <w:tab/>
        <w:t xml:space="preserve">Chatterjee K, Sherwin H, Jain J, Christensen J, Marsh S. Conceptual Model to Explain Turning Points in Travel Behavior Application to Bicycle Use. </w:t>
      </w:r>
      <w:r w:rsidRPr="00117E01">
        <w:rPr>
          <w:rFonts w:ascii="Calibri" w:hAnsi="Calibri" w:cs="Times New Roman"/>
          <w:i/>
          <w:iCs/>
          <w:noProof/>
        </w:rPr>
        <w:t>Transp Res Rec</w:t>
      </w:r>
      <w:r w:rsidRPr="00117E01">
        <w:rPr>
          <w:rFonts w:ascii="Calibri" w:hAnsi="Calibri" w:cs="Times New Roman"/>
          <w:noProof/>
        </w:rPr>
        <w:t>; : 82–90.</w:t>
      </w:r>
    </w:p>
    <w:p w:rsidR="00117E01" w:rsidRPr="00117E01" w:rsidRDefault="00117E01" w:rsidP="00117E01">
      <w:pPr>
        <w:widowControl w:val="0"/>
        <w:autoSpaceDE w:val="0"/>
        <w:autoSpaceDN w:val="0"/>
        <w:adjustRightInd w:val="0"/>
        <w:ind w:left="640" w:hanging="640"/>
        <w:rPr>
          <w:rFonts w:ascii="Calibri" w:hAnsi="Calibri"/>
          <w:noProof/>
        </w:rPr>
      </w:pPr>
      <w:r w:rsidRPr="00117E01">
        <w:rPr>
          <w:rFonts w:ascii="Calibri" w:hAnsi="Calibri" w:cs="Times New Roman"/>
          <w:noProof/>
        </w:rPr>
        <w:t>11</w:t>
      </w:r>
      <w:r w:rsidRPr="00117E01">
        <w:rPr>
          <w:rFonts w:ascii="Calibri" w:hAnsi="Calibri" w:cs="Times New Roman"/>
          <w:noProof/>
        </w:rPr>
        <w:tab/>
        <w:t xml:space="preserve">Durkin K, Toseeb U, Pickles A, Botting N, Conti-Ramsden G. Learning to drive in young adults with language impairment. </w:t>
      </w:r>
      <w:r w:rsidRPr="00117E01">
        <w:rPr>
          <w:rFonts w:ascii="Calibri" w:hAnsi="Calibri" w:cs="Times New Roman"/>
          <w:i/>
          <w:iCs/>
          <w:noProof/>
        </w:rPr>
        <w:t>Transp Res Part F-Traffic Psychol Behav</w:t>
      </w:r>
      <w:r w:rsidRPr="00117E01">
        <w:rPr>
          <w:rFonts w:ascii="Calibri" w:hAnsi="Calibri" w:cs="Times New Roman"/>
          <w:noProof/>
        </w:rPr>
        <w:t xml:space="preserve">; </w:t>
      </w:r>
      <w:r w:rsidRPr="00117E01">
        <w:rPr>
          <w:rFonts w:ascii="Calibri" w:hAnsi="Calibri" w:cs="Times New Roman"/>
          <w:b/>
          <w:bCs/>
          <w:noProof/>
        </w:rPr>
        <w:t>42</w:t>
      </w:r>
      <w:r w:rsidRPr="00117E01">
        <w:rPr>
          <w:rFonts w:ascii="Calibri" w:hAnsi="Calibri" w:cs="Times New Roman"/>
          <w:noProof/>
        </w:rPr>
        <w:t>: 195–204.</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BB" w:rsidRDefault="004E39BB" w:rsidP="004F43FC">
      <w:r>
        <w:separator/>
      </w:r>
    </w:p>
  </w:endnote>
  <w:endnote w:type="continuationSeparator" w:id="0">
    <w:p w:rsidR="004E39BB" w:rsidRDefault="004E39BB"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BB" w:rsidRDefault="004E39BB" w:rsidP="004F43FC">
      <w:r>
        <w:separator/>
      </w:r>
    </w:p>
  </w:footnote>
  <w:footnote w:type="continuationSeparator" w:id="0">
    <w:p w:rsidR="004E39BB" w:rsidRDefault="004E39BB"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B64D66" w:rsidRPr="00B64D66" w:rsidRDefault="00B64D66">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4F43FC" w:rsidRPr="004F43FC" w:rsidRDefault="004F43FC">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83AF6"/>
    <w:multiLevelType w:val="multilevel"/>
    <w:tmpl w:val="075CB1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eastAsiaTheme="minorEastAsi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24B2B"/>
    <w:rsid w:val="0004098D"/>
    <w:rsid w:val="00047F0C"/>
    <w:rsid w:val="00072214"/>
    <w:rsid w:val="00093D9D"/>
    <w:rsid w:val="000A5F6D"/>
    <w:rsid w:val="000C6E10"/>
    <w:rsid w:val="000F2F50"/>
    <w:rsid w:val="001037FF"/>
    <w:rsid w:val="00117E01"/>
    <w:rsid w:val="0012558E"/>
    <w:rsid w:val="0013164E"/>
    <w:rsid w:val="001351D0"/>
    <w:rsid w:val="001761E6"/>
    <w:rsid w:val="00180376"/>
    <w:rsid w:val="001F2C87"/>
    <w:rsid w:val="002072E0"/>
    <w:rsid w:val="00226DD9"/>
    <w:rsid w:val="00251DF5"/>
    <w:rsid w:val="00281338"/>
    <w:rsid w:val="002930CE"/>
    <w:rsid w:val="00296A39"/>
    <w:rsid w:val="002A32FB"/>
    <w:rsid w:val="002E108B"/>
    <w:rsid w:val="002F4F58"/>
    <w:rsid w:val="00327D17"/>
    <w:rsid w:val="0035027B"/>
    <w:rsid w:val="00372F76"/>
    <w:rsid w:val="003A681D"/>
    <w:rsid w:val="003B393A"/>
    <w:rsid w:val="004040FA"/>
    <w:rsid w:val="004124A7"/>
    <w:rsid w:val="00414F9D"/>
    <w:rsid w:val="00430A32"/>
    <w:rsid w:val="004416CA"/>
    <w:rsid w:val="004439FF"/>
    <w:rsid w:val="004548AD"/>
    <w:rsid w:val="00496784"/>
    <w:rsid w:val="004E39BB"/>
    <w:rsid w:val="004F43FC"/>
    <w:rsid w:val="005069C4"/>
    <w:rsid w:val="005207EF"/>
    <w:rsid w:val="00537F2E"/>
    <w:rsid w:val="00574BF9"/>
    <w:rsid w:val="005B29D6"/>
    <w:rsid w:val="005D7C57"/>
    <w:rsid w:val="00604DC4"/>
    <w:rsid w:val="006200F2"/>
    <w:rsid w:val="00620416"/>
    <w:rsid w:val="0067116B"/>
    <w:rsid w:val="006A6A01"/>
    <w:rsid w:val="006F415F"/>
    <w:rsid w:val="00784C95"/>
    <w:rsid w:val="0079403E"/>
    <w:rsid w:val="007F78B4"/>
    <w:rsid w:val="00817B43"/>
    <w:rsid w:val="00825871"/>
    <w:rsid w:val="008900DE"/>
    <w:rsid w:val="008A5B58"/>
    <w:rsid w:val="008C10F2"/>
    <w:rsid w:val="008D5060"/>
    <w:rsid w:val="008F5831"/>
    <w:rsid w:val="008F7190"/>
    <w:rsid w:val="00960E34"/>
    <w:rsid w:val="00970384"/>
    <w:rsid w:val="009F14FC"/>
    <w:rsid w:val="00A21833"/>
    <w:rsid w:val="00A32A59"/>
    <w:rsid w:val="00A42453"/>
    <w:rsid w:val="00A51CC4"/>
    <w:rsid w:val="00A52C83"/>
    <w:rsid w:val="00A713B0"/>
    <w:rsid w:val="00AB18FA"/>
    <w:rsid w:val="00B46BC8"/>
    <w:rsid w:val="00B643A7"/>
    <w:rsid w:val="00B64D66"/>
    <w:rsid w:val="00B66F3C"/>
    <w:rsid w:val="00BB0A76"/>
    <w:rsid w:val="00BE3538"/>
    <w:rsid w:val="00C44709"/>
    <w:rsid w:val="00C907F5"/>
    <w:rsid w:val="00C964DA"/>
    <w:rsid w:val="00CA181D"/>
    <w:rsid w:val="00CA74B0"/>
    <w:rsid w:val="00D07BF5"/>
    <w:rsid w:val="00D17431"/>
    <w:rsid w:val="00D5365C"/>
    <w:rsid w:val="00D71946"/>
    <w:rsid w:val="00D73006"/>
    <w:rsid w:val="00D75592"/>
    <w:rsid w:val="00D854F4"/>
    <w:rsid w:val="00D9494A"/>
    <w:rsid w:val="00DA2734"/>
    <w:rsid w:val="00DC68E5"/>
    <w:rsid w:val="00DD27C2"/>
    <w:rsid w:val="00DF0A64"/>
    <w:rsid w:val="00E11D6D"/>
    <w:rsid w:val="00E255B7"/>
    <w:rsid w:val="00E84B3B"/>
    <w:rsid w:val="00EB26BB"/>
    <w:rsid w:val="00EE2381"/>
    <w:rsid w:val="00F12DDB"/>
    <w:rsid w:val="00F1389F"/>
    <w:rsid w:val="00F40B8D"/>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17</Pages>
  <Words>12255</Words>
  <Characters>69855</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18</cp:revision>
  <dcterms:created xsi:type="dcterms:W3CDTF">2017-04-13T09:56:00Z</dcterms:created>
  <dcterms:modified xsi:type="dcterms:W3CDTF">2017-04-26T16:37:00Z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