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1F2C87" w:rsidRDefault="001F2C87" w:rsidP="001F2C87">
      <w:pPr>
        <w:pStyle w:val="Heading1"/>
      </w:pPr>
      <w:r w:rsidRPr="001F2C87">
        <w:t>Introduction</w:t>
      </w:r>
      <w:r w:rsidR="00F1389F">
        <w:t xml:space="preserve"> </w:t>
      </w:r>
      <w:r w:rsidR="00EF13A5">
        <w:t>[</w:t>
      </w:r>
      <w:r w:rsidR="001B7B7A">
        <w:t>1</w:t>
      </w:r>
      <w:r w:rsidR="00D677C7">
        <w:t>518</w:t>
      </w:r>
      <w:r w:rsidR="001B7B7A">
        <w:t xml:space="preserve">, </w:t>
      </w:r>
      <w:r w:rsidR="00EF13A5">
        <w:t>get to 1500]</w:t>
      </w:r>
    </w:p>
    <w:p w:rsidR="00E8341D" w:rsidRDefault="00E8341D" w:rsidP="003C7141"/>
    <w:p w:rsidR="003C7141" w:rsidRDefault="003C7141" w:rsidP="003C7141">
      <w:r>
        <w:t xml:space="preserve">Auto-mobility has long been the dominant transport mode in rich countries, to such an extent that the ‘car system’, or ‘automobile society’, </w:t>
      </w:r>
      <w:r w:rsidR="003212F0">
        <w:t xml:space="preserve">is considered </w:t>
      </w:r>
      <w:r>
        <w:t>high</w:t>
      </w:r>
      <w:r w:rsidR="003212F0">
        <w:t xml:space="preserve">ly path-dependent </w:t>
      </w:r>
      <w:r>
        <w:t xml:space="preserve">and </w:t>
      </w:r>
      <w:proofErr w:type="spellStart"/>
      <w:r>
        <w:t>autopoiet</w:t>
      </w:r>
      <w:r w:rsidR="003212F0">
        <w:t>ic</w:t>
      </w:r>
      <w:proofErr w:type="spellEnd"/>
      <w:r w:rsidR="003212F0">
        <w:t xml:space="preserve"> (self-reproducing). </w:t>
      </w:r>
      <w:r>
        <w:fldChar w:fldCharType="begin" w:fldLock="1"/>
      </w:r>
      <w:r>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"(Urry, 2004)", "plainTextFormattedCitation" : "(Urry, 2004)", "previouslyFormattedCitation" : "(Urry, 2004)" }, "properties" : { "noteIndex" : 0 }, "schema" : "https://github.com/citation-style-language/schema/raw/master/csl-citation.json" }</w:instrText>
      </w:r>
      <w:r>
        <w:fldChar w:fldCharType="separate"/>
      </w:r>
      <w:r w:rsidRPr="003C7141">
        <w:rPr>
          <w:noProof/>
        </w:rPr>
        <w:t>(Urry, 2004)</w:t>
      </w:r>
      <w:r>
        <w:fldChar w:fldCharType="end"/>
      </w:r>
      <w:r w:rsidR="00EF13A5" w:rsidRPr="00EF13A5">
        <w:t xml:space="preserve"> </w:t>
      </w:r>
      <w:r w:rsidR="00EF13A5">
        <w:fldChar w:fldCharType="begin" w:fldLock="1"/>
      </w:r>
      <w:r w:rsidR="00EF13A5">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"(Beckmann, 2001)", "plainTextFormattedCitation" : "(Beckmann, 2001)", "previouslyFormattedCitation" : "(Beckmann, 2001)" }, "properties" : { "noteIndex" : 0 }, "schema" : "https://github.com/citation-style-language/schema/raw/master/csl-citation.json" }</w:instrText>
      </w:r>
      <w:r w:rsidR="00EF13A5">
        <w:fldChar w:fldCharType="separate"/>
      </w:r>
      <w:r w:rsidR="00EF13A5" w:rsidRPr="003C7141">
        <w:rPr>
          <w:noProof/>
        </w:rPr>
        <w:t>(Beckmann, 2001)</w:t>
      </w:r>
      <w:r w:rsidR="00EF13A5">
        <w:fldChar w:fldCharType="end"/>
      </w:r>
      <w:r>
        <w:t xml:space="preserve"> Using cars for travel exclusively, known as mono-modal car use, has been likened to an addictive habit, much like tobacco use, not least because car use can also induce dependency and damage to health of both users and those nearby.</w:t>
      </w:r>
      <w:r>
        <w:fldChar w:fldCharType="begin" w:fldLock="1"/>
      </w:r>
      <w:r w:rsidR="00782069">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"(Douglas et al., 2011)", "plainTextFormattedCitation" : "(Douglas et al., 2011)", "previouslyFormattedCitation" : "(Douglas et al., 2011)" }, "properties" : { "noteIndex" : 0 }, "schema" : "https://github.com/citation-style-language/schema/raw/master/csl-citation.json" }</w:instrText>
      </w:r>
      <w:r>
        <w:fldChar w:fldCharType="separate"/>
      </w:r>
      <w:r w:rsidRPr="003C7141">
        <w:rPr>
          <w:noProof/>
        </w:rPr>
        <w:t>(Douglas et al., 2011)</w:t>
      </w:r>
      <w:r>
        <w:fldChar w:fldCharType="end"/>
      </w:r>
      <w:r>
        <w:t xml:space="preserve"> Preference for travel by car, like many other preferences, is culturally transmitted. </w:t>
      </w:r>
      <w:r>
        <w:fldChar w:fldCharType="begin" w:fldLock="1"/>
      </w:r>
      <w:r w:rsidR="00782069">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"(Baslington, 2008, 2009)", "plainTextFormattedCitation" : "(Baslington, 2008, 2009)", "previouslyFormattedCitation" : "(Baslington, 2008, 2009)" }, "properties" : { "noteIndex" : 0 }, "schema" : "https://github.com/citation-style-language/schema/raw/master/csl-citation.json" }</w:instrText>
      </w:r>
      <w:r>
        <w:fldChar w:fldCharType="separate"/>
      </w:r>
      <w:r w:rsidRPr="003C7141">
        <w:rPr>
          <w:noProof/>
        </w:rPr>
        <w:t>(Baslington, 2008, 2009)</w:t>
      </w:r>
      <w:r>
        <w:fldChar w:fldCharType="end"/>
      </w:r>
      <w:r>
        <w:t xml:space="preserve"> </w:t>
      </w:r>
    </w:p>
    <w:p w:rsidR="003C7141" w:rsidRDefault="003C7141" w:rsidP="003C7141"/>
    <w:p w:rsidR="003C7141" w:rsidRDefault="003C7141" w:rsidP="003C7141">
      <w:pPr>
        <w:rPr>
          <w:rFonts w:eastAsiaTheme="minorHAnsi"/>
          <w:sz w:val="22"/>
          <w:szCs w:val="22"/>
          <w:lang w:val="en-GB"/>
        </w:rPr>
      </w:pPr>
      <w:r>
        <w:t>There are complex but compelling links between life stage and car use, as well as with household wealth</w:t>
      </w:r>
      <w:r w:rsidR="000B6943">
        <w:t xml:space="preserve"> and other demographic factors like gender</w:t>
      </w:r>
      <w:r>
        <w:t xml:space="preserve">. In the USA, both type of residence and the life-stage of household members are shown to influence how often and how far people tend to travel, as well as each other. </w:t>
      </w:r>
      <w:r>
        <w:fldChar w:fldCharType="begin" w:fldLock="1"/>
      </w:r>
      <w:r w:rsidR="00782069">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"(Lin and Long, 2008)", "plainTextFormattedCitation" : "(Lin and Long, 2008)", "previouslyFormattedCitation" : "(Lin and Long, 2008)" }, "properties" : { "noteIndex" : 0 }, "schema" : "https://github.com/citation-style-language/schema/raw/master/csl-citation.json" }</w:instrText>
      </w:r>
      <w:r>
        <w:fldChar w:fldCharType="separate"/>
      </w:r>
      <w:r w:rsidRPr="003C7141">
        <w:rPr>
          <w:noProof/>
        </w:rPr>
        <w:t>(Lin and Long, 2008)</w:t>
      </w:r>
      <w:r>
        <w:fldChar w:fldCharType="end"/>
      </w:r>
      <w:r>
        <w:t xml:space="preserve"> Car dependency tends to increase in househ</w:t>
      </w:r>
      <w:r w:rsidR="001B7B7A">
        <w:t>olds after the birth of a child.</w:t>
      </w:r>
      <w:r>
        <w:t xml:space="preserve"> </w:t>
      </w:r>
      <w:r>
        <w:fldChar w:fldCharType="begin" w:fldLock="1"/>
      </w:r>
      <w:r w:rsidR="00782069">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"(Lanzendorf, 2010)", "plainTextFormattedCitation" : "(Lanzendorf, 2010)", "previouslyFormattedCitation" : "(Lanzendorf, 2010)" }, "properties" : { "noteIndex" : 0 }, "schema" : "https://github.com/citation-style-language/schema/raw/master/csl-citation.json" }</w:instrText>
      </w:r>
      <w:r>
        <w:fldChar w:fldCharType="separate"/>
      </w:r>
      <w:r w:rsidRPr="003C7141">
        <w:rPr>
          <w:noProof/>
        </w:rPr>
        <w:t>(Lanzendorf, 2010)</w:t>
      </w:r>
      <w:r>
        <w:fldChar w:fldCharType="end"/>
      </w:r>
      <w:r>
        <w:t xml:space="preserve"> </w:t>
      </w:r>
      <w:r w:rsidR="000B6943">
        <w:t xml:space="preserve">An important life </w:t>
      </w:r>
      <w:r w:rsidR="008A6AE9">
        <w:t>event</w:t>
      </w:r>
      <w:r w:rsidR="000B6943">
        <w:t xml:space="preserve">, affecting both mobility and auto-mobility, </w:t>
      </w:r>
      <w:r w:rsidR="008A6AE9">
        <w:t>is residential relocation</w:t>
      </w:r>
      <w:r w:rsidR="000B6943">
        <w:t xml:space="preserve"> due to both starting at university and starting a new job; these change people’s social networks, influencing the cultural norms and expectations people are exposed to, including towards car use compared with other travel modes. </w:t>
      </w:r>
      <w:r w:rsidR="000B6943">
        <w:fldChar w:fldCharType="begin" w:fldLock="1"/>
      </w:r>
      <w:r w:rsidR="00782069">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"(Sharmeen et al., 2014)", "plainTextFormattedCitation" : "(Sharmeen et al., 2014)", "previouslyFormattedCitation" : "(Sharmeen et al., 2014)" }, "properties" : { "noteIndex" : 0 }, "schema" : "https://github.com/citation-style-language/schema/raw/master/csl-citation.json" }</w:instrText>
      </w:r>
      <w:r w:rsidR="000B6943">
        <w:fldChar w:fldCharType="separate"/>
      </w:r>
      <w:r w:rsidR="000B6943" w:rsidRPr="003C7141">
        <w:rPr>
          <w:noProof/>
        </w:rPr>
        <w:t>(Sharmeen et al., 2014)</w:t>
      </w:r>
      <w:r w:rsidR="000B6943">
        <w:fldChar w:fldCharType="end"/>
      </w:r>
      <w:r w:rsidR="000B6943">
        <w:t xml:space="preserve"> </w:t>
      </w:r>
    </w:p>
    <w:p w:rsidR="003212F0" w:rsidRDefault="003212F0" w:rsidP="003C7141"/>
    <w:p w:rsidR="00E73DB4" w:rsidRDefault="000B6943" w:rsidP="00E73DB4">
      <w:r>
        <w:t xml:space="preserve">The places people live also affect car use, with many suburbs effectively only accessible by car, and so car dependent. </w:t>
      </w:r>
      <w:r w:rsidR="00D677C7">
        <w:t>More compact and denser urban forms</w:t>
      </w:r>
      <w:r w:rsidR="003C7141">
        <w:t xml:space="preserve">, which reduce the physical distance between trip destinations, encourage lower car dependence and greater use of multi-modal transportation. </w:t>
      </w:r>
      <w:r w:rsidR="00D677C7">
        <w:fldChar w:fldCharType="begin" w:fldLock="1"/>
      </w:r>
      <w:r w:rsidR="00D677C7">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"id" : "ITEM-2",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"ITEM-2",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"(Dieleman et al., 2002; McIntosh et al., 2014)", "plainTextFormattedCitation" : "(Dieleman et al., 2002; McIntosh et al., 2014)", "previouslyFormattedCitation" : "(Dieleman et al., 2002; McIntosh et al., 2014)" }, "properties" : { "noteIndex" : 0 }, "schema" : "https://github.com/citation-style-language/schema/raw/master/csl-citation.json" }</w:instrText>
      </w:r>
      <w:r w:rsidR="00D677C7">
        <w:fldChar w:fldCharType="separate"/>
      </w:r>
      <w:r w:rsidR="00D677C7" w:rsidRPr="00D677C7">
        <w:rPr>
          <w:noProof/>
        </w:rPr>
        <w:t>(Dieleman et al., 2002; McIntosh et al., 2014)</w:t>
      </w:r>
      <w:r w:rsidR="00D677C7">
        <w:fldChar w:fldCharType="end"/>
      </w:r>
    </w:p>
    <w:p w:rsidR="001B7B7A" w:rsidRDefault="001B7B7A" w:rsidP="00E73DB4"/>
    <w:p w:rsidR="001B7B7A" w:rsidRDefault="001B7B7A" w:rsidP="001B7B7A">
      <w:r>
        <w:t xml:space="preserve">Car ownership is associated with generally good health and wellbeing outcomes, but by reducing physical activity and encouraging more physical separation between people is a cause of worse health and wellbeing. It is associated with higher quality of life amongst older people, </w:t>
      </w:r>
      <w:r>
        <w:fldChar w:fldCharType="begin" w:fldLock="1"/>
      </w:r>
      <w:r>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"(KNESEBECK et al., 2007)", "plainTextFormattedCitation" : "(KNESEBECK et al., 2007)", "previouslyFormattedCitation" : "(KNESEBECK et al., 2007)" }, "properties" : { "noteIndex" : 0 }, "schema" : "https://github.com/citation-style-language/schema/raw/master/csl-citation.json" }</w:instrText>
      </w:r>
      <w:r>
        <w:fldChar w:fldCharType="separate"/>
      </w:r>
      <w:r w:rsidRPr="003C7141">
        <w:rPr>
          <w:noProof/>
        </w:rPr>
        <w:t>(KNESEBECK et al., 2007)</w:t>
      </w:r>
      <w:r>
        <w:fldChar w:fldCharType="end"/>
      </w:r>
      <w:r>
        <w:t xml:space="preserve"> and lack of car ownership with poorer general health, and in particular with increased prevalence of depression and anxiety</w:t>
      </w:r>
      <w:r w:rsidR="00D677C7">
        <w:t>, obesity and hypertension, and generally less ‘successful ageing’ in older age</w:t>
      </w:r>
      <w:r>
        <w:t xml:space="preserve">. </w:t>
      </w:r>
      <w:r w:rsidR="00D677C7">
        <w:fldChar w:fldCharType="begin" w:fldLock="1"/>
      </w:r>
      <w:r w:rsidR="00D677C7">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"id" : "ITEM-2",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"ITEM-2",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"id" : "ITEM-3",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"ITEM-3",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"(Ellaway et al., 2016; Groffen et al., 2013; Tyrovolas et al., 2017)", "plainTextFormattedCitation" : "(Ellaway et al., 2016; Groffen et al., 2013; Tyrovolas et al., 2017)", "previouslyFormattedCitation" : "(Ellaway et al., 2016; Groffen et al., 2013; Tyrovolas et al., 2017)" }, "properties" : { "noteIndex" : 0 }, "schema" : "https://github.com/citation-style-language/schema/raw/master/csl-citation.json" }</w:instrText>
      </w:r>
      <w:r w:rsidR="00D677C7">
        <w:fldChar w:fldCharType="separate"/>
      </w:r>
      <w:r w:rsidR="00D677C7" w:rsidRPr="00D677C7">
        <w:rPr>
          <w:noProof/>
        </w:rPr>
        <w:t>(Ellaway et al., 2016; Groffen et al., 2013; Tyrovolas et al., 2017)</w:t>
      </w:r>
      <w:r w:rsidR="00D677C7">
        <w:fldChar w:fldCharType="end"/>
      </w:r>
      <w:r>
        <w:t xml:space="preserve"> Nevertheless, it seems that users of active travel and trains have higher levels of commuting satisfaction than car drivers, </w:t>
      </w:r>
      <w:r>
        <w:fldChar w:fldCharType="begin" w:fldLock="1"/>
      </w:r>
      <w:r>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"(St-Louis et al., 2014; Thomas and Walker, 2015)", "plainTextFormattedCitation" : "(St-Louis et al., 2014; Thomas and Walker, 2015)", "previouslyFormattedCitation" : "(St-Louis et al., 2014; Thomas and Walker, 2015)" }, "properties" : { "noteIndex" : 0 }, "schema" : "https://github.com/citation-style-language/schema/raw/master/csl-citation.json" }</w:instrText>
      </w:r>
      <w:r>
        <w:fldChar w:fldCharType="separate"/>
      </w:r>
      <w:r w:rsidRPr="003C7141">
        <w:rPr>
          <w:noProof/>
        </w:rPr>
        <w:t>(St-Louis et al., 2014; Thomas and Walker, 2015)</w:t>
      </w:r>
      <w:r>
        <w:fldChar w:fldCharType="end"/>
      </w:r>
      <w:r>
        <w:t xml:space="preserve"> and that switching from car use to public transport and </w:t>
      </w:r>
      <w:r>
        <w:lastRenderedPageBreak/>
        <w:t xml:space="preserve">active travel is associated with lower body weight, and switching to car use to higher body weight of an almost identical magnitude. </w:t>
      </w:r>
      <w:r>
        <w:fldChar w:fldCharType="begin" w:fldLock="1"/>
      </w:r>
      <w:r>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"id" : "ITEM-2",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"ITEM-2",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"(Flint et al., 2014; Martin et al., 2015)", "plainTextFormattedCitation" : "(Flint et al., 2014; Martin et al., 2015)", "previouslyFormattedCitation" : "(Flint et al., 2014; Martin et al., 2015)" }, "properties" : { "noteIndex" : 0 }, "schema" : "https://github.com/citation-style-language/schema/raw/master/csl-citation.json" }</w:instrText>
      </w:r>
      <w:r>
        <w:fldChar w:fldCharType="separate"/>
      </w:r>
      <w:r w:rsidRPr="001B7B7A">
        <w:rPr>
          <w:noProof/>
        </w:rPr>
        <w:t>(Flint et al., 2014; Martin et al., 2015)</w:t>
      </w:r>
      <w:r>
        <w:fldChar w:fldCharType="end"/>
      </w:r>
    </w:p>
    <w:p w:rsidR="003C7141" w:rsidRDefault="003C7141" w:rsidP="003C7141">
      <w:pPr>
        <w:rPr>
          <w:rFonts w:eastAsiaTheme="minorHAnsi"/>
          <w:sz w:val="22"/>
          <w:szCs w:val="22"/>
          <w:lang w:val="en-GB"/>
        </w:rPr>
      </w:pPr>
    </w:p>
    <w:p w:rsidR="00E73DB4" w:rsidRDefault="00D677C7" w:rsidP="003C7141">
      <w:r>
        <w:t xml:space="preserve">After increased car use from the 1970s to the </w:t>
      </w:r>
      <w:proofErr w:type="spellStart"/>
      <w:r>
        <w:t>mid 1990s</w:t>
      </w:r>
      <w:proofErr w:type="spellEnd"/>
      <w:r>
        <w:t xml:space="preserve">, there has since been a reversal. </w:t>
      </w:r>
      <w:r w:rsidR="003212F0">
        <w:t xml:space="preserve"> F</w:t>
      </w:r>
      <w:r w:rsidR="003C7141">
        <w:t xml:space="preserve">alling levels of driving </w:t>
      </w:r>
      <w:proofErr w:type="spellStart"/>
      <w:r w:rsidR="003C7141">
        <w:t>licence</w:t>
      </w:r>
      <w:proofErr w:type="spellEnd"/>
      <w:r w:rsidR="003C7141">
        <w:t xml:space="preserve"> ownership have been identified in at least</w:t>
      </w:r>
      <w:r>
        <w:t xml:space="preserve"> nine developed world countries</w:t>
      </w:r>
      <w:r w:rsidR="003C7141">
        <w:t xml:space="preserve">. </w:t>
      </w:r>
      <w:r>
        <w:t>In many countries</w:t>
      </w:r>
      <w:r w:rsidR="003C7141">
        <w:t xml:space="preserve"> high levels of car use amongst older drivers have partially or wholly offset reduced levels of car use amongst young adults.</w:t>
      </w:r>
      <w:r>
        <w:t xml:space="preserve"> </w:t>
      </w:r>
      <w:r>
        <w:fldChar w:fldCharType="begin" w:fldLock="1"/>
      </w:r>
      <w:r>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"id" : "ITEM-3",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"ITEM-3",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"id" : "ITEM-4",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"ITEM-4",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"id" : "ITEM-5",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"ITEM-5",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Jones, 2014; Kuhnimhof et al., 2013; Lee-Gosselin, 2017; Stokes, 2013)", "plainTextFormattedCitation" : "(Delbosc and Currie, 2013; Jones, 2014; Kuhnimhof et al., 2013; Lee-Gosselin, 2017; Stokes, 2013)" }, "properties" : { "noteIndex" : 0 }, "schema" : "https://github.com/citation-style-language/schema/raw/master/csl-citation.json" }</w:instrText>
      </w:r>
      <w:r>
        <w:fldChar w:fldCharType="separate"/>
      </w:r>
      <w:r w:rsidRPr="00D677C7">
        <w:rPr>
          <w:noProof/>
        </w:rPr>
        <w:t>(Delbosc and Currie, 2013; Jones, 2014; Kuhnimhof et al., 2013; Lee-Gosselin, 2017; Stokes, 2013)</w:t>
      </w:r>
      <w:r>
        <w:fldChar w:fldCharType="end"/>
      </w:r>
    </w:p>
    <w:p w:rsidR="001B7B7A" w:rsidRDefault="001B7B7A" w:rsidP="003C7141"/>
    <w:p w:rsidR="001B7B7A" w:rsidRDefault="001B7B7A" w:rsidP="001B7B7A">
      <w:r>
        <w:t xml:space="preserve">The starkest falls in starting to drive have been observed within cohorts born after the late 1970s, often referred to as the ‘Millennials’, who in car mobility terms have been described as the ‘Go-Nowhere’ generation.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"(McDonald, 2015)", "plainTextFormattedCitation" : "(McDonald, 2015)", "previouslyFormattedCitation" : "(McDonald, 2015)" }, "properties" : { "noteIndex" : 0 }, "schema" : "https://github.com/citation-style-language/schema/raw/master/csl-citation.json" }</w:instrText>
      </w:r>
      <w:r>
        <w:fldChar w:fldCharType="separate"/>
      </w:r>
      <w:r w:rsidRPr="003C7141">
        <w:rPr>
          <w:noProof/>
        </w:rPr>
        <w:t>(McDonald, 2015)</w:t>
      </w:r>
      <w:r>
        <w:fldChar w:fldCharType="end"/>
      </w:r>
      <w:r>
        <w:t xml:space="preserve"> One explanation is that Millennials defer important life events – such as finishing fully time education, marrying and having children – which lead to increased car use, but that once such events occur, auto-mobility increases. </w:t>
      </w:r>
      <w:r>
        <w:fldChar w:fldCharType="begin" w:fldLock="1"/>
      </w:r>
      <w:r>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"(Garikapati et al., 2016)", "plainTextFormattedCitation" : "(Garikapati et al., 2016)", "previouslyFormattedCitation" : "(Garikapati et al., 2016)" }, "properties" : { "noteIndex" : 0 }, "schema" : "https://github.com/citation-style-language/schema/raw/master/csl-citation.json" }</w:instrText>
      </w:r>
      <w:r>
        <w:fldChar w:fldCharType="separate"/>
      </w:r>
      <w:r w:rsidRPr="003C7141">
        <w:rPr>
          <w:noProof/>
        </w:rPr>
        <w:t>(Garikapati et al., 2016)</w:t>
      </w:r>
      <w:r>
        <w:fldChar w:fldCharType="end"/>
      </w:r>
      <w:r>
        <w:t xml:space="preserve"> Falling levels of driving levels in the 2000s have not been accompanied by commensurate increases in use of alternative travel modes, leading to reduced mobility overall. </w:t>
      </w:r>
      <w:r>
        <w:fldChar w:fldCharType="begin" w:fldLock="1"/>
      </w:r>
      <w:r>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"(Manville et al., 2017)", "plainTextFormattedCitation" : "(Manville et al., 2017)", "previouslyFormattedCitation" : "(Manville et al., 2017)" }, "properties" : { "noteIndex" : 0 }, "schema" : "https://github.com/citation-style-language/schema/raw/master/csl-citation.json" }</w:instrText>
      </w:r>
      <w:r>
        <w:fldChar w:fldCharType="separate"/>
      </w:r>
      <w:r w:rsidRPr="003C7141">
        <w:rPr>
          <w:noProof/>
        </w:rPr>
        <w:t>(Manville et al., 2017)</w:t>
      </w:r>
      <w:r>
        <w:fldChar w:fldCharType="end"/>
      </w:r>
    </w:p>
    <w:p w:rsidR="00E73DB4" w:rsidRDefault="00E73DB4" w:rsidP="003C7141"/>
    <w:p w:rsidR="001B7B7A" w:rsidRDefault="003212F0" w:rsidP="001B7B7A">
      <w:r>
        <w:t xml:space="preserve">Rates of driving </w:t>
      </w:r>
      <w:proofErr w:type="spellStart"/>
      <w:r>
        <w:t>licence</w:t>
      </w:r>
      <w:proofErr w:type="spellEnd"/>
      <w:r>
        <w:t xml:space="preserve"> ownership and driving have not fallen equally for both genders. </w:t>
      </w:r>
      <w:r w:rsidR="00E73DB4">
        <w:t>Within Great Britain and amongst young adults, increasing levels of female car use have partially offset falling levels of car use amongst males;</w:t>
      </w:r>
      <w:r w:rsidR="00E73DB4">
        <w:fldChar w:fldCharType="begin" w:fldLock="1"/>
      </w:r>
      <w:r w:rsidR="00782069">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rsidR="00E73DB4">
        <w:fldChar w:fldCharType="separate"/>
      </w:r>
      <w:r w:rsidR="00E73DB4" w:rsidRPr="003C7141">
        <w:rPr>
          <w:noProof/>
        </w:rPr>
        <w:t>(Le Vine et al., 2013)</w:t>
      </w:r>
      <w:r w:rsidR="00E73DB4">
        <w:fldChar w:fldCharType="end"/>
      </w:r>
      <w:r w:rsidR="00E73DB4">
        <w:t xml:space="preserve"> a</w:t>
      </w:r>
      <w:r>
        <w:t>fter many decades in which men tended to drive more than women, i</w:t>
      </w:r>
      <w:r w:rsidR="003C7141">
        <w:t>n recent years, young adult females now have greater weekly mobility than young adult males of the same age.</w:t>
      </w:r>
      <w:r w:rsidR="003C7141">
        <w:fldChar w:fldCharType="begin" w:fldLock="1"/>
      </w:r>
      <w:r w:rsidR="00782069">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"(Tilley and Houston, 2016)", "plainTextFormattedCitation" : "(Tilley and Houston, 2016)", "previouslyFormattedCitation" : "(Tilley and Houston, 2016)" }, "properties" : { "noteIndex" : 0 }, "schema" : "https://github.com/citation-style-language/schema/raw/master/csl-citation.json" }</w:instrText>
      </w:r>
      <w:r w:rsidR="003C7141">
        <w:fldChar w:fldCharType="separate"/>
      </w:r>
      <w:r w:rsidR="003C7141" w:rsidRPr="003C7141">
        <w:rPr>
          <w:noProof/>
        </w:rPr>
        <w:t>(Tilley and Houston, 2016)</w:t>
      </w:r>
      <w:r w:rsidR="003C7141">
        <w:fldChar w:fldCharType="end"/>
      </w:r>
      <w:r w:rsidR="003C7141">
        <w:t xml:space="preserve"> </w:t>
      </w:r>
      <w:r w:rsidR="001B7B7A">
        <w:t>Despite these long-term trends, England and Wales remains car dependent, with 67% of commuters using cars or vans as their main commute mode in 2011.</w:t>
      </w:r>
      <w:r w:rsidR="001B7B7A">
        <w:fldChar w:fldCharType="begin" w:fldLock="1"/>
      </w:r>
      <w:r w:rsidR="001B7B7A">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1B7B7A">
        <w:fldChar w:fldCharType="separate"/>
      </w:r>
      <w:r w:rsidR="001B7B7A" w:rsidRPr="003C7141">
        <w:rPr>
          <w:noProof/>
        </w:rPr>
        <w:t>(Goodman, 2013)</w:t>
      </w:r>
      <w:r w:rsidR="001B7B7A">
        <w:fldChar w:fldCharType="end"/>
      </w:r>
      <w:r w:rsidR="001B7B7A">
        <w:t xml:space="preserve"> </w:t>
      </w:r>
    </w:p>
    <w:p w:rsidR="00E73DB4" w:rsidRDefault="00E73DB4" w:rsidP="003C7141"/>
    <w:p w:rsidR="00E73DB4" w:rsidRDefault="00E73DB4" w:rsidP="00E73DB4">
      <w:pPr>
        <w:pStyle w:val="Heading2"/>
      </w:pPr>
      <w:r>
        <w:t>Aim of chapter</w:t>
      </w:r>
    </w:p>
    <w:p w:rsidR="00E73DB4" w:rsidRPr="00E73DB4" w:rsidRDefault="00E73DB4" w:rsidP="00E73DB4">
      <w:r>
        <w:t xml:space="preserve">The aim of this chapter is to graphically explore the complex roles and interactions between generational membership, age, gender and education in explaining both rates of learning to drive (‘driving </w:t>
      </w:r>
      <w:proofErr w:type="spellStart"/>
      <w:r>
        <w:t>licence</w:t>
      </w:r>
      <w:proofErr w:type="spellEnd"/>
      <w:r>
        <w:t xml:space="preserve"> ownership’), and car use and access amongst those with driving </w:t>
      </w:r>
      <w:proofErr w:type="spellStart"/>
      <w:r>
        <w:t>licences</w:t>
      </w:r>
      <w:proofErr w:type="spellEnd"/>
      <w:r>
        <w:t xml:space="preserve"> (‘drivers who drive’). We use a large-scale longitudinal household panel survey based in the UK for our data, and Lexis surfaces – a method often used in demography but rarely for survey data – for our </w:t>
      </w:r>
      <w:proofErr w:type="spellStart"/>
      <w:r>
        <w:t>vi</w:t>
      </w:r>
      <w:r w:rsidR="0077257E">
        <w:t>sualisations</w:t>
      </w:r>
      <w:proofErr w:type="spellEnd"/>
      <w:r w:rsidR="0077257E">
        <w:t>. Our use of this data and method is exploratory rather than confirmatory, and does not involve formal statistical hypothesis testing, but instead to become more familiar with a large quantity of data, to note and discuss patterns within this data, and to consider the broader sociological, economic and epidemiological implications of these patterns for advancing our understanding</w:t>
      </w:r>
      <w:r w:rsidR="00782069">
        <w:t xml:space="preserve"> of how car society is changing, and important ways in which inequalities in auto-mobility are either narrowing or expanding.</w:t>
      </w:r>
    </w:p>
    <w:p w:rsidR="003C7141" w:rsidRDefault="003C7141" w:rsidP="003C7141">
      <w:pPr>
        <w:rPr>
          <w:rFonts w:eastAsiaTheme="minorHAnsi"/>
          <w:sz w:val="22"/>
          <w:szCs w:val="22"/>
          <w:lang w:val="en-GB"/>
        </w:rPr>
      </w:pPr>
    </w:p>
    <w:p w:rsidR="001F2C87" w:rsidRPr="001F2C87" w:rsidRDefault="001F2C87" w:rsidP="001F2C87">
      <w:pPr>
        <w:pStyle w:val="Heading1"/>
      </w:pPr>
      <w:r w:rsidRPr="001F2C87">
        <w:t>Methods</w:t>
      </w:r>
      <w:r w:rsidR="00CA181D">
        <w:t xml:space="preserve"> </w:t>
      </w:r>
      <w:r w:rsidR="00EF13A5">
        <w:t>[</w:t>
      </w:r>
      <w:r w:rsidR="00D677C7">
        <w:t>612</w:t>
      </w:r>
      <w:r w:rsidR="00EF13A5">
        <w:t>, get to 500]</w:t>
      </w:r>
    </w:p>
    <w:p w:rsidR="001F2C87" w:rsidRDefault="001F2C87" w:rsidP="001F2C87"/>
    <w:p w:rsidR="001F2C87" w:rsidRDefault="00A713B0" w:rsidP="00E8341D">
      <w:pPr>
        <w:pStyle w:val="Heading2"/>
      </w:pPr>
      <w:r>
        <w:t>Data</w:t>
      </w:r>
    </w:p>
    <w:p w:rsidR="007F78B4" w:rsidRDefault="004F43FC" w:rsidP="004F43FC">
      <w:r>
        <w:t xml:space="preserve">The British Household Panel Survey (BHPS) </w:t>
      </w:r>
      <w:r w:rsidR="00A42453">
        <w:t xml:space="preserve">was a large longitudinal panel survey first carried out in 1991, and then in every subsequent year up until 2009. In the first year, known as a </w:t>
      </w:r>
      <w:r w:rsidR="00A42453">
        <w:lastRenderedPageBreak/>
        <w:t xml:space="preserve">‘wave’,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w:t>
      </w:r>
      <w:r w:rsidR="007F78B4">
        <w:t xml:space="preserve">Because a different set of questions was used to elicit information from individuals about driving </w:t>
      </w:r>
      <w:proofErr w:type="spellStart"/>
      <w:r w:rsidR="007F78B4">
        <w:t>licence</w:t>
      </w:r>
      <w:proofErr w:type="spellEnd"/>
      <w:r w:rsidR="007F78B4">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E8341D">
      <w:pPr>
        <w:pStyle w:val="Heading2"/>
      </w:pPr>
      <w:r>
        <w:t>Questions used</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xml:space="preserve">” (the DRIVER variable), and subsequently asked “Do you normally have access to a car or van whenever you want to use it” (the CARUSE variable) only if they respond to the DRIVER question in the affirmative.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1"/>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A713B0" w:rsidRDefault="00782069" w:rsidP="00782069">
      <w:pPr>
        <w:pStyle w:val="Heading2"/>
      </w:pPr>
      <w:r>
        <w:t>Lexis surfaces</w:t>
      </w:r>
    </w:p>
    <w:p w:rsidR="00C24D8C" w:rsidRPr="006A6A01" w:rsidRDefault="00782069" w:rsidP="00782069">
      <w:r>
        <w:t xml:space="preserve">We explore the data graphically, by arranging either rates of driving </w:t>
      </w:r>
      <w:proofErr w:type="spellStart"/>
      <w:r>
        <w:t>licence</w:t>
      </w:r>
      <w:proofErr w:type="spellEnd"/>
      <w:r>
        <w:t xml:space="preserve"> ownership, or car access amongst those with driving </w:t>
      </w:r>
      <w:proofErr w:type="spellStart"/>
      <w:r>
        <w:t>licences</w:t>
      </w:r>
      <w:proofErr w:type="spellEnd"/>
      <w:r>
        <w:t>, as a large matrix of shaded cells or tiles</w:t>
      </w:r>
      <w:r w:rsidR="00C24D8C">
        <w:t xml:space="preserve"> in a </w:t>
      </w:r>
      <w:proofErr w:type="spellStart"/>
      <w:r w:rsidR="00C24D8C">
        <w:t>levelplot</w:t>
      </w:r>
      <w:proofErr w:type="spellEnd"/>
      <w:r>
        <w:t xml:space="preserve">. Each row in these matrices is a different age, and each column a different year based on BHPS wave. This particular arrangement of data is known as a Lexis surface, and is used relatively often within demography, and increasingly in public health, but much more rarely in the broader social sciences. </w:t>
      </w:r>
      <w:r w:rsidR="00C24D8C">
        <w:fldChar w:fldCharType="begin" w:fldLock="1"/>
      </w:r>
      <w:r w:rsidR="008A6AE9">
        <w:instrText>ADDIN CSL_CITATION { "citationItems" : [ { "id" : "ITEM-1",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"ITEM-1",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"10.4054/DemRes.2017.36.21", "ISSN" : "1435-9871", "abstract" : "BACKGROUND The Lexis surface plot is an established visualization tool in demography. Its present utility, however, is limited to the domain of one-dimensional magnitudes such as rates and counts. Visualizing proportions among three or more groups on a period-age grid is an unsolved problem. OBJECTIVE We seek to extend the Lexis surface plot to the domain of compositional data. METHODS We propose four techniques for visualizing group compositions on a period-age grid. To demonstrate the techniques we use data on age-specific cause-of-death compositions in France from 1925 to 1999. We compare the visualizations for compliance with multiple desired criteria. RESULTS Compositional data can effectively be visualized on the Lexis surface. A key feature of the classical Lexis surface plot \u2013 to show age, period, and cohort patterns \u2013 is retained in the domain of compositions. The optimal choice among the four proposed techniques depends primarily on the number of groups making up the composition and whether or not the plot should be readable by people with impaired colour vision. CONTRIBUTION We introduce techniques for visualizing compositional data on a period-age grid to the field of demography and demonstrate the usefulness of the techniques by performing an exploratory analysis of age-specific French cause-of-death patterns across the 20th century. We identify strengths and weaknesses of the four proposed techniques. We contribute a technique to construct the ternary-balance colour scheme from within a perceptually uniform colour space.", "author" : [ { "dropping-particle" : "", "family" : "Sch\u00f6ley", "given" : "Jonas", "non-dropping-particle" : "", "parse-names" : false, "suffix" : "" }, { "dropping-particle" : "", "family" : "Willekens", "given" : "Frans", "non-dropping-particle" : "", "parse-names" : false, "suffix" : "" } ], "container-title" : "Demographic Research", "id" : "ITEM-3", "issued" : { "date-parts" : [ [ "2017", "2", "17" ] ] }, "page" : "627-658", "title" : "Visualizing compositional data on the Lexis surface", "type" : "article-journal", "volume" : "36" }, "uris" : [ "http://www.mendeley.com/documents/?uuid=17b65045-d715-4f0e-9edf-d65bacefd878" ] } ], "mendeley" : { "formattedCitation" : "(Minton et al., 2013; Sch\u00f6ley and Willekens, 2017; Vaupel et al., 1997)", "plainTextFormattedCitation" : "(Minton et al., 2013; Sch\u00f6ley and Willekens, 2017; Vaupel et al., 1997)", "previouslyFormattedCitation" : "(Minton et al., 2013; Sch\u00f6ley and Willekens, 2017; Vaupel et al., 1997)" }, "properties" : { "noteIndex" : 0 }, "schema" : "https://github.com/citation-style-language/schema/raw/master/csl-citation.json" }</w:instrText>
      </w:r>
      <w:r w:rsidR="00C24D8C">
        <w:fldChar w:fldCharType="separate"/>
      </w:r>
      <w:r w:rsidR="00C24D8C" w:rsidRPr="00C24D8C">
        <w:rPr>
          <w:noProof/>
        </w:rPr>
        <w:t>(Minton et al., 2013; Schöley and Willekens, 2017; Vaupel et al., 1997)</w:t>
      </w:r>
      <w:r w:rsidR="00C24D8C">
        <w:fldChar w:fldCharType="end"/>
      </w:r>
      <w:r w:rsidR="00C24D8C">
        <w:t xml:space="preserve"> The shades of each of the cells in the </w:t>
      </w:r>
      <w:proofErr w:type="spellStart"/>
      <w:r w:rsidR="00C24D8C">
        <w:t>levelplots</w:t>
      </w:r>
      <w:proofErr w:type="spellEnd"/>
      <w:r w:rsidR="00C24D8C">
        <w:t xml:space="preserve"> indicates the proportions either of sample members of that age and in that year with a driving </w:t>
      </w:r>
      <w:proofErr w:type="spellStart"/>
      <w:r w:rsidR="00C24D8C">
        <w:t>licence</w:t>
      </w:r>
      <w:proofErr w:type="spellEnd"/>
      <w:r w:rsidR="00C24D8C">
        <w:t xml:space="preserve">; or the proportion of those sample members with driving </w:t>
      </w:r>
      <w:proofErr w:type="spellStart"/>
      <w:r w:rsidR="00C24D8C">
        <w:t>licences</w:t>
      </w:r>
      <w:proofErr w:type="spellEnd"/>
      <w:r w:rsidR="00C24D8C">
        <w:t xml:space="preserve"> that also have access to a car. Darker shades indicate higher proportions and lighter shades indicate lower proportions. </w:t>
      </w:r>
      <w:proofErr w:type="spellStart"/>
      <w:r w:rsidR="00C24D8C">
        <w:t>Colour</w:t>
      </w:r>
      <w:proofErr w:type="spellEnd"/>
      <w:r w:rsidR="00C24D8C">
        <w:t xml:space="preserve"> versions of the </w:t>
      </w:r>
      <w:proofErr w:type="spellStart"/>
      <w:r w:rsidR="00C24D8C">
        <w:t>levelplots</w:t>
      </w:r>
      <w:proofErr w:type="spellEnd"/>
      <w:r w:rsidR="00C24D8C">
        <w:t xml:space="preserve"> are also available online. Lexis surfaces contain a lot of information, which can be uncovered by identifying patterns of shade within the </w:t>
      </w:r>
      <w:proofErr w:type="spellStart"/>
      <w:r w:rsidR="00C24D8C">
        <w:t>levelplot</w:t>
      </w:r>
      <w:proofErr w:type="spellEnd"/>
      <w:r w:rsidR="00C24D8C">
        <w:t xml:space="preserve">. </w:t>
      </w:r>
      <w:r w:rsidR="00C24D8C">
        <w:lastRenderedPageBreak/>
        <w:t>To facilitate discussion of these patterns we include pedagogic versions of the plots with labels and other annotation; these are referred to throughout the results section.</w:t>
      </w:r>
    </w:p>
    <w:p w:rsidR="0067116B" w:rsidRDefault="0067116B"/>
    <w:p w:rsidR="001F2C87" w:rsidRPr="001F2C87" w:rsidRDefault="001F2C87" w:rsidP="001F2C87">
      <w:pPr>
        <w:pStyle w:val="Heading1"/>
      </w:pPr>
      <w:r w:rsidRPr="001F2C87">
        <w:t>Results</w:t>
      </w:r>
      <w:r w:rsidR="00B66F3C">
        <w:t xml:space="preserve"> </w:t>
      </w:r>
      <w:r w:rsidR="00EF13A5">
        <w:t>[</w:t>
      </w:r>
      <w:r w:rsidR="00A25F29">
        <w:t>approx. 3500</w:t>
      </w:r>
      <w:r w:rsidR="00EF13A5">
        <w:t>, aim for 3500]</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D677C7"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w:t>
      </w:r>
    </w:p>
    <w:p w:rsidR="00D677C7" w:rsidRDefault="00D677C7" w:rsidP="003B393A"/>
    <w:p w:rsidR="004040FA" w:rsidRDefault="00A21833" w:rsidP="003B393A">
      <w:r>
        <w:t xml:space="preserve">By comparing similar regions (combinations of age and year) in the male and female panels it is also apparent that levels of driving </w:t>
      </w:r>
      <w:proofErr w:type="spellStart"/>
      <w:r>
        <w:t>licence</w:t>
      </w:r>
      <w:proofErr w:type="spellEnd"/>
      <w:r>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w:t>
      </w:r>
      <w:r w:rsidR="00D5365C">
        <w:lastRenderedPageBreak/>
        <w:t xml:space="preserve">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A52C83"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w:t>
      </w:r>
    </w:p>
    <w:p w:rsidR="00D677C7" w:rsidRDefault="00D677C7" w:rsidP="003B393A"/>
    <w:p w:rsidR="003B393A" w:rsidRDefault="00A52C83" w:rsidP="003B393A">
      <w:pPr>
        <w:sectPr w:rsidR="003B393A">
          <w:pgSz w:w="11906" w:h="16838"/>
          <w:pgMar w:top="1440" w:right="1440" w:bottom="1440" w:left="1440" w:header="708" w:footer="708" w:gutter="0"/>
          <w:cols w:space="708"/>
          <w:docGrid w:linePitch="360"/>
        </w:sectPr>
      </w:pPr>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w:t>
      </w: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8A6AE9" w:rsidRPr="00BE3538" w:rsidRDefault="008A6AE9"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8A6AE9" w:rsidRPr="00BE3538" w:rsidRDefault="008A6AE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8A6AE9" w:rsidRPr="00BE3538" w:rsidRDefault="008A6AE9"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8A6AE9" w:rsidRPr="00BE3538" w:rsidRDefault="008A6AE9">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8A6AE9" w:rsidRPr="00BE3538" w:rsidRDefault="008A6AE9"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 xml:space="preserve">We will now look at trends and patterns in the proportion of the BHPS sample with a driving </w:t>
      </w:r>
      <w:proofErr w:type="spellStart"/>
      <w:r>
        <w:t>licence</w:t>
      </w:r>
      <w:proofErr w:type="spellEnd"/>
      <w:r>
        <w:t xml:space="preserv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w:t>
      </w:r>
      <w:proofErr w:type="gramStart"/>
      <w:r>
        <w:t>A</w:t>
      </w:r>
      <w:proofErr w:type="gramEnd"/>
      <w:r>
        <w:t xml:space="preserve">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w:t>
      </w:r>
      <w:proofErr w:type="spellStart"/>
      <w:r>
        <w:t>licences</w:t>
      </w:r>
      <w:proofErr w:type="spellEnd"/>
      <w:r>
        <w:t xml:space="preserve"> also having access to a car or van, but with higher proportions of males than females of the same age and in the same cohort. For cohorts born in the 1910s, around 20% of women with driving </w:t>
      </w:r>
      <w:proofErr w:type="spellStart"/>
      <w:r>
        <w:t>licences</w:t>
      </w:r>
      <w:proofErr w:type="spellEnd"/>
      <w:r>
        <w:t xml:space="preserve">, and around 50% of men with driving </w:t>
      </w:r>
      <w:proofErr w:type="spellStart"/>
      <w:r>
        <w:t>licences</w:t>
      </w:r>
      <w:proofErr w:type="spellEnd"/>
      <w:r>
        <w:t xml:space="preserve">, had access to a car or van. For cohorts born in the 1920s, the proportion of </w:t>
      </w:r>
      <w:proofErr w:type="spellStart"/>
      <w:r>
        <w:t>licenced</w:t>
      </w:r>
      <w:proofErr w:type="spellEnd"/>
      <w:r>
        <w:t xml:space="preserve"> females with car or van access rose from </w:t>
      </w:r>
      <w:r w:rsidR="00251DF5">
        <w:t xml:space="preserve">slightly under 30% to around 60%; the corresponding change for men in these cohorts was between around 55% and about 80%. For cohorts born in the 1930s the proportion of </w:t>
      </w:r>
      <w:proofErr w:type="spellStart"/>
      <w:r w:rsidR="00251DF5">
        <w:t>licenced</w:t>
      </w:r>
      <w:proofErr w:type="spellEnd"/>
      <w:r w:rsidR="00251DF5">
        <w:t xml:space="preserve"> females with car or van increased to around 80%, whereas for </w:t>
      </w:r>
      <w:proofErr w:type="spellStart"/>
      <w:r w:rsidR="00251DF5">
        <w:t>licenced</w:t>
      </w:r>
      <w:proofErr w:type="spellEnd"/>
      <w:r w:rsidR="00251DF5">
        <w:t xml:space="preserve">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 xml:space="preserve">It is important to note that, within the age range 60 to 80 years, an age effect is not observed, </w:t>
      </w:r>
      <w:proofErr w:type="gramStart"/>
      <w:r>
        <w:t>i.e</w:t>
      </w:r>
      <w:proofErr w:type="gramEnd"/>
      <w:r>
        <w:t xml:space="preserve">. the proportion of people with </w:t>
      </w:r>
      <w:proofErr w:type="spellStart"/>
      <w:r>
        <w:t>licences</w:t>
      </w:r>
      <w:proofErr w:type="spellEnd"/>
      <w:r>
        <w:t xml:space="preserve"> with car access does not diminish between ages 60 to 70 or 70 to 80. Within the UK, drivers aged 70 or older need to renew their driving </w:t>
      </w:r>
      <w:proofErr w:type="spellStart"/>
      <w:r>
        <w:t>licences</w:t>
      </w:r>
      <w:proofErr w:type="spellEnd"/>
      <w:r>
        <w:t xml:space="preserve"> every three years, as well as to state if they have developed any medical conditions which may affect their driving, but are not required to retake a driving test.</w:t>
      </w:r>
      <w:r>
        <w:rPr>
          <w:rStyle w:val="FootnoteReference"/>
        </w:rPr>
        <w:footnoteReference w:id="2"/>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w:t>
      </w:r>
      <w:proofErr w:type="spellStart"/>
      <w:r w:rsidR="00A32A59">
        <w:t>licenced</w:t>
      </w:r>
      <w:proofErr w:type="spellEnd"/>
      <w:r w:rsidR="00A32A59">
        <w:t xml:space="preserve">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w:t>
      </w:r>
      <w:proofErr w:type="spellStart"/>
      <w:r>
        <w:t>licences</w:t>
      </w:r>
      <w:proofErr w:type="spellEnd"/>
      <w:r>
        <w:t xml:space="preserve">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w:t>
      </w:r>
      <w:proofErr w:type="spellStart"/>
      <w:r w:rsidR="00296A39">
        <w:t>licences</w:t>
      </w:r>
      <w:proofErr w:type="spellEnd"/>
      <w:r w:rsidR="00296A39">
        <w:t xml:space="preserve">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proofErr w:type="spellStart"/>
      <w:r w:rsidRPr="008D5060">
        <w:rPr>
          <w:i/>
        </w:rPr>
        <w:t>realised</w:t>
      </w:r>
      <w:proofErr w:type="spellEnd"/>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proofErr w:type="spellStart"/>
      <w:r w:rsidR="008D5060" w:rsidRPr="008D5060">
        <w:rPr>
          <w:i/>
        </w:rPr>
        <w:t>realised</w:t>
      </w:r>
      <w:proofErr w:type="spellEnd"/>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w:t>
      </w:r>
      <w:proofErr w:type="spellStart"/>
      <w:r w:rsidR="008D5060">
        <w:t>licences</w:t>
      </w:r>
      <w:proofErr w:type="spellEnd"/>
      <w:r w:rsidR="008D5060">
        <w:t xml:space="preserve">,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w:t>
      </w:r>
      <w:proofErr w:type="spellStart"/>
      <w:r w:rsidR="0013164E">
        <w:t>mid 1940s</w:t>
      </w:r>
      <w:proofErr w:type="spellEnd"/>
      <w:r w:rsidR="0013164E">
        <w:t xml:space="preserve">),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w:t>
      </w:r>
      <w:proofErr w:type="spellStart"/>
      <w:r w:rsidR="0013164E">
        <w:t>automobility</w:t>
      </w:r>
      <w:proofErr w:type="spellEnd"/>
      <w:r w:rsidR="0013164E">
        <w:t xml:space="preserve"> 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 xml:space="preserve">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w:t>
      </w:r>
      <w:r>
        <w:lastRenderedPageBreak/>
        <w:t>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Default="001F2C87" w:rsidP="001F2C87">
      <w:pPr>
        <w:pStyle w:val="Heading1"/>
      </w:pPr>
      <w:r w:rsidRPr="001F2C87">
        <w:t>Discussion</w:t>
      </w:r>
      <w:r w:rsidR="00B66F3C">
        <w:t xml:space="preserve"> </w:t>
      </w:r>
      <w:r w:rsidR="00EF13A5">
        <w:t>[</w:t>
      </w:r>
      <w:r w:rsidR="00A25F29">
        <w:t>1883</w:t>
      </w:r>
      <w:bookmarkStart w:id="1" w:name="_GoBack"/>
      <w:bookmarkEnd w:id="1"/>
      <w:r w:rsidR="00EF13A5">
        <w:t>, aim for 1500]</w:t>
      </w:r>
    </w:p>
    <w:p w:rsidR="00E8341D" w:rsidRPr="00E8341D" w:rsidRDefault="00E8341D" w:rsidP="00E8341D">
      <w:pPr>
        <w:pStyle w:val="Heading2"/>
      </w:pPr>
      <w:r>
        <w:t>Summary of findings</w:t>
      </w:r>
    </w:p>
    <w:p w:rsidR="00A25F29" w:rsidRDefault="00A25F29" w:rsidP="00A25F29">
      <w:r>
        <w:t xml:space="preserve">The decades after the Second World War can, from the perspective of UK households, be considered an extended period of inclusive economic growth, with successive governments committed to broadly Keynesian economic </w:t>
      </w:r>
      <w:proofErr w:type="spellStart"/>
      <w:r>
        <w:t>programmes</w:t>
      </w:r>
      <w:proofErr w:type="spellEnd"/>
      <w:r>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t>licence</w:t>
      </w:r>
      <w:proofErr w:type="spellEnd"/>
      <w:r>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and opportunities for increasing female participation in the </w:t>
      </w:r>
      <w:proofErr w:type="spellStart"/>
      <w:r>
        <w:t>labour</w:t>
      </w:r>
      <w:proofErr w:type="spellEnd"/>
      <w:r>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A25F29" w:rsidRDefault="00A25F29"/>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D677C7" w:rsidRDefault="00D677C7"/>
    <w:p w:rsidR="00E8341D" w:rsidRDefault="00E8341D" w:rsidP="00E8341D">
      <w:pPr>
        <w:pStyle w:val="Heading2"/>
      </w:pPr>
      <w:r>
        <w:t>Limitations</w:t>
      </w:r>
    </w:p>
    <w:p w:rsidR="00E8341D" w:rsidRPr="00B66F3C" w:rsidRDefault="00E8341D" w:rsidP="00E8341D">
      <w:r>
        <w:t xml:space="preserve">The BHPS was </w:t>
      </w:r>
      <w:proofErr w:type="spellStart"/>
      <w:r>
        <w:t>superceded</w:t>
      </w:r>
      <w:proofErr w:type="spellEnd"/>
      <w:r>
        <w:t xml:space="preserve"> in 2008 by the UK Household Longitudinal Study (UKHLS), also known as Understanding Society. From the second wave onwards, original sample members </w:t>
      </w:r>
      <w:r>
        <w:lastRenderedPageBreak/>
        <w:t xml:space="preserve">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This is particularly the case when seeking consistent categorization of highest educational qualification, which we found to be a powerful means of distinguishing between sub-populations in terms of APC trends; the ISCED </w:t>
      </w:r>
      <w:proofErr w:type="spellStart"/>
      <w:r>
        <w:t>categorisations</w:t>
      </w:r>
      <w:proofErr w:type="spellEnd"/>
      <w:r>
        <w:t xml:space="preserve"> used in the BHPS were asked only in wave F of the UKHLS, and only as part of an immigrant and ethnic minority booster sample, with regards to qualifications obtained abroad.</w:t>
      </w:r>
      <w:r>
        <w:rPr>
          <w:rStyle w:val="FootnoteReference"/>
        </w:rPr>
        <w:footnoteReference w:id="3"/>
      </w:r>
      <w:r>
        <w:t xml:space="preserve"> 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conditions for much of UK society. We expect the trends towards decreasing mobility amongst those with lower educational qualifications to have worsened as a result of these changes, and so it should be a priority to explore this further. </w:t>
      </w:r>
    </w:p>
    <w:p w:rsidR="00E8341D" w:rsidRDefault="00E8341D" w:rsidP="00E8341D"/>
    <w:p w:rsidR="00E8341D" w:rsidRDefault="00E8341D" w:rsidP="00E8341D">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"(Uhrig, 2008)", "plainTextFormattedCitation" : "(Uhrig, 2008)", "previouslyFormattedCitation" : "(Uhrig, 2008)" }, "properties" : { "noteIndex" : 0 }, "schema" : "https://github.com/citation-style-language/schema/raw/master/csl-citation.json" }</w:instrText>
      </w:r>
      <w:r>
        <w:fldChar w:fldCharType="separate"/>
      </w:r>
      <w:r w:rsidRPr="003F3746">
        <w:rPr>
          <w:noProof/>
        </w:rPr>
        <w:t>(</w:t>
      </w:r>
      <w:proofErr w:type="spellStart"/>
      <w:r w:rsidRPr="003F3746">
        <w:rPr>
          <w:noProof/>
        </w:rPr>
        <w:t>Uhrig</w:t>
      </w:r>
      <w:proofErr w:type="spellEnd"/>
      <w:r w:rsidRPr="003F3746">
        <w:rPr>
          <w:noProof/>
        </w:rPr>
        <w:t>, 2008)</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8F7190" w:rsidRDefault="008F7190"/>
    <w:p w:rsidR="00E255B7" w:rsidRDefault="00C24D8C" w:rsidP="00E255B7">
      <w:pPr>
        <w:pStyle w:val="Heading2"/>
      </w:pPr>
      <w:r>
        <w:t>Causes of peak car: choice or constraint?</w:t>
      </w:r>
    </w:p>
    <w:p w:rsidR="007210A8" w:rsidRDefault="007210A8" w:rsidP="007210A8">
      <w:r>
        <w:t xml:space="preserve">A synthesis of extant research identified six broad categories of potential explanation for </w:t>
      </w:r>
      <w:r w:rsidR="00A25F29">
        <w:t>declining car use and its decline</w:t>
      </w:r>
      <w:r>
        <w:t xml:space="preserve">: life stage, affordability, location and transport, driving </w:t>
      </w:r>
      <w:proofErr w:type="spellStart"/>
      <w:r>
        <w:t>licence</w:t>
      </w:r>
      <w:proofErr w:type="spellEnd"/>
      <w:r>
        <w:t xml:space="preserve"> regulation, attitudes, and e-communication; it found somewhat stronger evidence for life stage explanations (such as having children later, and staying with parents and in full time education longer), and affordability explanations (such as rising costs of insurance, </w:t>
      </w:r>
      <w:proofErr w:type="spellStart"/>
      <w:r>
        <w:t>licencing</w:t>
      </w:r>
      <w:proofErr w:type="spellEnd"/>
      <w:r>
        <w:t xml:space="preserve">, petrol, vehicles; against falling or stagnant household incomes) than other types, but with no clear single cause.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Pr="003C7141">
        <w:rPr>
          <w:noProof/>
        </w:rPr>
        <w:t>(Delbosc and Currie, 2013)</w:t>
      </w:r>
      <w:r>
        <w:fldChar w:fldCharType="end"/>
      </w:r>
      <w:r>
        <w:t xml:space="preserve"> 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fldChar w:fldCharType="begin" w:fldLock="1"/>
      </w:r>
      <w:r>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"(Klein and Smart, 2017)", "plainTextFormattedCitation" : "(Klein and Smart, 2017)", "previouslyFormattedCitation" : "(Klein and Smart, 2017)" }, "properties" : { "noteIndex" : 0 }, "schema" : "https://github.com/citation-style-language/schema/raw/master/csl-citation.json" }</w:instrText>
      </w:r>
      <w:r>
        <w:fldChar w:fldCharType="separate"/>
      </w:r>
      <w:r w:rsidRPr="003C7141">
        <w:rPr>
          <w:noProof/>
        </w:rPr>
        <w:t>(Klein and Smart, 2017)</w:t>
      </w:r>
      <w:r>
        <w:fldChar w:fldCharType="end"/>
      </w:r>
      <w:r>
        <w:t xml:space="preserve"> </w:t>
      </w:r>
    </w:p>
    <w:p w:rsidR="007210A8" w:rsidRDefault="007210A8" w:rsidP="007210A8"/>
    <w:p w:rsidR="007210A8" w:rsidRDefault="007210A8" w:rsidP="007210A8">
      <w:r>
        <w:t xml:space="preserve">Amongst these explanations, insurance costs may be a particularly strong factor in the UK, as they have risen particularly sharply in recent years. </w:t>
      </w:r>
      <w:r>
        <w:fldChar w:fldCharType="begin" w:fldLock="1"/>
      </w:r>
      <w:r>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"(Milligan, 2015; Noble, 2005)", "plainTextFormattedCitation" : "(Milligan, 2015; Noble, 2005)", "previouslyFormattedCitation" : "(Milligan, 2015; Noble, 2005)" }, "properties" : { "noteIndex" : 0 }, "schema" : "https://github.com/citation-style-language/schema/raw/master/csl-citation.json" }</w:instrText>
      </w:r>
      <w:r>
        <w:fldChar w:fldCharType="separate"/>
      </w:r>
      <w:r w:rsidRPr="003C7141">
        <w:rPr>
          <w:noProof/>
        </w:rPr>
        <w:t>(Milligan, 2015; Noble, 2005)</w:t>
      </w:r>
      <w:r>
        <w:fldChar w:fldCharType="end"/>
      </w:r>
      <w:r>
        <w:t xml:space="preserve"> One UK-specific explanation for reduced car use amongst young is changes in taxation policy less </w:t>
      </w:r>
      <w:proofErr w:type="spellStart"/>
      <w:r>
        <w:lastRenderedPageBreak/>
        <w:t>favourable</w:t>
      </w:r>
      <w:proofErr w:type="spellEnd"/>
      <w:r>
        <w:t xml:space="preserve"> to users of company cars, and related to this falling trends in company car use.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Pr="003C7141">
        <w:rPr>
          <w:noProof/>
        </w:rPr>
        <w:t>(Le Vine et al., 2013)</w:t>
      </w:r>
      <w:r>
        <w:fldChar w:fldCharType="end"/>
      </w:r>
      <w:r>
        <w:t xml:space="preserve"> </w:t>
      </w:r>
      <w:r w:rsidR="00A25F29">
        <w:t>In Sweden</w:t>
      </w:r>
      <w:r>
        <w:t xml:space="preserve"> </w:t>
      </w:r>
      <w:r w:rsidR="00A25F29">
        <w:t xml:space="preserve">changes in </w:t>
      </w:r>
      <w:r>
        <w:t xml:space="preserve">GDP </w:t>
      </w:r>
      <w:r w:rsidR="00A25F29">
        <w:t xml:space="preserve">per capita </w:t>
      </w:r>
      <w:r>
        <w:t xml:space="preserve">and fuel price alone may explain up to 80% of the decline since the 1980s. </w:t>
      </w:r>
      <w:r>
        <w:fldChar w:fldCharType="begin" w:fldLock="1"/>
      </w:r>
      <w:r>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"(Bastian and B\u00f6rjesson, 2015)", "plainTextFormattedCitation" : "(Bastian and B\u00f6rjesson, 2015)", "previouslyFormattedCitation" : "(Bastian and B\u00f6rjesson, 2015)" }, "properties" : { "noteIndex" : 0 }, "schema" : "https://github.com/citation-style-language/schema/raw/master/csl-citation.json" }</w:instrText>
      </w:r>
      <w:r>
        <w:fldChar w:fldCharType="separate"/>
      </w:r>
      <w:r w:rsidRPr="003C7141">
        <w:rPr>
          <w:noProof/>
        </w:rPr>
        <w:t>(Bastian and Börjesson, 2015)</w:t>
      </w:r>
      <w:r>
        <w:fldChar w:fldCharType="end"/>
      </w:r>
      <w:r>
        <w:t xml:space="preserve"> </w:t>
      </w:r>
    </w:p>
    <w:p w:rsidR="00A25F29" w:rsidRDefault="00A25F29" w:rsidP="007210A8"/>
    <w:p w:rsidR="007210A8" w:rsidRDefault="007210A8" w:rsidP="007210A8">
      <w:r>
        <w:t xml:space="preserve">Regarding location as an explanation, important regional differences in car use trends have been observed. 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than fallen substantially since the early 2000s.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Pr="003C7141">
        <w:rPr>
          <w:noProof/>
        </w:rPr>
        <w:t>(Headicar, 2013)</w:t>
      </w:r>
      <w:r>
        <w:fldChar w:fldCharType="end"/>
      </w:r>
      <w:r>
        <w:t xml:space="preserve"> The changing shares of the population living in these three urban groupings of place is therefore expected to influence the extent of future trends in car use.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Pr="003C7141">
        <w:rPr>
          <w:noProof/>
        </w:rPr>
        <w:t>(Headicar, 2013)</w:t>
      </w:r>
      <w:r>
        <w:fldChar w:fldCharType="end"/>
      </w:r>
      <w:r>
        <w:t xml:space="preserve"> Like Greater London, car ownership in and around Paris, France, peaked in the 1990s.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"(Cornut and Madre, 2017)", "plainTextFormattedCitation" : "(Cornut and Madre, 2017)", "previouslyFormattedCitation" : "(Cornut and Madre, 2017)" }, "properties" : { "noteIndex" : 0 }, "schema" : "https://github.com/citation-style-language/schema/raw/master/csl-citation.json" }</w:instrText>
      </w:r>
      <w:r>
        <w:fldChar w:fldCharType="separate"/>
      </w:r>
      <w:r w:rsidRPr="003C7141">
        <w:rPr>
          <w:noProof/>
        </w:rPr>
        <w:t>(Cornut and Madre, 2017)</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"(Garceau et al., 2015)", "plainTextFormattedCitation" : "(Garceau et al., 2015)", "previouslyFormattedCitation" : "(Garceau et al., 2015)" }, "properties" : { "noteIndex" : 0 }, "schema" : "https://github.com/citation-style-language/schema/raw/master/csl-citation.json" }</w:instrText>
      </w:r>
      <w:r>
        <w:fldChar w:fldCharType="separate"/>
      </w:r>
      <w:r w:rsidRPr="003C7141">
        <w:rPr>
          <w:noProof/>
        </w:rPr>
        <w:t>(Garceau et al., 2015)</w:t>
      </w:r>
      <w:r>
        <w:fldChar w:fldCharType="end"/>
      </w:r>
      <w:r>
        <w:t xml:space="preserve"> </w:t>
      </w:r>
    </w:p>
    <w:p w:rsidR="007210A8" w:rsidRDefault="007210A8" w:rsidP="00C24D8C"/>
    <w:p w:rsidR="007210A8" w:rsidRDefault="007210A8" w:rsidP="007210A8">
      <w:r>
        <w:t xml:space="preserve">There are some compelling theories for why ICT use may have been partially responsible for declining car use, and why this decline occurred largely within younger cohorts. 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"(Popovich and Handy, 2015)", "plainTextFormattedCitation" : "(Popovich and Handy, 2015)", "previouslyFormattedCitation" : "(Popovich and Handy, 2015)" }, "properties" : { "noteIndex" : 0 }, "schema" : "https://github.com/citation-style-language/schema/raw/master/csl-citation.json" }</w:instrText>
      </w:r>
      <w:r>
        <w:fldChar w:fldCharType="separate"/>
      </w:r>
      <w:r w:rsidRPr="003C7141">
        <w:rPr>
          <w:noProof/>
        </w:rPr>
        <w:t>(Popovich and Handy, 2015)</w:t>
      </w:r>
      <w:r>
        <w:fldChar w:fldCharType="end"/>
      </w:r>
      <w:r>
        <w:t xml:space="preserve"> and so increasing use of online shopping amongst young adults may be one reason for declining car use overall. 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"(Hynes, 2014)", "plainTextFormattedCitation" : "(Hynes, 2014)", "previouslyFormattedCitation" : "(Hynes, 2014)" }, "properties" : { "noteIndex" : 0 }, "schema" : "https://github.com/citation-style-language/schema/raw/master/csl-citation.json" }</w:instrText>
      </w:r>
      <w:r>
        <w:fldChar w:fldCharType="separate"/>
      </w:r>
      <w:r w:rsidRPr="003C7141">
        <w:rPr>
          <w:noProof/>
        </w:rPr>
        <w:t>(Hynes, 2014)</w:t>
      </w:r>
      <w:r>
        <w:fldChar w:fldCharType="end"/>
      </w:r>
      <w:r>
        <w:t xml:space="preserve"> 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"(Hamari et al., 2016)", "plainTextFormattedCitation" : "(Hamari et al., 2016)", "previouslyFormattedCitation" : "(Hamari et al., 2016)" }, "properties" : { "noteIndex" : 0 }, "schema" : "https://github.com/citation-style-language/schema/raw/master/csl-citation.json" }</w:instrText>
      </w:r>
      <w:r>
        <w:fldChar w:fldCharType="separate"/>
      </w:r>
      <w:r w:rsidRPr="003C7141">
        <w:rPr>
          <w:noProof/>
        </w:rPr>
        <w:t>(Hamari et al., 2016)</w:t>
      </w:r>
      <w:r>
        <w:fldChar w:fldCharType="end"/>
      </w:r>
      <w:r>
        <w:t xml:space="preserve"> Despite this, when compared with other factors, ICTs do not appear a predominant explanation for the decline, with economic constraint and deferred life events appearing more powerful explanatory factors.</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Pr="003C7141">
        <w:rPr>
          <w:noProof/>
        </w:rPr>
        <w:t>(</w:t>
      </w:r>
      <w:proofErr w:type="spellStart"/>
      <w:r w:rsidRPr="003C7141">
        <w:rPr>
          <w:noProof/>
        </w:rPr>
        <w:t>Delbosc</w:t>
      </w:r>
      <w:proofErr w:type="spellEnd"/>
      <w:r w:rsidRPr="003C7141">
        <w:rPr>
          <w:noProof/>
        </w:rPr>
        <w:t xml:space="preserve"> and Currie, 2013)</w:t>
      </w:r>
      <w:r>
        <w:fldChar w:fldCharType="end"/>
      </w:r>
      <w:r>
        <w:t xml:space="preserve"> </w:t>
      </w:r>
    </w:p>
    <w:p w:rsidR="007210A8" w:rsidRDefault="007210A8" w:rsidP="007210A8"/>
    <w:p w:rsidR="007210A8" w:rsidRDefault="007210A8" w:rsidP="007210A8">
      <w:r>
        <w:t xml:space="preserve">It may be helpful to think about the various categories of explanation for declining auto-mobility amongst younger cohorts as having either a broadly optimistic choice-based or a broadly pessimistic constraint-based interpretation and implications for future </w:t>
      </w:r>
      <w:proofErr w:type="spellStart"/>
      <w:r>
        <w:t>mobilities</w:t>
      </w:r>
      <w:proofErr w:type="spellEnd"/>
      <w:r>
        <w:t xml:space="preserve"> and inequalities. By looking at highest educational qualifications, and seeing that mobility rates have declined the least for the most educated and the most for the least educated, we are inclined more towards a constraint-based interpretation, in which auto-mobility has become increasingly unaffordable for substantial sections of society, instead of a predominantly choice-based interpretation in which fewer people either need or want to drive cars. This is underlined by the observation that universities tend to be in cities with relatively high density and effective tr</w:t>
      </w:r>
      <w:r w:rsidR="005B6C04">
        <w:t xml:space="preserve">ansport links, and so the highest educational subgroup may often have particular low needs to drive, despite having very high rates of driving </w:t>
      </w:r>
      <w:proofErr w:type="spellStart"/>
      <w:r w:rsidR="005B6C04">
        <w:t>licence</w:t>
      </w:r>
      <w:proofErr w:type="spellEnd"/>
      <w:r w:rsidR="005B6C04">
        <w:t xml:space="preserve"> ownership. We suggest it is also supported by noting that inequalities in driving </w:t>
      </w:r>
      <w:proofErr w:type="spellStart"/>
      <w:r w:rsidR="005B6C04">
        <w:t>licences</w:t>
      </w:r>
      <w:proofErr w:type="spellEnd"/>
      <w:r w:rsidR="005B6C04">
        <w:t xml:space="preserve"> and car access by gender tend to be greatest amongst lower educational groups, which might be expected in households only just able to afford a single car and driver. </w:t>
      </w:r>
    </w:p>
    <w:p w:rsidR="005B6C04" w:rsidRDefault="005B6C04" w:rsidP="007210A8"/>
    <w:p w:rsidR="007210A8" w:rsidRDefault="005B6C04" w:rsidP="007210A8">
      <w:r>
        <w:lastRenderedPageBreak/>
        <w:t xml:space="preserve">Despite our pessimistic interpretation of the data and extant literature, suggesting getting priced out rather than opting out of car ownership is behind much of the trends, we remain hopeful and optimistic about the potential for technological change to lead to a more equitable and effective use of cars, alongside other transport modes, in the coming decades. </w:t>
      </w:r>
      <w:r w:rsidR="007210A8">
        <w:t xml:space="preserve">Car sharing schemes are one of the earliest means by which the car can be used more efficiently as an asset, and the potential for accelerating car sharing </w:t>
      </w:r>
      <w:proofErr w:type="spellStart"/>
      <w:r w:rsidR="007210A8">
        <w:t>behaviours</w:t>
      </w:r>
      <w:proofErr w:type="spellEnd"/>
      <w:r w:rsidR="007210A8">
        <w:t xml:space="preserve"> through ICTs is as yet </w:t>
      </w:r>
      <w:proofErr w:type="spellStart"/>
      <w:r w:rsidR="007210A8">
        <w:t>unrealised</w:t>
      </w:r>
      <w:proofErr w:type="spellEnd"/>
      <w:r w:rsidR="007210A8">
        <w:t>.</w:t>
      </w:r>
      <w:r w:rsidR="00A25F29">
        <w:t xml:space="preserve"> </w:t>
      </w:r>
      <w:r w:rsidR="00A25F29">
        <w:t>At least one car manufacturer has entered the car-sharing market, with a marketing strategy focused on ‘selling mobility instead of cars’.</w:t>
      </w:r>
      <w:r w:rsidR="00A25F29">
        <w:fldChar w:fldCharType="begin" w:fldLock="1"/>
      </w:r>
      <w:r w:rsidR="00A25F29">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"(Firnkorn and M\u00fcller, 2012)", "plainTextFormattedCitation" : "(Firnkorn and M\u00fcller, 2012)", "previouslyFormattedCitation" : "(Firnkorn and M\u00fcller, 2012)" }, "properties" : { "noteIndex" : 0 }, "schema" : "https://github.com/citation-style-language/schema/raw/master/csl-citation.json" }</w:instrText>
      </w:r>
      <w:r w:rsidR="00A25F29">
        <w:fldChar w:fldCharType="separate"/>
      </w:r>
      <w:r w:rsidR="00A25F29" w:rsidRPr="003C7141">
        <w:rPr>
          <w:noProof/>
        </w:rPr>
        <w:t>(</w:t>
      </w:r>
      <w:proofErr w:type="spellStart"/>
      <w:r w:rsidR="00A25F29" w:rsidRPr="003C7141">
        <w:rPr>
          <w:noProof/>
        </w:rPr>
        <w:t>Firnkorn</w:t>
      </w:r>
      <w:proofErr w:type="spellEnd"/>
      <w:r w:rsidR="00A25F29" w:rsidRPr="003C7141">
        <w:rPr>
          <w:noProof/>
        </w:rPr>
        <w:t xml:space="preserve"> and Müller, 2012)</w:t>
      </w:r>
      <w:r w:rsidR="00A25F29">
        <w:fldChar w:fldCharType="end"/>
      </w:r>
      <w:r w:rsidR="00A25F29">
        <w:t xml:space="preserve"> The price of ride-sharing could be reduced, and so the attractiveness of ride-sharing more attractive, if the dominant platform operators (such as </w:t>
      </w:r>
      <w:proofErr w:type="spellStart"/>
      <w:r w:rsidR="00A25F29">
        <w:t>zimride</w:t>
      </w:r>
      <w:proofErr w:type="spellEnd"/>
      <w:r w:rsidR="00A25F29">
        <w:t xml:space="preserve">, </w:t>
      </w:r>
      <w:proofErr w:type="spellStart"/>
      <w:r w:rsidR="00A25F29">
        <w:t>blablacar</w:t>
      </w:r>
      <w:proofErr w:type="spellEnd"/>
      <w:r w:rsidR="00A25F29">
        <w:t xml:space="preserve">, and carpooling.com) who provide the information infrastructure to enable such schemes, were to improve their algorithms to better accommodate ‘multi-hop’ ride sharing. </w:t>
      </w:r>
      <w:r w:rsidR="00A25F29">
        <w:fldChar w:fldCharType="begin" w:fldLock="1"/>
      </w:r>
      <w:r w:rsidR="00A25F29">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"(Teubner and Flath, 2015)", "plainTextFormattedCitation" : "(Teubner and Flath, 2015)", "previouslyFormattedCitation" : "(Teubner and Flath, 2015)" }, "properties" : { "noteIndex" : 0 }, "schema" : "https://github.com/citation-style-language/schema/raw/master/csl-citation.json" }</w:instrText>
      </w:r>
      <w:r w:rsidR="00A25F29">
        <w:fldChar w:fldCharType="separate"/>
      </w:r>
      <w:r w:rsidR="00A25F29" w:rsidRPr="003C7141">
        <w:rPr>
          <w:noProof/>
        </w:rPr>
        <w:t>(Teubner and Flath, 2015)</w:t>
      </w:r>
      <w:r w:rsidR="00A25F29">
        <w:fldChar w:fldCharType="end"/>
      </w:r>
      <w:r w:rsidR="007210A8">
        <w:t xml:space="preserve"> </w:t>
      </w:r>
    </w:p>
    <w:p w:rsidR="005B6C04" w:rsidRDefault="005B6C04" w:rsidP="007210A8"/>
    <w:p w:rsidR="007210A8" w:rsidRDefault="007210A8" w:rsidP="007210A8">
      <w:r>
        <w:t xml:space="preserve">Automated vehicles, like car sharing schemes, offer not just the possibility for replacing or blurring the public/private distinction in car ownership, but for augmenting train and coach use as well. </w:t>
      </w:r>
      <w:r>
        <w:fldChar w:fldCharType="begin" w:fldLock="1"/>
      </w:r>
      <w:r>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"(Yap et al., 2016)", "plainTextFormattedCitation" : "(Yap et al., 2016)", "previouslyFormattedCitation" : "(Yap et al., 2016)" }, "properties" : { "noteIndex" : 0 }, "schema" : "https://github.com/citation-style-language/schema/raw/master/csl-citation.json" }</w:instrText>
      </w:r>
      <w:r>
        <w:fldChar w:fldCharType="separate"/>
      </w:r>
      <w:r w:rsidRPr="003C7141">
        <w:rPr>
          <w:noProof/>
        </w:rPr>
        <w:t>(Yap et al., 2016)</w:t>
      </w:r>
      <w:r>
        <w:fldChar w:fldCharType="end"/>
      </w:r>
      <w:r>
        <w:t xml:space="preserve"> Autonomous car use and technology is still in its infancy, but offers the potential for cars to become more of an efficiently used shared asset rather than a private asset parked, and so not used, for most of the day. </w:t>
      </w:r>
      <w:r>
        <w:fldChar w:fldCharType="begin" w:fldLock="1"/>
      </w:r>
      <w:r>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"(Thomopoulos and Givoni, 2015)", "plainTextFormattedCitation" : "(Thomopoulos and Givoni, 2015)", "previouslyFormattedCitation" : "(Thomopoulos and Givoni, 2015)" }, "properties" : { "noteIndex" : 0 }, "schema" : "https://github.com/citation-style-language/schema/raw/master/csl-citation.json" }</w:instrText>
      </w:r>
      <w:r>
        <w:fldChar w:fldCharType="separate"/>
      </w:r>
      <w:r w:rsidRPr="003C7141">
        <w:rPr>
          <w:noProof/>
        </w:rPr>
        <w:t>(Thomopoulos and Givoni, 2015)</w:t>
      </w:r>
      <w:r>
        <w:fldChar w:fldCharType="end"/>
      </w:r>
    </w:p>
    <w:p w:rsidR="007210A8" w:rsidRDefault="007210A8" w:rsidP="007210A8"/>
    <w:p w:rsidR="00E8341D" w:rsidRDefault="00E8341D" w:rsidP="00E8341D">
      <w:r>
        <w:t>Much simpler technologies, combined with better infrastructure, offer hope for healthier ageing through active travel. Although even within the famously cycle-friendly Netherlands younger people tend to cycle more than older people, rates of cycling are increasing amongst the elderly, including ‘Baby Boomers’ found resistant to modal change in the UK; this has partly been attributed to the availability of e-bikes as well as cycle infrastructure, suggesting the potential for technological innovations to increase active travel at older ages.</w:t>
      </w:r>
      <w:r>
        <w:fldChar w:fldCharType="begin" w:fldLock="1"/>
      </w:r>
      <w:r>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"(Harms et al., 2014)", "plainTextFormattedCitation" : "(Harms et al., 2014)", "previouslyFormattedCitation" : "(Harms et al., 2014)" }, "properties" : { "noteIndex" : 0 }, "schema" : "https://github.com/citation-style-language/schema/raw/master/csl-citation.json" }</w:instrText>
      </w:r>
      <w:r>
        <w:fldChar w:fldCharType="separate"/>
      </w:r>
      <w:r w:rsidRPr="003C7141">
        <w:rPr>
          <w:noProof/>
        </w:rPr>
        <w:t>(Harms et al., 2014)</w:t>
      </w:r>
      <w:r>
        <w:fldChar w:fldCharType="end"/>
      </w:r>
      <w:r>
        <w:t xml:space="preserve"> </w:t>
      </w:r>
    </w:p>
    <w:p w:rsidR="007210A8" w:rsidRDefault="007210A8" w:rsidP="00C24D8C"/>
    <w:p w:rsidR="007210A8" w:rsidRDefault="007210A8" w:rsidP="00C24D8C"/>
    <w:p w:rsidR="007F78B4" w:rsidRDefault="007F78B4" w:rsidP="007F78B4">
      <w:pPr>
        <w:pStyle w:val="Heading1"/>
      </w:pPr>
      <w:r>
        <w:t>References</w:t>
      </w:r>
    </w:p>
    <w:p w:rsidR="007F78B4" w:rsidRDefault="007F78B4" w:rsidP="007F78B4"/>
    <w:p w:rsidR="00D677C7" w:rsidRPr="00D677C7" w:rsidRDefault="007F78B4" w:rsidP="00D677C7">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D677C7" w:rsidRPr="00D677C7">
        <w:rPr>
          <w:rFonts w:ascii="Calibri" w:hAnsi="Calibri" w:cs="Times New Roman"/>
          <w:noProof/>
        </w:rPr>
        <w:t xml:space="preserve">Baslington, H, 2009, “Children’s perceptions of and attitudes towards, transport modes: why a vehicle for change is long overdue” </w:t>
      </w:r>
      <w:r w:rsidR="00D677C7" w:rsidRPr="00D677C7">
        <w:rPr>
          <w:rFonts w:ascii="Calibri" w:hAnsi="Calibri" w:cs="Times New Roman"/>
          <w:i/>
          <w:iCs/>
          <w:noProof/>
        </w:rPr>
        <w:t>Children’s Geographies</w:t>
      </w:r>
      <w:r w:rsidR="00D677C7" w:rsidRPr="00D677C7">
        <w:rPr>
          <w:rFonts w:ascii="Calibri" w:hAnsi="Calibri" w:cs="Times New Roman"/>
          <w:noProof/>
        </w:rPr>
        <w:t xml:space="preserve"> </w:t>
      </w:r>
      <w:r w:rsidR="00D677C7" w:rsidRPr="00D677C7">
        <w:rPr>
          <w:rFonts w:ascii="Calibri" w:hAnsi="Calibri" w:cs="Times New Roman"/>
          <w:b/>
          <w:bCs/>
          <w:noProof/>
        </w:rPr>
        <w:t>7</w:t>
      </w:r>
      <w:r w:rsidR="00D677C7" w:rsidRPr="00D677C7">
        <w:rPr>
          <w:rFonts w:ascii="Calibri" w:hAnsi="Calibri" w:cs="Times New Roman"/>
          <w:noProof/>
        </w:rPr>
        <w:t>(3) 305–322, http://www.tandfonline.com/doi/full/10.1080/14733280903024472.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Baslington, H, 2008, “Travel Socialization: A Social Theory of Travel Mode Behavior” </w:t>
      </w:r>
      <w:r w:rsidRPr="00D677C7">
        <w:rPr>
          <w:rFonts w:ascii="Calibri" w:hAnsi="Calibri" w:cs="Times New Roman"/>
          <w:i/>
          <w:iCs/>
          <w:noProof/>
        </w:rPr>
        <w:t>International Journal of Sustainable Transportation</w:t>
      </w:r>
      <w:r w:rsidRPr="00D677C7">
        <w:rPr>
          <w:rFonts w:ascii="Calibri" w:hAnsi="Calibri" w:cs="Times New Roman"/>
          <w:noProof/>
        </w:rPr>
        <w:t xml:space="preserve"> </w:t>
      </w:r>
      <w:r w:rsidRPr="00D677C7">
        <w:rPr>
          <w:rFonts w:ascii="Calibri" w:hAnsi="Calibri" w:cs="Times New Roman"/>
          <w:b/>
          <w:bCs/>
          <w:noProof/>
        </w:rPr>
        <w:t>2</w:t>
      </w:r>
      <w:r w:rsidRPr="00D677C7">
        <w:rPr>
          <w:rFonts w:ascii="Calibri" w:hAnsi="Calibri" w:cs="Times New Roman"/>
          <w:noProof/>
        </w:rPr>
        <w:t>(2) 91–114, http://www.tandfonline.com/doi/abs/10.1080/15568310601187193.</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Bastian, A and Börjesson, M, 2015, “Peak car? Drivers of the recent decline in Swedish car use” </w:t>
      </w:r>
      <w:r w:rsidRPr="00D677C7">
        <w:rPr>
          <w:rFonts w:ascii="Calibri" w:hAnsi="Calibri" w:cs="Times New Roman"/>
          <w:i/>
          <w:iCs/>
          <w:noProof/>
        </w:rPr>
        <w:t>Transport Policy</w:t>
      </w:r>
      <w:r w:rsidRPr="00D677C7">
        <w:rPr>
          <w:rFonts w:ascii="Calibri" w:hAnsi="Calibri" w:cs="Times New Roman"/>
          <w:noProof/>
        </w:rPr>
        <w:t xml:space="preserve"> </w:t>
      </w:r>
      <w:r w:rsidRPr="00D677C7">
        <w:rPr>
          <w:rFonts w:ascii="Calibri" w:hAnsi="Calibri" w:cs="Times New Roman"/>
          <w:b/>
          <w:bCs/>
          <w:noProof/>
        </w:rPr>
        <w:t>42</w:t>
      </w:r>
      <w:r w:rsidRPr="00D677C7">
        <w:rPr>
          <w:rFonts w:ascii="Calibri" w:hAnsi="Calibri" w:cs="Times New Roman"/>
          <w:noProof/>
        </w:rPr>
        <w:t xml:space="preserve"> 94–102, http://linkinghub.elsevier.com/retrieve/pii/S0967070X15300135.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Beckmann, J, 2001, “Automobility—A Social Problem and Theoretical Concept” </w:t>
      </w:r>
      <w:r w:rsidRPr="00D677C7">
        <w:rPr>
          <w:rFonts w:ascii="Calibri" w:hAnsi="Calibri" w:cs="Times New Roman"/>
          <w:i/>
          <w:iCs/>
          <w:noProof/>
        </w:rPr>
        <w:t>Environment and Planning D: Society and Space</w:t>
      </w:r>
      <w:r w:rsidRPr="00D677C7">
        <w:rPr>
          <w:rFonts w:ascii="Calibri" w:hAnsi="Calibri" w:cs="Times New Roman"/>
          <w:noProof/>
        </w:rPr>
        <w:t xml:space="preserve"> </w:t>
      </w:r>
      <w:r w:rsidRPr="00D677C7">
        <w:rPr>
          <w:rFonts w:ascii="Calibri" w:hAnsi="Calibri" w:cs="Times New Roman"/>
          <w:b/>
          <w:bCs/>
          <w:noProof/>
        </w:rPr>
        <w:t>19</w:t>
      </w:r>
      <w:r w:rsidRPr="00D677C7">
        <w:rPr>
          <w:rFonts w:ascii="Calibri" w:hAnsi="Calibri" w:cs="Times New Roman"/>
          <w:noProof/>
        </w:rPr>
        <w:t>(5) 593–607, http://journals.sagepub.com/doi/10.1068/d222t.</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Cornut, B and Madre, J L, 2017, “A longitudinal perspective on car ownership and use in relation with income inequalities in the Paris metropolitan area”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lastRenderedPageBreak/>
        <w:t>37</w:t>
      </w:r>
      <w:r w:rsidRPr="00D677C7">
        <w:rPr>
          <w:rFonts w:ascii="Calibri" w:hAnsi="Calibri" w:cs="Times New Roman"/>
          <w:noProof/>
        </w:rPr>
        <w:t>(2) 227–244.</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Delbosc, A and Currie, G, 2013, “Causes of Youth Licensing Decline: A Synthesis of Evidence”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(3) 271–290, http://www.tandfonline.com/doi/abs/10.1080/01441647.2013.801929.</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Dieleman, F M, Dijst, M, and Burghouwt, G, 2002, “Urban Form and Travel Behaviour: Micro-level Household Attributes and Residential Context” </w:t>
      </w:r>
      <w:r w:rsidRPr="00D677C7">
        <w:rPr>
          <w:rFonts w:ascii="Calibri" w:hAnsi="Calibri" w:cs="Times New Roman"/>
          <w:i/>
          <w:iCs/>
          <w:noProof/>
        </w:rPr>
        <w:t>Urban Studies</w:t>
      </w:r>
      <w:r w:rsidRPr="00D677C7">
        <w:rPr>
          <w:rFonts w:ascii="Calibri" w:hAnsi="Calibri" w:cs="Times New Roman"/>
          <w:noProof/>
        </w:rPr>
        <w:t xml:space="preserve"> </w:t>
      </w:r>
      <w:r w:rsidRPr="00D677C7">
        <w:rPr>
          <w:rFonts w:ascii="Calibri" w:hAnsi="Calibri" w:cs="Times New Roman"/>
          <w:b/>
          <w:bCs/>
          <w:noProof/>
        </w:rPr>
        <w:t>39</w:t>
      </w:r>
      <w:r w:rsidRPr="00D677C7">
        <w:rPr>
          <w:rFonts w:ascii="Calibri" w:hAnsi="Calibri" w:cs="Times New Roman"/>
          <w:noProof/>
        </w:rPr>
        <w:t>(3) 507–527, http://journals.sagepub.com/doi/10.1080/00420980220112801.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Douglas, M J, Watkins, S J, Gorman, D R, and Higgins, M, 2011, “Are cars the new tobacco?” </w:t>
      </w:r>
      <w:r w:rsidRPr="00D677C7">
        <w:rPr>
          <w:rFonts w:ascii="Calibri" w:hAnsi="Calibri" w:cs="Times New Roman"/>
          <w:i/>
          <w:iCs/>
          <w:noProof/>
        </w:rPr>
        <w:t>Journal of Public Health</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(2) 160–169, https://academic.oup.com/jpubhealth/article-lookup/doi/10.1093/pubmed/fdr032.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Efthymiou, D, Antoniou, C, and Waddell, P, 2013, “Factors affecting the adoption of vehicle sharing systems by young drivers” </w:t>
      </w:r>
      <w:r w:rsidRPr="00D677C7">
        <w:rPr>
          <w:rFonts w:ascii="Calibri" w:hAnsi="Calibri" w:cs="Times New Roman"/>
          <w:i/>
          <w:iCs/>
          <w:noProof/>
        </w:rPr>
        <w:t>Transport Policy</w:t>
      </w:r>
      <w:r w:rsidRPr="00D677C7">
        <w:rPr>
          <w:rFonts w:ascii="Calibri" w:hAnsi="Calibri" w:cs="Times New Roman"/>
          <w:noProof/>
        </w:rPr>
        <w:t xml:space="preserve"> </w:t>
      </w:r>
      <w:r w:rsidRPr="00D677C7">
        <w:rPr>
          <w:rFonts w:ascii="Calibri" w:hAnsi="Calibri" w:cs="Times New Roman"/>
          <w:b/>
          <w:bCs/>
          <w:noProof/>
        </w:rPr>
        <w:t>29</w:t>
      </w:r>
      <w:r w:rsidRPr="00D677C7">
        <w:rPr>
          <w:rFonts w:ascii="Calibri" w:hAnsi="Calibri" w:cs="Times New Roman"/>
          <w:noProof/>
        </w:rPr>
        <w:t xml:space="preserve"> 64–73, http://linkinghub.elsevier.com/retrieve/pii/S0967070X13000607.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Ellaway, A, Macdonald, L, and Kearns, A, 2016, “Are housing tenure and car access still associated with health? A repeat cross-sectional study of UK adults over a 13-year period” </w:t>
      </w:r>
      <w:r w:rsidRPr="00D677C7">
        <w:rPr>
          <w:rFonts w:ascii="Calibri" w:hAnsi="Calibri" w:cs="Times New Roman"/>
          <w:i/>
          <w:iCs/>
          <w:noProof/>
        </w:rPr>
        <w:t>BMJ Open</w:t>
      </w:r>
      <w:r w:rsidRPr="00D677C7">
        <w:rPr>
          <w:rFonts w:ascii="Calibri" w:hAnsi="Calibri" w:cs="Times New Roman"/>
          <w:noProof/>
        </w:rPr>
        <w:t xml:space="preserve"> </w:t>
      </w:r>
      <w:r w:rsidRPr="00D677C7">
        <w:rPr>
          <w:rFonts w:ascii="Calibri" w:hAnsi="Calibri" w:cs="Times New Roman"/>
          <w:b/>
          <w:bCs/>
          <w:noProof/>
        </w:rPr>
        <w:t>6</w:t>
      </w:r>
      <w:r w:rsidRPr="00D677C7">
        <w:rPr>
          <w:rFonts w:ascii="Calibri" w:hAnsi="Calibri" w:cs="Times New Roman"/>
          <w:noProof/>
        </w:rPr>
        <w:t>(11) e012268, http://bmjopen.bmj.com/lookup/doi/10.1136/bmjopen-2016-012268.</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Firnkorn, J and Müller, M, 2012, “Selling Mobility instead of Cars: New Business Strategies of Automakers and the Impact on Private Vehicle Holding” </w:t>
      </w:r>
      <w:r w:rsidRPr="00D677C7">
        <w:rPr>
          <w:rFonts w:ascii="Calibri" w:hAnsi="Calibri" w:cs="Times New Roman"/>
          <w:i/>
          <w:iCs/>
          <w:noProof/>
        </w:rPr>
        <w:t>Business Strategy and the Environment</w:t>
      </w:r>
      <w:r w:rsidRPr="00D677C7">
        <w:rPr>
          <w:rFonts w:ascii="Calibri" w:hAnsi="Calibri" w:cs="Times New Roman"/>
          <w:noProof/>
        </w:rPr>
        <w:t xml:space="preserve"> </w:t>
      </w:r>
      <w:r w:rsidRPr="00D677C7">
        <w:rPr>
          <w:rFonts w:ascii="Calibri" w:hAnsi="Calibri" w:cs="Times New Roman"/>
          <w:b/>
          <w:bCs/>
          <w:noProof/>
        </w:rPr>
        <w:t>21</w:t>
      </w:r>
      <w:r w:rsidRPr="00D677C7">
        <w:rPr>
          <w:rFonts w:ascii="Calibri" w:hAnsi="Calibri" w:cs="Times New Roman"/>
          <w:noProof/>
        </w:rPr>
        <w:t>(4) 264–280, http://doi.wiley.com/10.1002/bse.738.</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Flint, E, Cummins, S, and Sacker, A, 2014, “Associations between active commuting, body fat, and body mass index: population based, cross sectional study in the United Kingdom” </w:t>
      </w:r>
      <w:r w:rsidRPr="00D677C7">
        <w:rPr>
          <w:rFonts w:ascii="Calibri" w:hAnsi="Calibri" w:cs="Times New Roman"/>
          <w:i/>
          <w:iCs/>
          <w:noProof/>
        </w:rPr>
        <w:t>BMJ</w:t>
      </w:r>
      <w:r w:rsidRPr="00D677C7">
        <w:rPr>
          <w:rFonts w:ascii="Calibri" w:hAnsi="Calibri" w:cs="Times New Roman"/>
          <w:noProof/>
        </w:rPr>
        <w:t xml:space="preserve"> </w:t>
      </w:r>
      <w:r w:rsidRPr="00D677C7">
        <w:rPr>
          <w:rFonts w:ascii="Calibri" w:hAnsi="Calibri" w:cs="Times New Roman"/>
          <w:b/>
          <w:bCs/>
          <w:noProof/>
        </w:rPr>
        <w:t>349</w:t>
      </w:r>
      <w:r w:rsidRPr="00D677C7">
        <w:rPr>
          <w:rFonts w:ascii="Calibri" w:hAnsi="Calibri" w:cs="Times New Roman"/>
          <w:noProof/>
        </w:rPr>
        <w:t>(aug19 13) g4887–g4887, http://www.bmj.com/cgi/doi/10.1136/bmj.g4887.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Garceau, T J, Atkinson-Palombo, C, and Garrick, N, 2015, “Peak Car Travel in the United States” </w:t>
      </w:r>
      <w:r w:rsidRPr="00D677C7">
        <w:rPr>
          <w:rFonts w:ascii="Calibri" w:hAnsi="Calibri" w:cs="Times New Roman"/>
          <w:i/>
          <w:iCs/>
          <w:noProof/>
        </w:rPr>
        <w:t>Transportation Research Record: Journal of the Transportation Research Board</w:t>
      </w:r>
      <w:r w:rsidRPr="00D677C7">
        <w:rPr>
          <w:rFonts w:ascii="Calibri" w:hAnsi="Calibri" w:cs="Times New Roman"/>
          <w:noProof/>
        </w:rPr>
        <w:t xml:space="preserve"> </w:t>
      </w:r>
      <w:r w:rsidRPr="00D677C7">
        <w:rPr>
          <w:rFonts w:ascii="Calibri" w:hAnsi="Calibri" w:cs="Times New Roman"/>
          <w:b/>
          <w:bCs/>
          <w:noProof/>
        </w:rPr>
        <w:t>2531</w:t>
      </w:r>
      <w:r w:rsidRPr="00D677C7">
        <w:rPr>
          <w:rFonts w:ascii="Calibri" w:hAnsi="Calibri" w:cs="Times New Roman"/>
          <w:noProof/>
        </w:rPr>
        <w:t>(2531) 36–44, http://trrjournalonline.trb.org/doi/10.3141/2531-05.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Garikapati, V M, Pendyala, R M, Morris, E A, Mokhtarian, P L, and McDonald, N, 2016, “Activity patterns, time use, and travel of millennials: a generation in transition?”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36</w:t>
      </w:r>
      <w:r w:rsidRPr="00D677C7">
        <w:rPr>
          <w:rFonts w:ascii="Calibri" w:hAnsi="Calibri" w:cs="Times New Roman"/>
          <w:noProof/>
        </w:rPr>
        <w:t>(5) 558–584, http://www.tandfonline.com/doi/full/10.1080/01441647.2016.1197337.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Goodman, A, 2013, “Walking, Cycling and Driving to Work in the English and Welsh 2011 Census: Trends, Socio-Economic Patterning and Relevance to Travel Behaviour in General” </w:t>
      </w:r>
      <w:r w:rsidRPr="00D677C7">
        <w:rPr>
          <w:rFonts w:ascii="Calibri" w:hAnsi="Calibri" w:cs="Times New Roman"/>
          <w:i/>
          <w:iCs/>
          <w:noProof/>
        </w:rPr>
        <w:t>PLoS ONE</w:t>
      </w:r>
      <w:r w:rsidRPr="00D677C7">
        <w:rPr>
          <w:rFonts w:ascii="Calibri" w:hAnsi="Calibri" w:cs="Times New Roman"/>
          <w:noProof/>
        </w:rPr>
        <w:t xml:space="preserve"> </w:t>
      </w:r>
      <w:r w:rsidRPr="00D677C7">
        <w:rPr>
          <w:rFonts w:ascii="Calibri" w:hAnsi="Calibri" w:cs="Times New Roman"/>
          <w:b/>
          <w:bCs/>
          <w:noProof/>
        </w:rPr>
        <w:t>8</w:t>
      </w:r>
      <w:r w:rsidRPr="00D677C7">
        <w:rPr>
          <w:rFonts w:ascii="Calibri" w:hAnsi="Calibri" w:cs="Times New Roman"/>
          <w:noProof/>
        </w:rPr>
        <w:t>(8) e71790, http://dx.plos.org/10.1371/journal.pone.0071790.</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Groffen, D A, Koster, A, Bosma, H, van den Akker, M, Aspelund, T, Siggeirsdóttir, K, Kempen, G I, van Eijk, J T, Eiriksdottir, G, Jónsson, P V, Launer, L J, Gudnason, V, and Harris, T B, 2013, “Socioeconomic factors from midlife predict mobility limitation and depressed mood three decades later; Findings from the AGES-Reykjavik Study” </w:t>
      </w:r>
      <w:r w:rsidRPr="00D677C7">
        <w:rPr>
          <w:rFonts w:ascii="Calibri" w:hAnsi="Calibri" w:cs="Times New Roman"/>
          <w:i/>
          <w:iCs/>
          <w:noProof/>
        </w:rPr>
        <w:t>BMC Public Health</w:t>
      </w:r>
      <w:r w:rsidRPr="00D677C7">
        <w:rPr>
          <w:rFonts w:ascii="Calibri" w:hAnsi="Calibri" w:cs="Times New Roman"/>
          <w:noProof/>
        </w:rPr>
        <w:t xml:space="preserve"> </w:t>
      </w:r>
      <w:r w:rsidRPr="00D677C7">
        <w:rPr>
          <w:rFonts w:ascii="Calibri" w:hAnsi="Calibri" w:cs="Times New Roman"/>
          <w:b/>
          <w:bCs/>
          <w:noProof/>
        </w:rPr>
        <w:t>13</w:t>
      </w:r>
      <w:r w:rsidRPr="00D677C7">
        <w:rPr>
          <w:rFonts w:ascii="Calibri" w:hAnsi="Calibri" w:cs="Times New Roman"/>
          <w:noProof/>
        </w:rPr>
        <w:t>(1) 101, http://bmcpublichealth.biomedcentral.com/articles/10.1186/1471-2458-13-101.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Hamari, J, Sjöklint, M, and Ukkonen, A, 2016, “The sharing economy: Why people participate in collaborative consumption” </w:t>
      </w:r>
      <w:r w:rsidRPr="00D677C7">
        <w:rPr>
          <w:rFonts w:ascii="Calibri" w:hAnsi="Calibri" w:cs="Times New Roman"/>
          <w:i/>
          <w:iCs/>
          <w:noProof/>
        </w:rPr>
        <w:t>Journal of the Association for Information Science and Technology</w:t>
      </w:r>
      <w:r w:rsidRPr="00D677C7">
        <w:rPr>
          <w:rFonts w:ascii="Calibri" w:hAnsi="Calibri" w:cs="Times New Roman"/>
          <w:noProof/>
        </w:rPr>
        <w:t xml:space="preserve"> </w:t>
      </w:r>
      <w:r w:rsidRPr="00D677C7">
        <w:rPr>
          <w:rFonts w:ascii="Calibri" w:hAnsi="Calibri" w:cs="Times New Roman"/>
          <w:b/>
          <w:bCs/>
          <w:noProof/>
        </w:rPr>
        <w:t>67</w:t>
      </w:r>
      <w:r w:rsidRPr="00D677C7">
        <w:rPr>
          <w:rFonts w:ascii="Calibri" w:hAnsi="Calibri" w:cs="Times New Roman"/>
          <w:noProof/>
        </w:rPr>
        <w:t>(9) 2047–2059, http://doi.wiley.com/10.1002/asi.23552.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Harms, L, Bertolini, L, and te Brömmelstroet, M, 2014, “Spatial and social variations in cycling patterns in a mature cycling country exploring differences and trends” </w:t>
      </w:r>
      <w:r w:rsidRPr="00D677C7">
        <w:rPr>
          <w:rFonts w:ascii="Calibri" w:hAnsi="Calibri" w:cs="Times New Roman"/>
          <w:i/>
          <w:iCs/>
          <w:noProof/>
        </w:rPr>
        <w:t>Journal of Transport &amp; Health</w:t>
      </w:r>
      <w:r w:rsidRPr="00D677C7">
        <w:rPr>
          <w:rFonts w:ascii="Calibri" w:hAnsi="Calibri" w:cs="Times New Roman"/>
          <w:noProof/>
        </w:rPr>
        <w:t xml:space="preserve"> </w:t>
      </w:r>
      <w:r w:rsidRPr="00D677C7">
        <w:rPr>
          <w:rFonts w:ascii="Calibri" w:hAnsi="Calibri" w:cs="Times New Roman"/>
          <w:b/>
          <w:bCs/>
          <w:noProof/>
        </w:rPr>
        <w:t>1</w:t>
      </w:r>
      <w:r w:rsidRPr="00D677C7">
        <w:rPr>
          <w:rFonts w:ascii="Calibri" w:hAnsi="Calibri" w:cs="Times New Roman"/>
          <w:noProof/>
        </w:rPr>
        <w:t>(4) 232–242, http://linkinghub.elsevier.com/retrieve/pii/S2214140514000802.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lastRenderedPageBreak/>
        <w:t xml:space="preserve">Headicar, P, 2013, “The Changing Spatial Distribution of the Population in England: Its Nature and Significance for ‘Peak Car’”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(3) 310–324, http://www.tandfonline.com/doi/abs/10.1080/01441647.2013.802751.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Hopkins, D, 2016, “Can environmental awareness explain declining preference for car-based mobility amongst generation Y? A qualitative examination of learn to drive behaviours” </w:t>
      </w:r>
      <w:r w:rsidRPr="00D677C7">
        <w:rPr>
          <w:rFonts w:ascii="Calibri" w:hAnsi="Calibri" w:cs="Times New Roman"/>
          <w:i/>
          <w:iCs/>
          <w:noProof/>
        </w:rPr>
        <w:t>Transportation Research Part A: Policy and Practice</w:t>
      </w:r>
      <w:r w:rsidRPr="00D677C7">
        <w:rPr>
          <w:rFonts w:ascii="Calibri" w:hAnsi="Calibri" w:cs="Times New Roman"/>
          <w:noProof/>
        </w:rPr>
        <w:t xml:space="preserve"> </w:t>
      </w:r>
      <w:r w:rsidRPr="00D677C7">
        <w:rPr>
          <w:rFonts w:ascii="Calibri" w:hAnsi="Calibri" w:cs="Times New Roman"/>
          <w:b/>
          <w:bCs/>
          <w:noProof/>
        </w:rPr>
        <w:t>94</w:t>
      </w:r>
      <w:r w:rsidRPr="00D677C7">
        <w:rPr>
          <w:rFonts w:ascii="Calibri" w:hAnsi="Calibri" w:cs="Times New Roman"/>
          <w:noProof/>
        </w:rPr>
        <w:t xml:space="preserve"> 149–163, http://linkinghub.elsevier.com/retrieve/pii/S0965856415303323.</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Hynes, M, 2014, “Telework Isn’t Working: A Policy Review” </w:t>
      </w:r>
      <w:r w:rsidRPr="00D677C7">
        <w:rPr>
          <w:rFonts w:ascii="Calibri" w:hAnsi="Calibri" w:cs="Times New Roman"/>
          <w:i/>
          <w:iCs/>
          <w:noProof/>
        </w:rPr>
        <w:t>Economic and Social Review</w:t>
      </w:r>
      <w:r w:rsidRPr="00D677C7">
        <w:rPr>
          <w:rFonts w:ascii="Calibri" w:hAnsi="Calibri" w:cs="Times New Roman"/>
          <w:noProof/>
        </w:rPr>
        <w:t xml:space="preserve"> </w:t>
      </w:r>
      <w:r w:rsidRPr="00D677C7">
        <w:rPr>
          <w:rFonts w:ascii="Calibri" w:hAnsi="Calibri" w:cs="Times New Roman"/>
          <w:b/>
          <w:bCs/>
          <w:noProof/>
        </w:rPr>
        <w:t>45</w:t>
      </w:r>
      <w:r w:rsidRPr="00D677C7">
        <w:rPr>
          <w:rFonts w:ascii="Calibri" w:hAnsi="Calibri" w:cs="Times New Roman"/>
          <w:noProof/>
        </w:rPr>
        <w:t>(4) 579–602.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Jones, P, 2014, “The evolution of urban mobility: The interplay of academic and policy perspectives” </w:t>
      </w:r>
      <w:r w:rsidRPr="00D677C7">
        <w:rPr>
          <w:rFonts w:ascii="Calibri" w:hAnsi="Calibri" w:cs="Times New Roman"/>
          <w:i/>
          <w:iCs/>
          <w:noProof/>
        </w:rPr>
        <w:t>IATSS Research</w:t>
      </w:r>
      <w:r w:rsidRPr="00D677C7">
        <w:rPr>
          <w:rFonts w:ascii="Calibri" w:hAnsi="Calibri" w:cs="Times New Roman"/>
          <w:noProof/>
        </w:rPr>
        <w:t xml:space="preserve"> </w:t>
      </w:r>
      <w:r w:rsidRPr="00D677C7">
        <w:rPr>
          <w:rFonts w:ascii="Calibri" w:hAnsi="Calibri" w:cs="Times New Roman"/>
          <w:b/>
          <w:bCs/>
          <w:noProof/>
        </w:rPr>
        <w:t>38</w:t>
      </w:r>
      <w:r w:rsidRPr="00D677C7">
        <w:rPr>
          <w:rFonts w:ascii="Calibri" w:hAnsi="Calibri" w:cs="Times New Roman"/>
          <w:noProof/>
        </w:rPr>
        <w:t>(1) 7–13, http://linkinghub.elsevier.com/retrieve/pii/S038611121400017X.</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Kent, J L, 2014, “Carsharing as active transport: What are the potential health benefits?” </w:t>
      </w:r>
      <w:r w:rsidRPr="00D677C7">
        <w:rPr>
          <w:rFonts w:ascii="Calibri" w:hAnsi="Calibri" w:cs="Times New Roman"/>
          <w:i/>
          <w:iCs/>
          <w:noProof/>
        </w:rPr>
        <w:t>Journal of Transport &amp; Health</w:t>
      </w:r>
      <w:r w:rsidRPr="00D677C7">
        <w:rPr>
          <w:rFonts w:ascii="Calibri" w:hAnsi="Calibri" w:cs="Times New Roman"/>
          <w:noProof/>
        </w:rPr>
        <w:t xml:space="preserve"> </w:t>
      </w:r>
      <w:r w:rsidRPr="00D677C7">
        <w:rPr>
          <w:rFonts w:ascii="Calibri" w:hAnsi="Calibri" w:cs="Times New Roman"/>
          <w:b/>
          <w:bCs/>
          <w:noProof/>
        </w:rPr>
        <w:t>1</w:t>
      </w:r>
      <w:r w:rsidRPr="00D677C7">
        <w:rPr>
          <w:rFonts w:ascii="Calibri" w:hAnsi="Calibri" w:cs="Times New Roman"/>
          <w:noProof/>
        </w:rPr>
        <w:t>(1) 54–62, http://linkinghub.elsevier.com/retrieve/pii/S2214140513000054.</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Klein, N J and Smart, M J, 2017, “Millennials and car ownership: Less money, fewer cars” </w:t>
      </w:r>
      <w:r w:rsidRPr="00D677C7">
        <w:rPr>
          <w:rFonts w:ascii="Calibri" w:hAnsi="Calibri" w:cs="Times New Roman"/>
          <w:i/>
          <w:iCs/>
          <w:noProof/>
        </w:rPr>
        <w:t>Transport Policy</w:t>
      </w:r>
      <w:r w:rsidRPr="00D677C7">
        <w:rPr>
          <w:rFonts w:ascii="Calibri" w:hAnsi="Calibri" w:cs="Times New Roman"/>
          <w:noProof/>
        </w:rPr>
        <w:t xml:space="preserve"> </w:t>
      </w:r>
      <w:r w:rsidRPr="00D677C7">
        <w:rPr>
          <w:rFonts w:ascii="Calibri" w:hAnsi="Calibri" w:cs="Times New Roman"/>
          <w:b/>
          <w:bCs/>
          <w:noProof/>
        </w:rPr>
        <w:t>53</w:t>
      </w:r>
      <w:r w:rsidRPr="00D677C7">
        <w:rPr>
          <w:rFonts w:ascii="Calibri" w:hAnsi="Calibri" w:cs="Times New Roman"/>
          <w:noProof/>
        </w:rPr>
        <w:t xml:space="preserve"> 20–29, http://linkinghub.elsevier.com/retrieve/pii/S0967070X16305571.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KNESEBECK, O VON DEM, WAHRENDORF, M, HYDE, M, and SIEGRIST, J, 2007, “Socio-economic position and quality of life among older people in 10 European countries: results of the SHARE study” </w:t>
      </w:r>
      <w:r w:rsidRPr="00D677C7">
        <w:rPr>
          <w:rFonts w:ascii="Calibri" w:hAnsi="Calibri" w:cs="Times New Roman"/>
          <w:i/>
          <w:iCs/>
          <w:noProof/>
        </w:rPr>
        <w:t>Ageing and Society</w:t>
      </w:r>
      <w:r w:rsidRPr="00D677C7">
        <w:rPr>
          <w:rFonts w:ascii="Calibri" w:hAnsi="Calibri" w:cs="Times New Roman"/>
          <w:noProof/>
        </w:rPr>
        <w:t xml:space="preserve"> </w:t>
      </w:r>
      <w:r w:rsidRPr="00D677C7">
        <w:rPr>
          <w:rFonts w:ascii="Calibri" w:hAnsi="Calibri" w:cs="Times New Roman"/>
          <w:b/>
          <w:bCs/>
          <w:noProof/>
        </w:rPr>
        <w:t>27</w:t>
      </w:r>
      <w:r w:rsidRPr="00D677C7">
        <w:rPr>
          <w:rFonts w:ascii="Calibri" w:hAnsi="Calibri" w:cs="Times New Roman"/>
          <w:noProof/>
        </w:rPr>
        <w:t>(2) 269–284, http://www.journals.cambridge.org/abstract_S0144686X06005484.</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Kuhnimhof, T, Zumkeller, D, and Chlond, B, 2013, “Who Made Peak Car, and How? A Breakdown of Trends over Four Decades in Four Countries”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(3) 325–342, http://www.tandfonline.com/doi/abs/10.1080/01441647.2013.801928.</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Lanzendorf, M, 2010, “Key Events and Their Effect on Mobility Biographies: The Case of Childbirth” </w:t>
      </w:r>
      <w:r w:rsidRPr="00D677C7">
        <w:rPr>
          <w:rFonts w:ascii="Calibri" w:hAnsi="Calibri" w:cs="Times New Roman"/>
          <w:i/>
          <w:iCs/>
          <w:noProof/>
        </w:rPr>
        <w:t>International Journal of Sustainable Transportation</w:t>
      </w:r>
      <w:r w:rsidRPr="00D677C7">
        <w:rPr>
          <w:rFonts w:ascii="Calibri" w:hAnsi="Calibri" w:cs="Times New Roman"/>
          <w:noProof/>
        </w:rPr>
        <w:t xml:space="preserve"> </w:t>
      </w:r>
      <w:r w:rsidRPr="00D677C7">
        <w:rPr>
          <w:rFonts w:ascii="Calibri" w:hAnsi="Calibri" w:cs="Times New Roman"/>
          <w:b/>
          <w:bCs/>
          <w:noProof/>
        </w:rPr>
        <w:t>4</w:t>
      </w:r>
      <w:r w:rsidRPr="00D677C7">
        <w:rPr>
          <w:rFonts w:ascii="Calibri" w:hAnsi="Calibri" w:cs="Times New Roman"/>
          <w:noProof/>
        </w:rPr>
        <w:t>(5) 272–292, http://www.tandfonline.com/doi/abs/10.1080/15568310903145188.</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Lee-Gosselin, M E H, 2017, “Beyond ‘Peak Car’: A reflection on the evolution of public sentiment about the role of cars in cities” </w:t>
      </w:r>
      <w:r w:rsidRPr="00D677C7">
        <w:rPr>
          <w:rFonts w:ascii="Calibri" w:hAnsi="Calibri" w:cs="Times New Roman"/>
          <w:i/>
          <w:iCs/>
          <w:noProof/>
        </w:rPr>
        <w:t>IATSS Research</w:t>
      </w:r>
      <w:r w:rsidRPr="00D677C7">
        <w:rPr>
          <w:rFonts w:ascii="Calibri" w:hAnsi="Calibri" w:cs="Times New Roman"/>
          <w:noProof/>
        </w:rPr>
        <w:t xml:space="preserve"> </w:t>
      </w:r>
      <w:r w:rsidRPr="00D677C7">
        <w:rPr>
          <w:rFonts w:ascii="Calibri" w:hAnsi="Calibri" w:cs="Times New Roman"/>
          <w:b/>
          <w:bCs/>
          <w:noProof/>
        </w:rPr>
        <w:t>40</w:t>
      </w:r>
      <w:r w:rsidRPr="00D677C7">
        <w:rPr>
          <w:rFonts w:ascii="Calibri" w:hAnsi="Calibri" w:cs="Times New Roman"/>
          <w:noProof/>
        </w:rPr>
        <w:t>(2) 85–87, http://linkinghub.elsevier.com/retrieve/pii/S0386111216300115.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Lin, J and Long, L, 2008, “What neighborhood are you in? Empirical findings of relationships between household travel and neighborhood characteristics” </w:t>
      </w:r>
      <w:r w:rsidRPr="00D677C7">
        <w:rPr>
          <w:rFonts w:ascii="Calibri" w:hAnsi="Calibri" w:cs="Times New Roman"/>
          <w:i/>
          <w:iCs/>
          <w:noProof/>
        </w:rPr>
        <w:t>Transportation</w:t>
      </w:r>
      <w:r w:rsidRPr="00D677C7">
        <w:rPr>
          <w:rFonts w:ascii="Calibri" w:hAnsi="Calibri" w:cs="Times New Roman"/>
          <w:noProof/>
        </w:rPr>
        <w:t xml:space="preserve"> </w:t>
      </w:r>
      <w:r w:rsidRPr="00D677C7">
        <w:rPr>
          <w:rFonts w:ascii="Calibri" w:hAnsi="Calibri" w:cs="Times New Roman"/>
          <w:b/>
          <w:bCs/>
          <w:noProof/>
        </w:rPr>
        <w:t>35</w:t>
      </w:r>
      <w:r w:rsidRPr="00D677C7">
        <w:rPr>
          <w:rFonts w:ascii="Calibri" w:hAnsi="Calibri" w:cs="Times New Roman"/>
          <w:noProof/>
        </w:rPr>
        <w:t>(6) 739–758, http://link.springer.com/10.1007/s11116-008-9167-7.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Manville, M, King, D A, and Smart, M J, 2017, “The Driving Downturn: A Preliminary Assessment” </w:t>
      </w:r>
      <w:r w:rsidRPr="00D677C7">
        <w:rPr>
          <w:rFonts w:ascii="Calibri" w:hAnsi="Calibri" w:cs="Times New Roman"/>
          <w:i/>
          <w:iCs/>
          <w:noProof/>
        </w:rPr>
        <w:t>Journal of the American Planning Association</w:t>
      </w:r>
      <w:r w:rsidRPr="00D677C7">
        <w:rPr>
          <w:rFonts w:ascii="Calibri" w:hAnsi="Calibri" w:cs="Times New Roman"/>
          <w:noProof/>
        </w:rPr>
        <w:t xml:space="preserve"> </w:t>
      </w:r>
      <w:r w:rsidRPr="00D677C7">
        <w:rPr>
          <w:rFonts w:ascii="Calibri" w:hAnsi="Calibri" w:cs="Times New Roman"/>
          <w:b/>
          <w:bCs/>
          <w:noProof/>
        </w:rPr>
        <w:t>83</w:t>
      </w:r>
      <w:r w:rsidRPr="00D677C7">
        <w:rPr>
          <w:rFonts w:ascii="Calibri" w:hAnsi="Calibri" w:cs="Times New Roman"/>
          <w:noProof/>
        </w:rPr>
        <w:t>(1) 42–55, https://www.tandfonline.com/doi/full/10.1080/01944363.2016.1247653.</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Martin, A, Panter, J, Suhrcke, M, and Ogilvie, D, 2015, “Impact of changes in mode of travel to work on changes in body mass index: evidence from the British Household Panel Survey” </w:t>
      </w:r>
      <w:r w:rsidRPr="00D677C7">
        <w:rPr>
          <w:rFonts w:ascii="Calibri" w:hAnsi="Calibri" w:cs="Times New Roman"/>
          <w:i/>
          <w:iCs/>
          <w:noProof/>
        </w:rPr>
        <w:t>Journal of Epidemiology and Community Health</w:t>
      </w:r>
      <w:r w:rsidRPr="00D677C7">
        <w:rPr>
          <w:rFonts w:ascii="Calibri" w:hAnsi="Calibri" w:cs="Times New Roman"/>
          <w:noProof/>
        </w:rPr>
        <w:t xml:space="preserve"> </w:t>
      </w:r>
      <w:r w:rsidRPr="00D677C7">
        <w:rPr>
          <w:rFonts w:ascii="Calibri" w:hAnsi="Calibri" w:cs="Times New Roman"/>
          <w:b/>
          <w:bCs/>
          <w:noProof/>
        </w:rPr>
        <w:t>69</w:t>
      </w:r>
      <w:r w:rsidRPr="00D677C7">
        <w:rPr>
          <w:rFonts w:ascii="Calibri" w:hAnsi="Calibri" w:cs="Times New Roman"/>
          <w:noProof/>
        </w:rPr>
        <w:t>(8) 753–761, http://jech.bmj.com/lookup/doi/10.1136/jech-2014-205211.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McDonald, N C, 2015, “Are Millennials Really the ‘Go-Nowhere’ Generation?” </w:t>
      </w:r>
      <w:r w:rsidRPr="00D677C7">
        <w:rPr>
          <w:rFonts w:ascii="Calibri" w:hAnsi="Calibri" w:cs="Times New Roman"/>
          <w:i/>
          <w:iCs/>
          <w:noProof/>
        </w:rPr>
        <w:t>Journal of the American Planning Association</w:t>
      </w:r>
      <w:r w:rsidRPr="00D677C7">
        <w:rPr>
          <w:rFonts w:ascii="Calibri" w:hAnsi="Calibri" w:cs="Times New Roman"/>
          <w:noProof/>
        </w:rPr>
        <w:t xml:space="preserve"> </w:t>
      </w:r>
      <w:r w:rsidRPr="00D677C7">
        <w:rPr>
          <w:rFonts w:ascii="Calibri" w:hAnsi="Calibri" w:cs="Times New Roman"/>
          <w:b/>
          <w:bCs/>
          <w:noProof/>
        </w:rPr>
        <w:t>81</w:t>
      </w:r>
      <w:r w:rsidRPr="00D677C7">
        <w:rPr>
          <w:rFonts w:ascii="Calibri" w:hAnsi="Calibri" w:cs="Times New Roman"/>
          <w:noProof/>
        </w:rPr>
        <w:t>(2) 90–103, http://www.tandfonline.com/doi/full/10.1080/01944363.2015.1057196.</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McIntosh, J, Trubka, R, Kenworthy, J, and Newman, P, 2014, “The role of urban form and transit in city car dependence: Analysis of 26 global cities from 1960 to 2000” </w:t>
      </w:r>
      <w:r w:rsidRPr="00D677C7">
        <w:rPr>
          <w:rFonts w:ascii="Calibri" w:hAnsi="Calibri" w:cs="Times New Roman"/>
          <w:i/>
          <w:iCs/>
          <w:noProof/>
        </w:rPr>
        <w:t>Transportation Research Part D: Transport and Environment</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 xml:space="preserve"> 95–110, </w:t>
      </w:r>
      <w:r w:rsidRPr="00D677C7">
        <w:rPr>
          <w:rFonts w:ascii="Calibri" w:hAnsi="Calibri" w:cs="Times New Roman"/>
          <w:noProof/>
        </w:rPr>
        <w:lastRenderedPageBreak/>
        <w:t>http://linkinghub.elsevier.com/retrieve/pii/S136192091400114X.</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Milligan, B, 2015, “Care Insurers charge eye-watering fees, claims Which?” </w:t>
      </w:r>
      <w:r w:rsidRPr="00D677C7">
        <w:rPr>
          <w:rFonts w:ascii="Calibri" w:hAnsi="Calibri" w:cs="Times New Roman"/>
          <w:i/>
          <w:iCs/>
          <w:noProof/>
        </w:rPr>
        <w:t>BBC News</w:t>
      </w:r>
      <w:r w:rsidRPr="00D677C7">
        <w:rPr>
          <w:rFonts w:ascii="Calibri" w:hAnsi="Calibri" w:cs="Times New Roman"/>
          <w:noProof/>
        </w:rPr>
        <w:t>, http://www.bbc.co.uk/news/business-33937806.</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Minton, J, Vanderbloemen, L, and Dorling, D, 2013, “Visualizing Europe’s demographic scars with coplots and contour plots” </w:t>
      </w:r>
      <w:r w:rsidRPr="00D677C7">
        <w:rPr>
          <w:rFonts w:ascii="Calibri" w:hAnsi="Calibri" w:cs="Times New Roman"/>
          <w:i/>
          <w:iCs/>
          <w:noProof/>
        </w:rPr>
        <w:t>International Journal of Epidemiology</w:t>
      </w:r>
      <w:r w:rsidRPr="00D677C7">
        <w:rPr>
          <w:rFonts w:ascii="Calibri" w:hAnsi="Calibri" w:cs="Times New Roman"/>
          <w:noProof/>
        </w:rPr>
        <w:t xml:space="preserve"> </w:t>
      </w:r>
      <w:r w:rsidRPr="00D677C7">
        <w:rPr>
          <w:rFonts w:ascii="Calibri" w:hAnsi="Calibri" w:cs="Times New Roman"/>
          <w:b/>
          <w:bCs/>
          <w:noProof/>
        </w:rPr>
        <w:t>42</w:t>
      </w:r>
      <w:r w:rsidRPr="00D677C7">
        <w:rPr>
          <w:rFonts w:ascii="Calibri" w:hAnsi="Calibri" w:cs="Times New Roman"/>
          <w:noProof/>
        </w:rPr>
        <w:t>(4) 1164–1176, http://ije.oxfordjournals.org/content/42/4/1164.full.</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Noble, B, 2005, “Why are some young people choosing not to drive?”, in </w:t>
      </w:r>
      <w:r w:rsidRPr="00D677C7">
        <w:rPr>
          <w:rFonts w:ascii="Calibri" w:hAnsi="Calibri" w:cs="Times New Roman"/>
          <w:i/>
          <w:iCs/>
          <w:noProof/>
        </w:rPr>
        <w:t>European Transport Conference</w:t>
      </w:r>
      <w:r w:rsidRPr="00D677C7">
        <w:rPr>
          <w:rFonts w:ascii="Calibri" w:hAnsi="Calibri" w:cs="Times New Roman"/>
          <w:noProof/>
        </w:rPr>
        <w:t xml:space="preserve"> (Strassburg), http://abstracts.aetransport.org/paper/download/id/2097.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Popovich, N D and Handy, S, 2015, “Downtown, strip centers, and big-box stores: Mode choice by shopping destination type in Davis, California” </w:t>
      </w:r>
      <w:r w:rsidRPr="00D677C7">
        <w:rPr>
          <w:rFonts w:ascii="Calibri" w:hAnsi="Calibri" w:cs="Times New Roman"/>
          <w:i/>
          <w:iCs/>
          <w:noProof/>
        </w:rPr>
        <w:t>Journal of Transport and Land Use</w:t>
      </w:r>
      <w:r w:rsidRPr="00D677C7">
        <w:rPr>
          <w:rFonts w:ascii="Calibri" w:hAnsi="Calibri" w:cs="Times New Roman"/>
          <w:noProof/>
        </w:rPr>
        <w:t xml:space="preserve"> </w:t>
      </w:r>
      <w:r w:rsidRPr="00D677C7">
        <w:rPr>
          <w:rFonts w:ascii="Calibri" w:hAnsi="Calibri" w:cs="Times New Roman"/>
          <w:b/>
          <w:bCs/>
          <w:noProof/>
        </w:rPr>
        <w:t>8</w:t>
      </w:r>
      <w:r w:rsidRPr="00D677C7">
        <w:rPr>
          <w:rFonts w:ascii="Calibri" w:hAnsi="Calibri" w:cs="Times New Roman"/>
          <w:noProof/>
        </w:rPr>
        <w:t>(2) 149–170, https://www.jtlu.org/index.php/jtlu/article/view/739.</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Prettenthaler, F E and Steininger, K W, 1999, “From ownership to service use lifestyle: the potential of car sharing” </w:t>
      </w:r>
      <w:r w:rsidRPr="00D677C7">
        <w:rPr>
          <w:rFonts w:ascii="Calibri" w:hAnsi="Calibri" w:cs="Times New Roman"/>
          <w:i/>
          <w:iCs/>
          <w:noProof/>
        </w:rPr>
        <w:t>Ecological Economics</w:t>
      </w:r>
      <w:r w:rsidRPr="00D677C7">
        <w:rPr>
          <w:rFonts w:ascii="Calibri" w:hAnsi="Calibri" w:cs="Times New Roman"/>
          <w:noProof/>
        </w:rPr>
        <w:t xml:space="preserve"> </w:t>
      </w:r>
      <w:r w:rsidRPr="00D677C7">
        <w:rPr>
          <w:rFonts w:ascii="Calibri" w:hAnsi="Calibri" w:cs="Times New Roman"/>
          <w:b/>
          <w:bCs/>
          <w:noProof/>
        </w:rPr>
        <w:t>28</w:t>
      </w:r>
      <w:r w:rsidRPr="00D677C7">
        <w:rPr>
          <w:rFonts w:ascii="Calibri" w:hAnsi="Calibri" w:cs="Times New Roman"/>
          <w:noProof/>
        </w:rPr>
        <w:t>(3) 443–453, http://linkinghub.elsevier.com/retrieve/pii/S0921800998001098.</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Pritchard, T and DeBoer, L, 1995, “The Effect of Taxes and Insurance Costs On Automobile Registrations in the United States” </w:t>
      </w:r>
      <w:r w:rsidRPr="00D677C7">
        <w:rPr>
          <w:rFonts w:ascii="Calibri" w:hAnsi="Calibri" w:cs="Times New Roman"/>
          <w:i/>
          <w:iCs/>
          <w:noProof/>
        </w:rPr>
        <w:t>Public Finance Review</w:t>
      </w:r>
      <w:r w:rsidRPr="00D677C7">
        <w:rPr>
          <w:rFonts w:ascii="Calibri" w:hAnsi="Calibri" w:cs="Times New Roman"/>
          <w:noProof/>
        </w:rPr>
        <w:t xml:space="preserve"> </w:t>
      </w:r>
      <w:r w:rsidRPr="00D677C7">
        <w:rPr>
          <w:rFonts w:ascii="Calibri" w:hAnsi="Calibri" w:cs="Times New Roman"/>
          <w:b/>
          <w:bCs/>
          <w:noProof/>
        </w:rPr>
        <w:t>23</w:t>
      </w:r>
      <w:r w:rsidRPr="00D677C7">
        <w:rPr>
          <w:rFonts w:ascii="Calibri" w:hAnsi="Calibri" w:cs="Times New Roman"/>
          <w:noProof/>
        </w:rPr>
        <w:t>(3) 283–304, http://pfr.sagepub.com/cgi/doi/10.1177/109114219502300301.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Rabbitt, N and Ghosh, B, 2016, “Economic and environmental impacts of organised Car Sharing Services: A case study of Ireland” </w:t>
      </w:r>
      <w:r w:rsidRPr="00D677C7">
        <w:rPr>
          <w:rFonts w:ascii="Calibri" w:hAnsi="Calibri" w:cs="Times New Roman"/>
          <w:i/>
          <w:iCs/>
          <w:noProof/>
        </w:rPr>
        <w:t>Research in Transportation Economics</w:t>
      </w:r>
      <w:r w:rsidRPr="00D677C7">
        <w:rPr>
          <w:rFonts w:ascii="Calibri" w:hAnsi="Calibri" w:cs="Times New Roman"/>
          <w:noProof/>
        </w:rPr>
        <w:t xml:space="preserve"> </w:t>
      </w:r>
      <w:r w:rsidRPr="00D677C7">
        <w:rPr>
          <w:rFonts w:ascii="Calibri" w:hAnsi="Calibri" w:cs="Times New Roman"/>
          <w:b/>
          <w:bCs/>
          <w:noProof/>
        </w:rPr>
        <w:t>57</w:t>
      </w:r>
      <w:r w:rsidRPr="00D677C7">
        <w:rPr>
          <w:rFonts w:ascii="Calibri" w:hAnsi="Calibri" w:cs="Times New Roman"/>
          <w:noProof/>
        </w:rPr>
        <w:t xml:space="preserve"> 3–12, http://linkinghub.elsevier.com/retrieve/pii/S0739885915301293.</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Schöley, J and Willekens, F, 2017, “Visualizing compositional data on the Lexis surface” </w:t>
      </w:r>
      <w:r w:rsidRPr="00D677C7">
        <w:rPr>
          <w:rFonts w:ascii="Calibri" w:hAnsi="Calibri" w:cs="Times New Roman"/>
          <w:i/>
          <w:iCs/>
          <w:noProof/>
        </w:rPr>
        <w:t>Demographic Research</w:t>
      </w:r>
      <w:r w:rsidRPr="00D677C7">
        <w:rPr>
          <w:rFonts w:ascii="Calibri" w:hAnsi="Calibri" w:cs="Times New Roman"/>
          <w:noProof/>
        </w:rPr>
        <w:t xml:space="preserve"> </w:t>
      </w:r>
      <w:r w:rsidRPr="00D677C7">
        <w:rPr>
          <w:rFonts w:ascii="Calibri" w:hAnsi="Calibri" w:cs="Times New Roman"/>
          <w:b/>
          <w:bCs/>
          <w:noProof/>
        </w:rPr>
        <w:t>36</w:t>
      </w:r>
      <w:r w:rsidRPr="00D677C7">
        <w:rPr>
          <w:rFonts w:ascii="Calibri" w:hAnsi="Calibri" w:cs="Times New Roman"/>
          <w:noProof/>
        </w:rPr>
        <w:t xml:space="preserve"> 627–658, http://www.demographic-research.org/volumes/vol36/21/.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Shaheen, S, Cano, L, and Camel, M, 2016, “Exploring electric vehicle carsharing as a mobility option for older adults: A case study of a senior adult community in the San Francisco Bay Area” </w:t>
      </w:r>
      <w:r w:rsidRPr="00D677C7">
        <w:rPr>
          <w:rFonts w:ascii="Calibri" w:hAnsi="Calibri" w:cs="Times New Roman"/>
          <w:i/>
          <w:iCs/>
          <w:noProof/>
        </w:rPr>
        <w:t>International Journal of Sustainable Transportation</w:t>
      </w:r>
      <w:r w:rsidRPr="00D677C7">
        <w:rPr>
          <w:rFonts w:ascii="Calibri" w:hAnsi="Calibri" w:cs="Times New Roman"/>
          <w:noProof/>
        </w:rPr>
        <w:t xml:space="preserve"> </w:t>
      </w:r>
      <w:r w:rsidRPr="00D677C7">
        <w:rPr>
          <w:rFonts w:ascii="Calibri" w:hAnsi="Calibri" w:cs="Times New Roman"/>
          <w:b/>
          <w:bCs/>
          <w:noProof/>
        </w:rPr>
        <w:t>10</w:t>
      </w:r>
      <w:r w:rsidRPr="00D677C7">
        <w:rPr>
          <w:rFonts w:ascii="Calibri" w:hAnsi="Calibri" w:cs="Times New Roman"/>
          <w:noProof/>
        </w:rPr>
        <w:t>(5) 406–417, http://www.tandfonline.com/doi/full/10.1080/15568318.2014.962675.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Sharmeen, F, Arentze, T, and Timmermans, H, 2014, “An analysis of the dynamics of activity and travel needs in response to social network evolution and life-cycle events: A structural equation model” </w:t>
      </w:r>
      <w:r w:rsidRPr="00D677C7">
        <w:rPr>
          <w:rFonts w:ascii="Calibri" w:hAnsi="Calibri" w:cs="Times New Roman"/>
          <w:i/>
          <w:iCs/>
          <w:noProof/>
        </w:rPr>
        <w:t>Transportation Research Part A: Policy and Practice</w:t>
      </w:r>
      <w:r w:rsidRPr="00D677C7">
        <w:rPr>
          <w:rFonts w:ascii="Calibri" w:hAnsi="Calibri" w:cs="Times New Roman"/>
          <w:noProof/>
        </w:rPr>
        <w:t xml:space="preserve"> </w:t>
      </w:r>
      <w:r w:rsidRPr="00D677C7">
        <w:rPr>
          <w:rFonts w:ascii="Calibri" w:hAnsi="Calibri" w:cs="Times New Roman"/>
          <w:b/>
          <w:bCs/>
          <w:noProof/>
        </w:rPr>
        <w:t>59</w:t>
      </w:r>
      <w:r w:rsidRPr="00D677C7">
        <w:rPr>
          <w:rFonts w:ascii="Calibri" w:hAnsi="Calibri" w:cs="Times New Roman"/>
          <w:noProof/>
        </w:rPr>
        <w:t xml:space="preserve"> 159–171, http://linkinghub.elsevier.com/retrieve/pii/S0965856413002322.</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St-Louis, E, Manaugh, K, van Lierop, D, and El-Geneidy, A, 2014, “The happy commuter: A comparison of commuter satisfaction across modes” </w:t>
      </w:r>
      <w:r w:rsidRPr="00D677C7">
        <w:rPr>
          <w:rFonts w:ascii="Calibri" w:hAnsi="Calibri" w:cs="Times New Roman"/>
          <w:i/>
          <w:iCs/>
          <w:noProof/>
        </w:rPr>
        <w:t>Transportation Research Part F: Traffic Psychology and Behaviour</w:t>
      </w:r>
      <w:r w:rsidRPr="00D677C7">
        <w:rPr>
          <w:rFonts w:ascii="Calibri" w:hAnsi="Calibri" w:cs="Times New Roman"/>
          <w:noProof/>
        </w:rPr>
        <w:t xml:space="preserve"> </w:t>
      </w:r>
      <w:r w:rsidRPr="00D677C7">
        <w:rPr>
          <w:rFonts w:ascii="Calibri" w:hAnsi="Calibri" w:cs="Times New Roman"/>
          <w:b/>
          <w:bCs/>
          <w:noProof/>
        </w:rPr>
        <w:t>26</w:t>
      </w:r>
      <w:r w:rsidRPr="00D677C7">
        <w:rPr>
          <w:rFonts w:ascii="Calibri" w:hAnsi="Calibri" w:cs="Times New Roman"/>
          <w:noProof/>
        </w:rPr>
        <w:t xml:space="preserve"> 160–170, http://linkinghub.elsevier.com/retrieve/pii/S1369847814001107.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Stokes, G, 2013, “The Prospects for Future Levels of Car Access and Use”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(3) 360–375, http://www.tandfonline.com/doi/abs/10.1080/01441647.2013.800614.</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Taylor, M F, Brice, J, Buck, N, and Prentice-Lane, E, 2011, “British Household Panel Survey: User Manual, Volume A: Introduction, Technical Report and Appendices”.</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Teubner, T and Flath, C M, 2015, “The Economics of Multi-Hop Ride Sharing” </w:t>
      </w:r>
      <w:r w:rsidRPr="00D677C7">
        <w:rPr>
          <w:rFonts w:ascii="Calibri" w:hAnsi="Calibri" w:cs="Times New Roman"/>
          <w:i/>
          <w:iCs/>
          <w:noProof/>
        </w:rPr>
        <w:t>Business &amp; Information Systems Engineering</w:t>
      </w:r>
      <w:r w:rsidRPr="00D677C7">
        <w:rPr>
          <w:rFonts w:ascii="Calibri" w:hAnsi="Calibri" w:cs="Times New Roman"/>
          <w:noProof/>
        </w:rPr>
        <w:t xml:space="preserve"> </w:t>
      </w:r>
      <w:r w:rsidRPr="00D677C7">
        <w:rPr>
          <w:rFonts w:ascii="Calibri" w:hAnsi="Calibri" w:cs="Times New Roman"/>
          <w:b/>
          <w:bCs/>
          <w:noProof/>
        </w:rPr>
        <w:t>57</w:t>
      </w:r>
      <w:r w:rsidRPr="00D677C7">
        <w:rPr>
          <w:rFonts w:ascii="Calibri" w:hAnsi="Calibri" w:cs="Times New Roman"/>
          <w:noProof/>
        </w:rPr>
        <w:t>(5) 311–324, http://link.springer.com/10.1007/s12599-015-0396-y.</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Thomas, G O and Walker, I, 2015, “Users of different travel modes differ in journey satisfaction and habit strength but not environmental worldviews: A large-scale survey of drivers, walkers, bicyclists and bus users commuting to a UK university” </w:t>
      </w:r>
      <w:r w:rsidRPr="00D677C7">
        <w:rPr>
          <w:rFonts w:ascii="Calibri" w:hAnsi="Calibri" w:cs="Times New Roman"/>
          <w:i/>
          <w:iCs/>
          <w:noProof/>
        </w:rPr>
        <w:lastRenderedPageBreak/>
        <w:t>Transportation Research Part F: Traffic Psychology and Behaviour</w:t>
      </w:r>
      <w:r w:rsidRPr="00D677C7">
        <w:rPr>
          <w:rFonts w:ascii="Calibri" w:hAnsi="Calibri" w:cs="Times New Roman"/>
          <w:noProof/>
        </w:rPr>
        <w:t xml:space="preserve"> </w:t>
      </w:r>
      <w:r w:rsidRPr="00D677C7">
        <w:rPr>
          <w:rFonts w:ascii="Calibri" w:hAnsi="Calibri" w:cs="Times New Roman"/>
          <w:b/>
          <w:bCs/>
          <w:noProof/>
        </w:rPr>
        <w:t>34</w:t>
      </w:r>
      <w:r w:rsidRPr="00D677C7">
        <w:rPr>
          <w:rFonts w:ascii="Calibri" w:hAnsi="Calibri" w:cs="Times New Roman"/>
          <w:noProof/>
        </w:rPr>
        <w:t xml:space="preserve"> 86–93, http://linkinghub.elsevier.com/retrieve/pii/S1369847815001205.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Thomopoulos, N and Givoni, M, 2015, “The autonomous car—a blessing or a curse for the future of low carbon mobility? An exploration of likely vs. desirable outcomes” </w:t>
      </w:r>
      <w:r w:rsidRPr="00D677C7">
        <w:rPr>
          <w:rFonts w:ascii="Calibri" w:hAnsi="Calibri" w:cs="Times New Roman"/>
          <w:i/>
          <w:iCs/>
          <w:noProof/>
        </w:rPr>
        <w:t>European Journal of Futures Research</w:t>
      </w:r>
      <w:r w:rsidRPr="00D677C7">
        <w:rPr>
          <w:rFonts w:ascii="Calibri" w:hAnsi="Calibri" w:cs="Times New Roman"/>
          <w:noProof/>
        </w:rPr>
        <w:t xml:space="preserve"> </w:t>
      </w:r>
      <w:r w:rsidRPr="00D677C7">
        <w:rPr>
          <w:rFonts w:ascii="Calibri" w:hAnsi="Calibri" w:cs="Times New Roman"/>
          <w:b/>
          <w:bCs/>
          <w:noProof/>
        </w:rPr>
        <w:t>3</w:t>
      </w:r>
      <w:r w:rsidRPr="00D677C7">
        <w:rPr>
          <w:rFonts w:ascii="Calibri" w:hAnsi="Calibri" w:cs="Times New Roman"/>
          <w:noProof/>
        </w:rPr>
        <w:t>(1) 14, http://link.springer.com/10.1007/s40309-015-0071-z.</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Tilley, S and Houston, D, 2016, “The gender turnaround: Young women now travelling more than young men” </w:t>
      </w:r>
      <w:r w:rsidRPr="00D677C7">
        <w:rPr>
          <w:rFonts w:ascii="Calibri" w:hAnsi="Calibri" w:cs="Times New Roman"/>
          <w:i/>
          <w:iCs/>
          <w:noProof/>
        </w:rPr>
        <w:t>Journal of Transport Geography</w:t>
      </w:r>
      <w:r w:rsidRPr="00D677C7">
        <w:rPr>
          <w:rFonts w:ascii="Calibri" w:hAnsi="Calibri" w:cs="Times New Roman"/>
          <w:noProof/>
        </w:rPr>
        <w:t xml:space="preserve"> </w:t>
      </w:r>
      <w:r w:rsidRPr="00D677C7">
        <w:rPr>
          <w:rFonts w:ascii="Calibri" w:hAnsi="Calibri" w:cs="Times New Roman"/>
          <w:b/>
          <w:bCs/>
          <w:noProof/>
        </w:rPr>
        <w:t>54</w:t>
      </w:r>
      <w:r w:rsidRPr="00D677C7">
        <w:rPr>
          <w:rFonts w:ascii="Calibri" w:hAnsi="Calibri" w:cs="Times New Roman"/>
          <w:noProof/>
        </w:rPr>
        <w:t xml:space="preserve"> 349–358, http://linkinghub.elsevier.com/retrieve/pii/S0966692316303581.</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Tyrovolas, S, Polychronopoulos, E, Morena, M, Mariolis, A, Piscopo, S, Valacchi, G, Bountziouka, V, Anastasiou, F, Zeimbekis, A, Tyrovola, D, Foscolou, A, Gotsis, E, Metallinos, G, Soulis, G, Tur, J-A, Matalas, A, Lionis, C, Sidossis, L S, and Panagiotakos, D, 2017, “Is car use related with successful aging of older adults? Results from the multinational Mediterranean islands study” </w:t>
      </w:r>
      <w:r w:rsidRPr="00D677C7">
        <w:rPr>
          <w:rFonts w:ascii="Calibri" w:hAnsi="Calibri" w:cs="Times New Roman"/>
          <w:i/>
          <w:iCs/>
          <w:noProof/>
        </w:rPr>
        <w:t>Annals of Epidemiology</w:t>
      </w:r>
      <w:r w:rsidRPr="00D677C7">
        <w:rPr>
          <w:rFonts w:ascii="Calibri" w:hAnsi="Calibri" w:cs="Times New Roman"/>
          <w:noProof/>
        </w:rPr>
        <w:t xml:space="preserve"> </w:t>
      </w:r>
      <w:r w:rsidRPr="00D677C7">
        <w:rPr>
          <w:rFonts w:ascii="Calibri" w:hAnsi="Calibri" w:cs="Times New Roman"/>
          <w:b/>
          <w:bCs/>
          <w:noProof/>
        </w:rPr>
        <w:t>27</w:t>
      </w:r>
      <w:r w:rsidRPr="00D677C7">
        <w:rPr>
          <w:rFonts w:ascii="Calibri" w:hAnsi="Calibri" w:cs="Times New Roman"/>
          <w:noProof/>
        </w:rPr>
        <w:t>(3) 225–229, http://linkinghub.elsevier.com/retrieve/pii/S1047279717300285.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Uhrig, S C N, 2008, “The Nature and Causes of Attrition in the British Household Panel Survey”, Essex, https://www.iser.essex.ac.uk/files/iser_working_papers/2008-05.pdf.</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Urry, J, 2004, “The ‘System’ of Automobility” </w:t>
      </w:r>
      <w:r w:rsidRPr="00D677C7">
        <w:rPr>
          <w:rFonts w:ascii="Calibri" w:hAnsi="Calibri" w:cs="Times New Roman"/>
          <w:i/>
          <w:iCs/>
          <w:noProof/>
        </w:rPr>
        <w:t>Theory, Culture &amp; Society</w:t>
      </w:r>
      <w:r w:rsidRPr="00D677C7">
        <w:rPr>
          <w:rFonts w:ascii="Calibri" w:hAnsi="Calibri" w:cs="Times New Roman"/>
          <w:noProof/>
        </w:rPr>
        <w:t xml:space="preserve"> </w:t>
      </w:r>
      <w:r w:rsidRPr="00D677C7">
        <w:rPr>
          <w:rFonts w:ascii="Calibri" w:hAnsi="Calibri" w:cs="Times New Roman"/>
          <w:b/>
          <w:bCs/>
          <w:noProof/>
        </w:rPr>
        <w:t>21</w:t>
      </w:r>
      <w:r w:rsidRPr="00D677C7">
        <w:rPr>
          <w:rFonts w:ascii="Calibri" w:hAnsi="Calibri" w:cs="Times New Roman"/>
          <w:noProof/>
        </w:rPr>
        <w:t>(4–5) 25–39, http://journals.sagepub.com/doi/10.1177/0263276404046059.</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Vaupel, J W, Wang, Z, Andreev, K, and Yashin, A I, 1997 </w:t>
      </w:r>
      <w:r w:rsidRPr="00D677C7">
        <w:rPr>
          <w:rFonts w:ascii="Calibri" w:hAnsi="Calibri" w:cs="Times New Roman"/>
          <w:i/>
          <w:iCs/>
          <w:noProof/>
        </w:rPr>
        <w:t>Population Data at a Glance: Shaded Contour Maps of Demographic Surfaces over Age and Time</w:t>
      </w:r>
      <w:r w:rsidRPr="00D677C7">
        <w:rPr>
          <w:rFonts w:ascii="Calibri" w:hAnsi="Calibri" w:cs="Times New Roman"/>
          <w:noProof/>
        </w:rPr>
        <w:t xml:space="preserve"> (University Press of Southern Denmark), http://www.abebooks.co.uk/servlet/BookDetailsPL?bi=2944819605.</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Le Vine, S, Jones, P, and Polak, J, 2013, “The Contribution of Benefit-in-Kind Taxation Policy in Britain to the ‘Peak Car’ Phenomenon” </w:t>
      </w:r>
      <w:r w:rsidRPr="00D677C7">
        <w:rPr>
          <w:rFonts w:ascii="Calibri" w:hAnsi="Calibri" w:cs="Times New Roman"/>
          <w:i/>
          <w:iCs/>
          <w:noProof/>
        </w:rPr>
        <w:t>Transport Reviews</w:t>
      </w:r>
      <w:r w:rsidRPr="00D677C7">
        <w:rPr>
          <w:rFonts w:ascii="Calibri" w:hAnsi="Calibri" w:cs="Times New Roman"/>
          <w:noProof/>
        </w:rPr>
        <w:t xml:space="preserve"> </w:t>
      </w:r>
      <w:r w:rsidRPr="00D677C7">
        <w:rPr>
          <w:rFonts w:ascii="Calibri" w:hAnsi="Calibri" w:cs="Times New Roman"/>
          <w:b/>
          <w:bCs/>
          <w:noProof/>
        </w:rPr>
        <w:t>33</w:t>
      </w:r>
      <w:r w:rsidRPr="00D677C7">
        <w:rPr>
          <w:rFonts w:ascii="Calibri" w:hAnsi="Calibri" w:cs="Times New Roman"/>
          <w:noProof/>
        </w:rPr>
        <w:t>(5) 526–547.</w:t>
      </w:r>
    </w:p>
    <w:p w:rsidR="00D677C7" w:rsidRPr="00D677C7" w:rsidRDefault="00D677C7" w:rsidP="00D677C7">
      <w:pPr>
        <w:widowControl w:val="0"/>
        <w:autoSpaceDE w:val="0"/>
        <w:autoSpaceDN w:val="0"/>
        <w:adjustRightInd w:val="0"/>
        <w:ind w:left="480" w:hanging="480"/>
        <w:rPr>
          <w:rFonts w:ascii="Calibri" w:hAnsi="Calibri" w:cs="Times New Roman"/>
          <w:noProof/>
        </w:rPr>
      </w:pPr>
      <w:r w:rsidRPr="00D677C7">
        <w:rPr>
          <w:rFonts w:ascii="Calibri" w:hAnsi="Calibri" w:cs="Times New Roman"/>
          <w:noProof/>
        </w:rPr>
        <w:t xml:space="preserve">Yagi, M and Managi, S, 2016, “Demographic determinants of car ownership in Japan” </w:t>
      </w:r>
      <w:r w:rsidRPr="00D677C7">
        <w:rPr>
          <w:rFonts w:ascii="Calibri" w:hAnsi="Calibri" w:cs="Times New Roman"/>
          <w:i/>
          <w:iCs/>
          <w:noProof/>
        </w:rPr>
        <w:t>Transport Policy</w:t>
      </w:r>
      <w:r w:rsidRPr="00D677C7">
        <w:rPr>
          <w:rFonts w:ascii="Calibri" w:hAnsi="Calibri" w:cs="Times New Roman"/>
          <w:noProof/>
        </w:rPr>
        <w:t xml:space="preserve"> </w:t>
      </w:r>
      <w:r w:rsidRPr="00D677C7">
        <w:rPr>
          <w:rFonts w:ascii="Calibri" w:hAnsi="Calibri" w:cs="Times New Roman"/>
          <w:b/>
          <w:bCs/>
          <w:noProof/>
        </w:rPr>
        <w:t>50</w:t>
      </w:r>
      <w:r w:rsidRPr="00D677C7">
        <w:rPr>
          <w:rFonts w:ascii="Calibri" w:hAnsi="Calibri" w:cs="Times New Roman"/>
          <w:noProof/>
        </w:rPr>
        <w:t xml:space="preserve"> 37–53, http://linkinghub.elsevier.com/retrieve/pii/S0967070X16302840.</w:t>
      </w:r>
    </w:p>
    <w:p w:rsidR="00D677C7" w:rsidRPr="00D677C7" w:rsidRDefault="00D677C7" w:rsidP="00D677C7">
      <w:pPr>
        <w:widowControl w:val="0"/>
        <w:autoSpaceDE w:val="0"/>
        <w:autoSpaceDN w:val="0"/>
        <w:adjustRightInd w:val="0"/>
        <w:ind w:left="480" w:hanging="480"/>
        <w:rPr>
          <w:rFonts w:ascii="Calibri" w:hAnsi="Calibri"/>
          <w:noProof/>
        </w:rPr>
      </w:pPr>
      <w:r w:rsidRPr="00D677C7">
        <w:rPr>
          <w:rFonts w:ascii="Calibri" w:hAnsi="Calibri" w:cs="Times New Roman"/>
          <w:noProof/>
        </w:rPr>
        <w:t xml:space="preserve">Yap, M D, Correia, G, and van Arem, B, 2016, “Preferences of travellers for using automated vehicles as last mile public transport of multimodal train trips” </w:t>
      </w:r>
      <w:r w:rsidRPr="00D677C7">
        <w:rPr>
          <w:rFonts w:ascii="Calibri" w:hAnsi="Calibri" w:cs="Times New Roman"/>
          <w:i/>
          <w:iCs/>
          <w:noProof/>
        </w:rPr>
        <w:t>Transportation Research Part A: Policy and Practice</w:t>
      </w:r>
      <w:r w:rsidRPr="00D677C7">
        <w:rPr>
          <w:rFonts w:ascii="Calibri" w:hAnsi="Calibri" w:cs="Times New Roman"/>
          <w:noProof/>
        </w:rPr>
        <w:t xml:space="preserve"> </w:t>
      </w:r>
      <w:r w:rsidRPr="00D677C7">
        <w:rPr>
          <w:rFonts w:ascii="Calibri" w:hAnsi="Calibri" w:cs="Times New Roman"/>
          <w:b/>
          <w:bCs/>
          <w:noProof/>
        </w:rPr>
        <w:t>94</w:t>
      </w:r>
      <w:r w:rsidRPr="00D677C7">
        <w:rPr>
          <w:rFonts w:ascii="Calibri" w:hAnsi="Calibri" w:cs="Times New Roman"/>
          <w:noProof/>
        </w:rPr>
        <w:t xml:space="preserve"> 1–16, http://linkinghub.elsevier.com/retrieve/pii/S0965856416307765.</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D3" w:rsidRDefault="003924D3" w:rsidP="004F43FC">
      <w:r>
        <w:separator/>
      </w:r>
    </w:p>
  </w:endnote>
  <w:endnote w:type="continuationSeparator" w:id="0">
    <w:p w:rsidR="003924D3" w:rsidRDefault="003924D3"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D3" w:rsidRDefault="003924D3" w:rsidP="004F43FC">
      <w:r>
        <w:separator/>
      </w:r>
    </w:p>
  </w:footnote>
  <w:footnote w:type="continuationSeparator" w:id="0">
    <w:p w:rsidR="003924D3" w:rsidRDefault="003924D3" w:rsidP="004F43FC">
      <w:r>
        <w:continuationSeparator/>
      </w:r>
    </w:p>
  </w:footnote>
  <w:footnote w:id="1">
    <w:p w:rsidR="008A6AE9" w:rsidRPr="00F12DDB" w:rsidRDefault="008A6AE9">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2">
    <w:p w:rsidR="008A6AE9" w:rsidRPr="00B64D66" w:rsidRDefault="008A6AE9">
      <w:pPr>
        <w:pStyle w:val="FootnoteText"/>
        <w:rPr>
          <w:lang w:val="en-GB"/>
        </w:rPr>
      </w:pPr>
      <w:r w:rsidRPr="00EF13A5">
        <w:rPr>
          <w:rStyle w:val="FootnoteReference"/>
          <w:highlight w:val="yellow"/>
        </w:rPr>
        <w:footnoteRef/>
      </w:r>
      <w:r w:rsidRPr="00EF13A5">
        <w:rPr>
          <w:highlight w:val="yellow"/>
        </w:rPr>
        <w:t xml:space="preserve"> </w:t>
      </w:r>
      <w:hyperlink r:id="rId2" w:history="1">
        <w:r w:rsidRPr="00EF13A5">
          <w:rPr>
            <w:rStyle w:val="Hyperlink"/>
            <w:highlight w:val="yellow"/>
          </w:rPr>
          <w:t>https://www.gov.uk/renew-driving-licence-at-70</w:t>
        </w:r>
      </w:hyperlink>
      <w:r w:rsidRPr="00EF13A5">
        <w:rPr>
          <w:highlight w:val="yellow"/>
        </w:rPr>
        <w:t xml:space="preserve"> - IMPORTANT TO KNOW IF THERE HAVE BEEN ANY CHANGES IN THE LAW BETWEEN 1993 ONWARDS.</w:t>
      </w:r>
      <w:r>
        <w:t xml:space="preserve"> </w:t>
      </w:r>
    </w:p>
  </w:footnote>
  <w:footnote w:id="3">
    <w:p w:rsidR="008A6AE9" w:rsidRPr="004F43FC" w:rsidRDefault="008A6AE9" w:rsidP="00E8341D">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B1E5B"/>
    <w:multiLevelType w:val="multilevel"/>
    <w:tmpl w:val="9A0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F60BB"/>
    <w:multiLevelType w:val="multilevel"/>
    <w:tmpl w:val="605A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D22B8A"/>
    <w:multiLevelType w:val="multilevel"/>
    <w:tmpl w:val="24CA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2804"/>
    <w:multiLevelType w:val="multilevel"/>
    <w:tmpl w:val="97F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E6A76"/>
    <w:multiLevelType w:val="multilevel"/>
    <w:tmpl w:val="E61C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06C71"/>
    <w:rsid w:val="00007087"/>
    <w:rsid w:val="000147DA"/>
    <w:rsid w:val="00024B2B"/>
    <w:rsid w:val="00024E0A"/>
    <w:rsid w:val="0004098D"/>
    <w:rsid w:val="00047F0C"/>
    <w:rsid w:val="0005597B"/>
    <w:rsid w:val="00072214"/>
    <w:rsid w:val="0009018C"/>
    <w:rsid w:val="00093B4A"/>
    <w:rsid w:val="00093D9D"/>
    <w:rsid w:val="000A5F6D"/>
    <w:rsid w:val="000B6943"/>
    <w:rsid w:val="000C21C5"/>
    <w:rsid w:val="000C6E10"/>
    <w:rsid w:val="000D413B"/>
    <w:rsid w:val="000F2F50"/>
    <w:rsid w:val="000F3E8C"/>
    <w:rsid w:val="00101183"/>
    <w:rsid w:val="001037FF"/>
    <w:rsid w:val="00117E01"/>
    <w:rsid w:val="0012558E"/>
    <w:rsid w:val="0013164E"/>
    <w:rsid w:val="001351D0"/>
    <w:rsid w:val="00152310"/>
    <w:rsid w:val="001761E6"/>
    <w:rsid w:val="00180376"/>
    <w:rsid w:val="0018170D"/>
    <w:rsid w:val="001B7B7A"/>
    <w:rsid w:val="001D6303"/>
    <w:rsid w:val="001F2C87"/>
    <w:rsid w:val="002072E0"/>
    <w:rsid w:val="00226DD9"/>
    <w:rsid w:val="00251DF5"/>
    <w:rsid w:val="002604E3"/>
    <w:rsid w:val="00281338"/>
    <w:rsid w:val="002817D9"/>
    <w:rsid w:val="002930CE"/>
    <w:rsid w:val="00296A39"/>
    <w:rsid w:val="002A32FB"/>
    <w:rsid w:val="002B7728"/>
    <w:rsid w:val="002E108B"/>
    <w:rsid w:val="002F4F58"/>
    <w:rsid w:val="0031219E"/>
    <w:rsid w:val="003212F0"/>
    <w:rsid w:val="00327D17"/>
    <w:rsid w:val="0035027B"/>
    <w:rsid w:val="00372F76"/>
    <w:rsid w:val="003924D3"/>
    <w:rsid w:val="003A681D"/>
    <w:rsid w:val="003B393A"/>
    <w:rsid w:val="003C3D8F"/>
    <w:rsid w:val="003C7141"/>
    <w:rsid w:val="003F3746"/>
    <w:rsid w:val="004040FA"/>
    <w:rsid w:val="004124A7"/>
    <w:rsid w:val="00414F9D"/>
    <w:rsid w:val="00430A32"/>
    <w:rsid w:val="004416CA"/>
    <w:rsid w:val="004439FF"/>
    <w:rsid w:val="00444241"/>
    <w:rsid w:val="00447B5F"/>
    <w:rsid w:val="004548AD"/>
    <w:rsid w:val="00460961"/>
    <w:rsid w:val="004710AB"/>
    <w:rsid w:val="0047499B"/>
    <w:rsid w:val="004804ED"/>
    <w:rsid w:val="00493DB9"/>
    <w:rsid w:val="00496784"/>
    <w:rsid w:val="004D1549"/>
    <w:rsid w:val="004D41E2"/>
    <w:rsid w:val="004E39BB"/>
    <w:rsid w:val="004F43FC"/>
    <w:rsid w:val="0050495D"/>
    <w:rsid w:val="005069C4"/>
    <w:rsid w:val="005207EF"/>
    <w:rsid w:val="00537F2E"/>
    <w:rsid w:val="00562091"/>
    <w:rsid w:val="00574BF9"/>
    <w:rsid w:val="005B29D6"/>
    <w:rsid w:val="005B6C04"/>
    <w:rsid w:val="005C0164"/>
    <w:rsid w:val="005D7C57"/>
    <w:rsid w:val="005E2A91"/>
    <w:rsid w:val="006016AC"/>
    <w:rsid w:val="00604DC4"/>
    <w:rsid w:val="006200F2"/>
    <w:rsid w:val="00620416"/>
    <w:rsid w:val="00622852"/>
    <w:rsid w:val="00633B17"/>
    <w:rsid w:val="006527C4"/>
    <w:rsid w:val="0067116B"/>
    <w:rsid w:val="006A0D72"/>
    <w:rsid w:val="006A3BB0"/>
    <w:rsid w:val="006A6A01"/>
    <w:rsid w:val="006F22C9"/>
    <w:rsid w:val="006F415F"/>
    <w:rsid w:val="007210A8"/>
    <w:rsid w:val="0076674B"/>
    <w:rsid w:val="0077257E"/>
    <w:rsid w:val="00782069"/>
    <w:rsid w:val="00784C95"/>
    <w:rsid w:val="0079403E"/>
    <w:rsid w:val="007D3759"/>
    <w:rsid w:val="007F78B4"/>
    <w:rsid w:val="00811FB1"/>
    <w:rsid w:val="00812F32"/>
    <w:rsid w:val="008150E9"/>
    <w:rsid w:val="00817B43"/>
    <w:rsid w:val="00820E37"/>
    <w:rsid w:val="00825871"/>
    <w:rsid w:val="008900DE"/>
    <w:rsid w:val="008A5B58"/>
    <w:rsid w:val="008A6AE9"/>
    <w:rsid w:val="008C10F2"/>
    <w:rsid w:val="008D303E"/>
    <w:rsid w:val="008D5060"/>
    <w:rsid w:val="008F5831"/>
    <w:rsid w:val="008F7190"/>
    <w:rsid w:val="00960E34"/>
    <w:rsid w:val="00970384"/>
    <w:rsid w:val="009B4680"/>
    <w:rsid w:val="009D09C4"/>
    <w:rsid w:val="009E7418"/>
    <w:rsid w:val="009F14FC"/>
    <w:rsid w:val="009F3ABD"/>
    <w:rsid w:val="00A21833"/>
    <w:rsid w:val="00A25F29"/>
    <w:rsid w:val="00A32A59"/>
    <w:rsid w:val="00A42453"/>
    <w:rsid w:val="00A51CC4"/>
    <w:rsid w:val="00A52C83"/>
    <w:rsid w:val="00A60D16"/>
    <w:rsid w:val="00A713B0"/>
    <w:rsid w:val="00A87ADF"/>
    <w:rsid w:val="00AB18FA"/>
    <w:rsid w:val="00B30580"/>
    <w:rsid w:val="00B403B0"/>
    <w:rsid w:val="00B46BC8"/>
    <w:rsid w:val="00B643A7"/>
    <w:rsid w:val="00B64D66"/>
    <w:rsid w:val="00B66F3C"/>
    <w:rsid w:val="00B726B7"/>
    <w:rsid w:val="00BB0A76"/>
    <w:rsid w:val="00BE3538"/>
    <w:rsid w:val="00BF4114"/>
    <w:rsid w:val="00C16F14"/>
    <w:rsid w:val="00C212F9"/>
    <w:rsid w:val="00C24D8C"/>
    <w:rsid w:val="00C44709"/>
    <w:rsid w:val="00C907F5"/>
    <w:rsid w:val="00C964DA"/>
    <w:rsid w:val="00CA181D"/>
    <w:rsid w:val="00CA74B0"/>
    <w:rsid w:val="00CD24B9"/>
    <w:rsid w:val="00CE03FF"/>
    <w:rsid w:val="00D07BF5"/>
    <w:rsid w:val="00D17431"/>
    <w:rsid w:val="00D27BD3"/>
    <w:rsid w:val="00D5365C"/>
    <w:rsid w:val="00D544E8"/>
    <w:rsid w:val="00D677C7"/>
    <w:rsid w:val="00D71946"/>
    <w:rsid w:val="00D73006"/>
    <w:rsid w:val="00D753ED"/>
    <w:rsid w:val="00D75592"/>
    <w:rsid w:val="00D854F4"/>
    <w:rsid w:val="00D925BE"/>
    <w:rsid w:val="00D9494A"/>
    <w:rsid w:val="00D96A67"/>
    <w:rsid w:val="00DA2734"/>
    <w:rsid w:val="00DB697B"/>
    <w:rsid w:val="00DC68E5"/>
    <w:rsid w:val="00DD27C2"/>
    <w:rsid w:val="00DF0A64"/>
    <w:rsid w:val="00E11D6D"/>
    <w:rsid w:val="00E255B7"/>
    <w:rsid w:val="00E73DB4"/>
    <w:rsid w:val="00E8341D"/>
    <w:rsid w:val="00E84B3B"/>
    <w:rsid w:val="00E8656F"/>
    <w:rsid w:val="00EB26BB"/>
    <w:rsid w:val="00ED3807"/>
    <w:rsid w:val="00EE2381"/>
    <w:rsid w:val="00EF13A5"/>
    <w:rsid w:val="00EF5A16"/>
    <w:rsid w:val="00F1206A"/>
    <w:rsid w:val="00F12DDB"/>
    <w:rsid w:val="00F1389F"/>
    <w:rsid w:val="00F40B8D"/>
    <w:rsid w:val="00F43FA7"/>
    <w:rsid w:val="00FE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 w:type="character" w:customStyle="1" w:styleId="apple-converted-space">
    <w:name w:val="apple-converted-space"/>
    <w:basedOn w:val="DefaultParagraphFont"/>
    <w:rsid w:val="00F1206A"/>
  </w:style>
  <w:style w:type="character" w:styleId="Emphasis">
    <w:name w:val="Emphasis"/>
    <w:basedOn w:val="DefaultParagraphFont"/>
    <w:uiPriority w:val="20"/>
    <w:qFormat/>
    <w:rsid w:val="00F1206A"/>
    <w:rPr>
      <w:i/>
      <w:iCs/>
    </w:rPr>
  </w:style>
  <w:style w:type="paragraph" w:styleId="NormalWeb">
    <w:name w:val="Normal (Web)"/>
    <w:basedOn w:val="Normal"/>
    <w:uiPriority w:val="99"/>
    <w:semiHidden/>
    <w:unhideWhenUsed/>
    <w:rsid w:val="00F1206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711">
      <w:bodyDiv w:val="1"/>
      <w:marLeft w:val="0"/>
      <w:marRight w:val="0"/>
      <w:marTop w:val="0"/>
      <w:marBottom w:val="0"/>
      <w:divBdr>
        <w:top w:val="none" w:sz="0" w:space="0" w:color="auto"/>
        <w:left w:val="none" w:sz="0" w:space="0" w:color="auto"/>
        <w:bottom w:val="none" w:sz="0" w:space="0" w:color="auto"/>
        <w:right w:val="none" w:sz="0" w:space="0" w:color="auto"/>
      </w:divBdr>
    </w:div>
    <w:div w:id="698240664">
      <w:bodyDiv w:val="1"/>
      <w:marLeft w:val="0"/>
      <w:marRight w:val="0"/>
      <w:marTop w:val="0"/>
      <w:marBottom w:val="0"/>
      <w:divBdr>
        <w:top w:val="none" w:sz="0" w:space="0" w:color="auto"/>
        <w:left w:val="none" w:sz="0" w:space="0" w:color="auto"/>
        <w:bottom w:val="none" w:sz="0" w:space="0" w:color="auto"/>
        <w:right w:val="none" w:sz="0" w:space="0" w:color="auto"/>
      </w:divBdr>
    </w:div>
    <w:div w:id="730887485">
      <w:bodyDiv w:val="1"/>
      <w:marLeft w:val="0"/>
      <w:marRight w:val="0"/>
      <w:marTop w:val="0"/>
      <w:marBottom w:val="0"/>
      <w:divBdr>
        <w:top w:val="none" w:sz="0" w:space="0" w:color="auto"/>
        <w:left w:val="none" w:sz="0" w:space="0" w:color="auto"/>
        <w:bottom w:val="none" w:sz="0" w:space="0" w:color="auto"/>
        <w:right w:val="none" w:sz="0" w:space="0" w:color="auto"/>
      </w:divBdr>
    </w:div>
    <w:div w:id="882248589">
      <w:bodyDiv w:val="1"/>
      <w:marLeft w:val="0"/>
      <w:marRight w:val="0"/>
      <w:marTop w:val="0"/>
      <w:marBottom w:val="0"/>
      <w:divBdr>
        <w:top w:val="none" w:sz="0" w:space="0" w:color="auto"/>
        <w:left w:val="none" w:sz="0" w:space="0" w:color="auto"/>
        <w:bottom w:val="none" w:sz="0" w:space="0" w:color="auto"/>
        <w:right w:val="none" w:sz="0" w:space="0" w:color="auto"/>
      </w:divBdr>
    </w:div>
    <w:div w:id="1096748598">
      <w:bodyDiv w:val="1"/>
      <w:marLeft w:val="0"/>
      <w:marRight w:val="0"/>
      <w:marTop w:val="0"/>
      <w:marBottom w:val="0"/>
      <w:divBdr>
        <w:top w:val="none" w:sz="0" w:space="0" w:color="auto"/>
        <w:left w:val="none" w:sz="0" w:space="0" w:color="auto"/>
        <w:bottom w:val="none" w:sz="0" w:space="0" w:color="auto"/>
        <w:right w:val="none" w:sz="0" w:space="0" w:color="auto"/>
      </w:divBdr>
    </w:div>
    <w:div w:id="1176461222">
      <w:bodyDiv w:val="1"/>
      <w:marLeft w:val="0"/>
      <w:marRight w:val="0"/>
      <w:marTop w:val="0"/>
      <w:marBottom w:val="0"/>
      <w:divBdr>
        <w:top w:val="none" w:sz="0" w:space="0" w:color="auto"/>
        <w:left w:val="none" w:sz="0" w:space="0" w:color="auto"/>
        <w:bottom w:val="none" w:sz="0" w:space="0" w:color="auto"/>
        <w:right w:val="none" w:sz="0" w:space="0" w:color="auto"/>
      </w:divBdr>
    </w:div>
    <w:div w:id="1323586035">
      <w:bodyDiv w:val="1"/>
      <w:marLeft w:val="0"/>
      <w:marRight w:val="0"/>
      <w:marTop w:val="0"/>
      <w:marBottom w:val="0"/>
      <w:divBdr>
        <w:top w:val="none" w:sz="0" w:space="0" w:color="auto"/>
        <w:left w:val="none" w:sz="0" w:space="0" w:color="auto"/>
        <w:bottom w:val="none" w:sz="0" w:space="0" w:color="auto"/>
        <w:right w:val="none" w:sz="0" w:space="0" w:color="auto"/>
      </w:divBdr>
    </w:div>
    <w:div w:id="1630895510">
      <w:bodyDiv w:val="1"/>
      <w:marLeft w:val="0"/>
      <w:marRight w:val="0"/>
      <w:marTop w:val="0"/>
      <w:marBottom w:val="0"/>
      <w:divBdr>
        <w:top w:val="none" w:sz="0" w:space="0" w:color="auto"/>
        <w:left w:val="none" w:sz="0" w:space="0" w:color="auto"/>
        <w:bottom w:val="none" w:sz="0" w:space="0" w:color="auto"/>
        <w:right w:val="none" w:sz="0" w:space="0" w:color="auto"/>
      </w:divBdr>
    </w:div>
    <w:div w:id="1738480364">
      <w:bodyDiv w:val="1"/>
      <w:marLeft w:val="0"/>
      <w:marRight w:val="0"/>
      <w:marTop w:val="0"/>
      <w:marBottom w:val="0"/>
      <w:divBdr>
        <w:top w:val="none" w:sz="0" w:space="0" w:color="auto"/>
        <w:left w:val="none" w:sz="0" w:space="0" w:color="auto"/>
        <w:bottom w:val="none" w:sz="0" w:space="0" w:color="auto"/>
        <w:right w:val="none" w:sz="0" w:space="0" w:color="auto"/>
      </w:divBdr>
    </w:div>
    <w:div w:id="1812285887">
      <w:bodyDiv w:val="1"/>
      <w:marLeft w:val="0"/>
      <w:marRight w:val="0"/>
      <w:marTop w:val="0"/>
      <w:marBottom w:val="0"/>
      <w:divBdr>
        <w:top w:val="none" w:sz="0" w:space="0" w:color="auto"/>
        <w:left w:val="none" w:sz="0" w:space="0" w:color="auto"/>
        <w:bottom w:val="none" w:sz="0" w:space="0" w:color="auto"/>
        <w:right w:val="none" w:sz="0" w:space="0" w:color="auto"/>
      </w:divBdr>
    </w:div>
    <w:div w:id="18499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7673-019E-44DB-BEB8-AC399AB1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19</Pages>
  <Words>29018</Words>
  <Characters>165408</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2017-05-10T09:16:00Z</dcterms:created>
  <dcterms:modified xsi:type="dcterms:W3CDTF">2017-05-10T15:09:00Z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