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C0" w:rsidRDefault="00CF10C0" w:rsidP="00CF10C0">
      <w:pPr>
        <w:rPr>
          <w:rFonts w:ascii="Century Gothic" w:hAnsi="Century Gothic"/>
          <w:b/>
          <w:sz w:val="36"/>
        </w:rPr>
      </w:pPr>
      <w:r>
        <w:rPr>
          <w:rFonts w:ascii="Century Gothic" w:hAnsi="Century Gothic"/>
          <w:noProof/>
          <w:sz w:val="28"/>
          <w:lang w:eastAsia="en-GB"/>
        </w:rPr>
        <mc:AlternateContent>
          <mc:Choice Requires="wps">
            <w:drawing>
              <wp:anchor distT="0" distB="0" distL="114300" distR="114300" simplePos="0" relativeHeight="251659264" behindDoc="0" locked="0" layoutInCell="1" allowOverlap="1" wp14:anchorId="5BFD17FB" wp14:editId="178DD685">
                <wp:simplePos x="0" y="0"/>
                <wp:positionH relativeFrom="column">
                  <wp:posOffset>-117475</wp:posOffset>
                </wp:positionH>
                <wp:positionV relativeFrom="paragraph">
                  <wp:posOffset>607060</wp:posOffset>
                </wp:positionV>
                <wp:extent cx="5955030" cy="2700655"/>
                <wp:effectExtent l="0" t="0" r="7620" b="444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70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0C0" w:rsidRDefault="00CF10C0" w:rsidP="00CF10C0">
                            <w:pPr>
                              <w:jc w:val="center"/>
                              <w:rPr>
                                <w:rFonts w:ascii="Century Gothic" w:hAnsi="Century Gothic"/>
                                <w:b/>
                                <w:sz w:val="48"/>
                              </w:rPr>
                            </w:pPr>
                            <w:r>
                              <w:rPr>
                                <w:rFonts w:ascii="Century Gothic" w:hAnsi="Century Gothic"/>
                                <w:b/>
                                <w:sz w:val="48"/>
                              </w:rPr>
                              <w:t>An Introduction to Using Routinely Collected Data With R</w:t>
                            </w:r>
                          </w:p>
                          <w:p w:rsidR="00CF10C0" w:rsidRDefault="00CF10C0" w:rsidP="00CF10C0">
                            <w:pPr>
                              <w:jc w:val="center"/>
                              <w:rPr>
                                <w:rFonts w:ascii="Century Gothic" w:hAnsi="Century Gothic"/>
                                <w:b/>
                                <w:sz w:val="48"/>
                              </w:rPr>
                            </w:pPr>
                          </w:p>
                          <w:p w:rsidR="00CF10C0" w:rsidRDefault="00CF10C0" w:rsidP="00CF10C0">
                            <w:pPr>
                              <w:jc w:val="center"/>
                              <w:rPr>
                                <w:rFonts w:ascii="Century Gothic" w:hAnsi="Century Gothic"/>
                                <w:b/>
                                <w:sz w:val="48"/>
                              </w:rPr>
                            </w:pPr>
                            <w:r>
                              <w:rPr>
                                <w:rFonts w:ascii="Century Gothic" w:hAnsi="Century Gothic"/>
                                <w:b/>
                                <w:sz w:val="48"/>
                              </w:rPr>
                              <w:t>Introduction to Statistics</w:t>
                            </w:r>
                          </w:p>
                          <w:p w:rsidR="00CF10C0" w:rsidRDefault="00CF10C0" w:rsidP="00CF10C0">
                            <w:pPr>
                              <w:jc w:val="center"/>
                              <w:rPr>
                                <w:rFonts w:ascii="Century Gothic" w:hAnsi="Century Gothic"/>
                                <w:b/>
                                <w:sz w:val="48"/>
                              </w:rPr>
                            </w:pPr>
                            <w:r>
                              <w:rPr>
                                <w:rFonts w:ascii="Century Gothic" w:hAnsi="Century Gothic"/>
                                <w:b/>
                                <w:sz w:val="48"/>
                              </w:rPr>
                              <w:t>Solutions to Practical Sessions</w:t>
                            </w:r>
                          </w:p>
                          <w:p w:rsidR="00CF10C0" w:rsidRDefault="00CF10C0" w:rsidP="00CF10C0">
                            <w:pPr>
                              <w:jc w:val="center"/>
                              <w:rPr>
                                <w:rFonts w:ascii="Century Gothic" w:hAnsi="Century Gothic"/>
                                <w:b/>
                                <w:sz w:val="48"/>
                              </w:rPr>
                            </w:pPr>
                          </w:p>
                          <w:p w:rsidR="00CF10C0" w:rsidRDefault="00CF10C0" w:rsidP="00CF10C0">
                            <w:pPr>
                              <w:jc w:val="center"/>
                              <w:rPr>
                                <w:rFonts w:ascii="Century Gothic" w:hAnsi="Century Gothic"/>
                                <w:b/>
                                <w:sz w:val="4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5pt;margin-top:47.8pt;width:468.9pt;height:2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dCAfwIAAAk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hcZ&#10;Ror0wNEDHz261iPKQ3kG42qwujdg50fYBppjqs7cafrZIaVvOqI2/MpaPXScMAgvCzeTk6sTjgsg&#10;6+GdZuCGbL2OQGNr+1A7qAYCdKDp8UhNCIXCZlmVZfoKjiic5XNgviyjD1Ifrhvr/BuuexQmDbbA&#10;fYQnuzvnQzikPpgEb05LwVZCyriwm/WNtGhHQCer+O3Rn5lJFYyVDtcmxGkHogQf4SzEG3n/VmV5&#10;kV7n1Wx1vpjPilVRzqp5upilWXVdnadFVdyuvocAs6LuBGNc3QnFDxrMir/jeN8Nk3qiCtHQ4KrM&#10;y4mjPyaZxu93SfbCQ0tK0Td4cTQidWD2tWKQNqk9EXKaJ8/Dj1WGGhz+sSpRB4H6SQR+XI+AEsSx&#10;1uwRFGE18AXcwjsCk07brxgN0JMNdl+2xHKM5FsFqgoNHCdFOc9hYQ+769NdoihANNhjNE1v/NTw&#10;W2PFpgMPk36VvgIFtiJq4ymavW6h32IS+7chNPTpOlo9vWDLHwAAAP//AwBQSwMEFAAGAAgAAAAh&#10;AOF1aLHhAAAACgEAAA8AAABkcnMvZG93bnJldi54bWxMj8FOwzAQRO9I/IO1SNxaJ0UpScimQggQ&#10;CA6l5dKbGy9xRLwOsduGv8ec4Liap5m31WqyvTjS6DvHCOk8AUHcON1xi/C+fZjlIHxQrFXvmBC+&#10;ycOqPj+rVKndid/ouAmtiCXsS4VgQhhKKX1jyCo/dwNxzD7caFWI59hKPapTLLe9XCTJUlrVcVww&#10;aqA7Q83n5mARnnb59oWeH02+vlfXtGb/JXeviJcX0+0NiEBT+IPhVz+qQx2d9u7A2oseYZbmWUQR&#10;imwJIgJFWlyB2CNki6QAWVfy/wv1DwAAAP//AwBQSwECLQAUAAYACAAAACEAtoM4kv4AAADhAQAA&#10;EwAAAAAAAAAAAAAAAAAAAAAAW0NvbnRlbnRfVHlwZXNdLnhtbFBLAQItABQABgAIAAAAIQA4/SH/&#10;1gAAAJQBAAALAAAAAAAAAAAAAAAAAC8BAABfcmVscy8ucmVsc1BLAQItABQABgAIAAAAIQC98dCA&#10;fwIAAAkFAAAOAAAAAAAAAAAAAAAAAC4CAABkcnMvZTJvRG9jLnhtbFBLAQItABQABgAIAAAAIQDh&#10;dWix4QAAAAoBAAAPAAAAAAAAAAAAAAAAANkEAABkcnMvZG93bnJldi54bWxQSwUGAAAAAAQABADz&#10;AAAA5wUAAAAA&#10;" stroked="f">
                <v:textbox inset="0,,0">
                  <w:txbxContent>
                    <w:p w:rsidR="00CF10C0" w:rsidRDefault="00CF10C0" w:rsidP="00CF10C0">
                      <w:pPr>
                        <w:jc w:val="center"/>
                        <w:rPr>
                          <w:rFonts w:ascii="Century Gothic" w:hAnsi="Century Gothic"/>
                          <w:b/>
                          <w:sz w:val="48"/>
                        </w:rPr>
                      </w:pPr>
                      <w:r>
                        <w:rPr>
                          <w:rFonts w:ascii="Century Gothic" w:hAnsi="Century Gothic"/>
                          <w:b/>
                          <w:sz w:val="48"/>
                        </w:rPr>
                        <w:t>An Introduction to Using Routinely Collected Data With R</w:t>
                      </w:r>
                    </w:p>
                    <w:p w:rsidR="00CF10C0" w:rsidRDefault="00CF10C0" w:rsidP="00CF10C0">
                      <w:pPr>
                        <w:jc w:val="center"/>
                        <w:rPr>
                          <w:rFonts w:ascii="Century Gothic" w:hAnsi="Century Gothic"/>
                          <w:b/>
                          <w:sz w:val="48"/>
                        </w:rPr>
                      </w:pPr>
                    </w:p>
                    <w:p w:rsidR="00CF10C0" w:rsidRDefault="00CF10C0" w:rsidP="00CF10C0">
                      <w:pPr>
                        <w:jc w:val="center"/>
                        <w:rPr>
                          <w:rFonts w:ascii="Century Gothic" w:hAnsi="Century Gothic"/>
                          <w:b/>
                          <w:sz w:val="48"/>
                        </w:rPr>
                      </w:pPr>
                      <w:r>
                        <w:rPr>
                          <w:rFonts w:ascii="Century Gothic" w:hAnsi="Century Gothic"/>
                          <w:b/>
                          <w:sz w:val="48"/>
                        </w:rPr>
                        <w:t>Introduction to Statistics</w:t>
                      </w:r>
                    </w:p>
                    <w:p w:rsidR="00CF10C0" w:rsidRDefault="00CF10C0" w:rsidP="00CF10C0">
                      <w:pPr>
                        <w:jc w:val="center"/>
                        <w:rPr>
                          <w:rFonts w:ascii="Century Gothic" w:hAnsi="Century Gothic"/>
                          <w:b/>
                          <w:sz w:val="48"/>
                        </w:rPr>
                      </w:pPr>
                      <w:r>
                        <w:rPr>
                          <w:rFonts w:ascii="Century Gothic" w:hAnsi="Century Gothic"/>
                          <w:b/>
                          <w:sz w:val="48"/>
                        </w:rPr>
                        <w:t>Solutions to Practical Sessions</w:t>
                      </w:r>
                    </w:p>
                    <w:p w:rsidR="00CF10C0" w:rsidRDefault="00CF10C0" w:rsidP="00CF10C0">
                      <w:pPr>
                        <w:jc w:val="center"/>
                        <w:rPr>
                          <w:rFonts w:ascii="Century Gothic" w:hAnsi="Century Gothic"/>
                          <w:b/>
                          <w:sz w:val="48"/>
                        </w:rPr>
                      </w:pPr>
                    </w:p>
                    <w:p w:rsidR="00CF10C0" w:rsidRDefault="00CF10C0" w:rsidP="00CF10C0">
                      <w:pPr>
                        <w:jc w:val="center"/>
                        <w:rPr>
                          <w:rFonts w:ascii="Century Gothic" w:hAnsi="Century Gothic"/>
                          <w:b/>
                          <w:sz w:val="48"/>
                        </w:rPr>
                      </w:pPr>
                    </w:p>
                  </w:txbxContent>
                </v:textbox>
                <w10:wrap type="square"/>
              </v:shape>
            </w:pict>
          </mc:Fallback>
        </mc:AlternateContent>
      </w:r>
    </w:p>
    <w:p w:rsidR="00CF10C0" w:rsidRDefault="00CF10C0" w:rsidP="00CF10C0">
      <w:pPr>
        <w:rPr>
          <w:rFonts w:ascii="Century Gothic" w:hAnsi="Century Gothic"/>
          <w:b/>
          <w:sz w:val="36"/>
        </w:rPr>
      </w:pPr>
    </w:p>
    <w:p w:rsidR="00CF10C0" w:rsidRPr="00A9059A" w:rsidRDefault="00CF10C0" w:rsidP="00CF10C0">
      <w:pPr>
        <w:rPr>
          <w:rFonts w:ascii="Times New Roman" w:hAnsi="Times New Roman"/>
          <w:b/>
          <w:sz w:val="40"/>
        </w:rPr>
      </w:pPr>
      <w:r w:rsidRPr="00A9059A">
        <w:rPr>
          <w:rFonts w:ascii="Times New Roman" w:hAnsi="Times New Roman"/>
          <w:b/>
          <w:sz w:val="40"/>
        </w:rPr>
        <w:t>Copyright Notice</w:t>
      </w:r>
    </w:p>
    <w:p w:rsidR="00CF10C0" w:rsidRPr="00060203" w:rsidRDefault="00CF10C0" w:rsidP="00CF10C0">
      <w:pPr>
        <w:rPr>
          <w:sz w:val="24"/>
        </w:rPr>
      </w:pPr>
      <w:r w:rsidRPr="00060203">
        <w:rPr>
          <w:sz w:val="24"/>
        </w:rPr>
        <w:t xml:space="preserve">Copyright </w:t>
      </w:r>
      <w:r w:rsidRPr="00060203">
        <w:rPr>
          <w:sz w:val="24"/>
        </w:rPr>
        <w:sym w:font="Symbol" w:char="F0D3"/>
      </w:r>
      <w:r w:rsidRPr="00060203">
        <w:rPr>
          <w:sz w:val="24"/>
        </w:rPr>
        <w:t xml:space="preserve"> 201</w:t>
      </w:r>
      <w:r>
        <w:rPr>
          <w:sz w:val="24"/>
        </w:rPr>
        <w:t>6</w:t>
      </w:r>
      <w:r w:rsidRPr="00060203">
        <w:rPr>
          <w:sz w:val="24"/>
        </w:rPr>
        <w:t xml:space="preserve"> by Robertson Centre for Biostatistics, University of Glasgow, Glasgow G12 8QQ. Telephone 0141 330 4744. This publication or any part thereof may not </w:t>
      </w:r>
      <w:r w:rsidRPr="000C5EAC">
        <w:rPr>
          <w:noProof/>
          <w:sz w:val="24"/>
        </w:rPr>
        <w:t>be reproduced</w:t>
      </w:r>
      <w:r w:rsidRPr="00060203">
        <w:rPr>
          <w:sz w:val="24"/>
        </w:rPr>
        <w:t xml:space="preserve"> or transmitted in any form or by any means electronic or mechanical, including photocopying, recording, storage in an information retrieval system or otherwise, without the prior written permission of the author.</w:t>
      </w:r>
    </w:p>
    <w:p w:rsidR="00CF10C0" w:rsidRDefault="00CF10C0" w:rsidP="00CF10C0">
      <w:pPr>
        <w:rPr>
          <w:rFonts w:ascii="Times New Roman" w:hAnsi="Times New Roman"/>
          <w:b/>
          <w:sz w:val="40"/>
        </w:rPr>
      </w:pPr>
    </w:p>
    <w:p w:rsidR="00CF10C0" w:rsidRPr="00A9059A" w:rsidRDefault="00CF10C0" w:rsidP="00CF10C0">
      <w:pPr>
        <w:rPr>
          <w:rFonts w:ascii="Times New Roman" w:hAnsi="Times New Roman"/>
          <w:b/>
          <w:sz w:val="40"/>
        </w:rPr>
      </w:pPr>
      <w:r w:rsidRPr="00A9059A">
        <w:rPr>
          <w:rFonts w:ascii="Times New Roman" w:hAnsi="Times New Roman"/>
          <w:b/>
          <w:sz w:val="40"/>
        </w:rPr>
        <w:t>Disclaimer</w:t>
      </w:r>
    </w:p>
    <w:p w:rsidR="00CF10C0" w:rsidRPr="00060203" w:rsidRDefault="00CF10C0" w:rsidP="00CF10C0">
      <w:pPr>
        <w:rPr>
          <w:sz w:val="24"/>
        </w:rPr>
      </w:pPr>
      <w:r w:rsidRPr="00060203">
        <w:rPr>
          <w:sz w:val="24"/>
        </w:rPr>
        <w:t xml:space="preserve">While the author takes great care to ensure the accuracy and quality of these materials, all material is provided without any warranty whatsoever, included but not limited to, the implied warranties of merchantability or fitness for a particular purpose. </w:t>
      </w:r>
      <w:r w:rsidRPr="001218B1">
        <w:rPr>
          <w:noProof/>
          <w:sz w:val="24"/>
        </w:rPr>
        <w:t>Further</w:t>
      </w:r>
      <w:r>
        <w:rPr>
          <w:noProof/>
          <w:sz w:val="24"/>
        </w:rPr>
        <w:t>,</w:t>
      </w:r>
      <w:r w:rsidRPr="00060203">
        <w:rPr>
          <w:sz w:val="24"/>
        </w:rPr>
        <w:t xml:space="preserve"> the author reserves the right to revise this publication and make changes to its content at any time, without obligation to notify any person or entity of such revisions or changes.</w:t>
      </w:r>
    </w:p>
    <w:p w:rsidR="00CF10C0" w:rsidRDefault="00CF10C0" w:rsidP="00CF10C0">
      <w:pPr>
        <w:rPr>
          <w:rFonts w:cs="Angsana New"/>
          <w:sz w:val="48"/>
          <w:szCs w:val="48"/>
        </w:rPr>
      </w:pPr>
      <w:r>
        <w:rPr>
          <w:rFonts w:cs="Angsana New"/>
          <w:sz w:val="48"/>
          <w:szCs w:val="48"/>
        </w:rPr>
        <w:br w:type="page"/>
      </w:r>
    </w:p>
    <w:p w:rsidR="00687CE6" w:rsidRPr="00B939F0" w:rsidRDefault="00687CE6" w:rsidP="00687CE6">
      <w:pPr>
        <w:pStyle w:val="ListParagraph"/>
        <w:numPr>
          <w:ilvl w:val="0"/>
          <w:numId w:val="1"/>
        </w:numPr>
        <w:rPr>
          <w:rFonts w:ascii="Calibri Light" w:hAnsi="Calibri Light" w:cs="Times New Roman"/>
          <w:color w:val="365F91" w:themeColor="accent1" w:themeShade="BF"/>
          <w:sz w:val="32"/>
          <w:szCs w:val="32"/>
        </w:rPr>
      </w:pPr>
      <w:r w:rsidRPr="00B939F0">
        <w:rPr>
          <w:rFonts w:ascii="Calibri Light" w:hAnsi="Calibri Light" w:cs="Times New Roman"/>
          <w:color w:val="365F91" w:themeColor="accent1" w:themeShade="BF"/>
          <w:sz w:val="32"/>
          <w:szCs w:val="32"/>
        </w:rPr>
        <w:lastRenderedPageBreak/>
        <w:t>Practical Session 1: Basic Data Description</w:t>
      </w:r>
    </w:p>
    <w:p w:rsidR="00687CE6" w:rsidRDefault="00687CE6" w:rsidP="00687CE6">
      <w:pPr>
        <w:pStyle w:val="ListParagraph"/>
        <w:rPr>
          <w:rFonts w:ascii="Calibri Light" w:hAnsi="Calibri Light" w:cs="Times New Roman"/>
          <w:color w:val="365F91" w:themeColor="accent1" w:themeShade="BF"/>
          <w:sz w:val="26"/>
          <w:szCs w:val="26"/>
        </w:rPr>
      </w:pPr>
    </w:p>
    <w:p w:rsidR="00687CE6" w:rsidRPr="00687CE6" w:rsidRDefault="00687CE6" w:rsidP="00687CE6">
      <w:r w:rsidRPr="00687CE6">
        <w:t>1.1</w:t>
      </w:r>
    </w:p>
    <w:p w:rsidR="00C40B5D" w:rsidRDefault="00C40B5D" w:rsidP="00687CE6">
      <w:pPr>
        <w:rPr>
          <w:rFonts w:cs="Times New Roman"/>
        </w:rPr>
      </w:pPr>
      <w:bookmarkStart w:id="0" w:name="_GoBack"/>
      <w:bookmarkEnd w:id="0"/>
    </w:p>
    <w:tbl>
      <w:tblPr>
        <w:tblStyle w:val="TableGrid"/>
        <w:tblW w:w="0" w:type="auto"/>
        <w:tblInd w:w="1080" w:type="dxa"/>
        <w:tblLook w:val="04A0" w:firstRow="1" w:lastRow="0" w:firstColumn="1" w:lastColumn="0" w:noHBand="0" w:noVBand="1"/>
      </w:tblPr>
      <w:tblGrid>
        <w:gridCol w:w="2005"/>
        <w:gridCol w:w="1985"/>
        <w:gridCol w:w="1701"/>
        <w:gridCol w:w="1559"/>
      </w:tblGrid>
      <w:tr w:rsidR="00CE4B75" w:rsidRPr="00B939F0" w:rsidTr="00484CD2">
        <w:trPr>
          <w:trHeight w:val="454"/>
        </w:trPr>
        <w:tc>
          <w:tcPr>
            <w:tcW w:w="2005" w:type="dxa"/>
            <w:vAlign w:val="center"/>
          </w:tcPr>
          <w:p w:rsidR="00CE4B75" w:rsidRPr="00B939F0" w:rsidRDefault="00CE4B75" w:rsidP="00484CD2">
            <w:pPr>
              <w:pStyle w:val="ListParagraph"/>
              <w:ind w:left="0"/>
              <w:jc w:val="center"/>
              <w:rPr>
                <w:rFonts w:cs="Times New Roman"/>
                <w:b/>
              </w:rPr>
            </w:pPr>
            <w:r w:rsidRPr="00B939F0">
              <w:rPr>
                <w:rFonts w:cs="Times New Roman"/>
                <w:b/>
              </w:rPr>
              <w:t>Statistics</w:t>
            </w:r>
          </w:p>
        </w:tc>
        <w:tc>
          <w:tcPr>
            <w:tcW w:w="1985" w:type="dxa"/>
            <w:vAlign w:val="center"/>
          </w:tcPr>
          <w:p w:rsidR="00CE4B75" w:rsidRPr="00B939F0" w:rsidRDefault="00CE4B75" w:rsidP="00484CD2">
            <w:pPr>
              <w:pStyle w:val="ListParagraph"/>
              <w:ind w:left="0"/>
              <w:jc w:val="center"/>
              <w:rPr>
                <w:rFonts w:cs="Times New Roman"/>
                <w:b/>
              </w:rPr>
            </w:pPr>
            <w:r w:rsidRPr="00B939F0">
              <w:rPr>
                <w:rFonts w:cs="Times New Roman"/>
                <w:b/>
              </w:rPr>
              <w:t>Overall</w:t>
            </w:r>
          </w:p>
        </w:tc>
        <w:tc>
          <w:tcPr>
            <w:tcW w:w="1701" w:type="dxa"/>
            <w:vAlign w:val="center"/>
          </w:tcPr>
          <w:p w:rsidR="00CE4B75" w:rsidRPr="00B939F0" w:rsidRDefault="00CE4B75" w:rsidP="00484CD2">
            <w:pPr>
              <w:pStyle w:val="ListParagraph"/>
              <w:ind w:left="0"/>
              <w:jc w:val="center"/>
              <w:rPr>
                <w:rFonts w:cs="Times New Roman"/>
                <w:b/>
              </w:rPr>
            </w:pPr>
            <w:r w:rsidRPr="00B939F0">
              <w:rPr>
                <w:rFonts w:cs="Times New Roman"/>
                <w:b/>
              </w:rPr>
              <w:t>Males</w:t>
            </w:r>
          </w:p>
        </w:tc>
        <w:tc>
          <w:tcPr>
            <w:tcW w:w="1559" w:type="dxa"/>
            <w:vAlign w:val="center"/>
          </w:tcPr>
          <w:p w:rsidR="00CE4B75" w:rsidRPr="00B939F0" w:rsidRDefault="00CE4B75" w:rsidP="00484CD2">
            <w:pPr>
              <w:pStyle w:val="ListParagraph"/>
              <w:ind w:left="0"/>
              <w:jc w:val="center"/>
              <w:rPr>
                <w:rFonts w:cs="Times New Roman"/>
                <w:b/>
              </w:rPr>
            </w:pPr>
            <w:r w:rsidRPr="00B939F0">
              <w:rPr>
                <w:rFonts w:cs="Times New Roman"/>
                <w:b/>
              </w:rPr>
              <w:t>Females</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N</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1000</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562</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438</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Mean</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62.47</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61.94</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63.16</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 xml:space="preserve">Standard </w:t>
            </w:r>
            <w:r>
              <w:rPr>
                <w:rFonts w:cs="Times New Roman"/>
              </w:rPr>
              <w:t>d</w:t>
            </w:r>
            <w:r w:rsidRPr="00B939F0">
              <w:rPr>
                <w:rFonts w:cs="Times New Roman"/>
              </w:rPr>
              <w:t>eviation</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16.11</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15.47</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16.90</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Median</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64.90</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64.90</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64.87</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95</w:t>
            </w:r>
            <w:r w:rsidRPr="00B939F0">
              <w:rPr>
                <w:rFonts w:cs="Times New Roman"/>
                <w:vertAlign w:val="superscript"/>
              </w:rPr>
              <w:t>th</w:t>
            </w:r>
            <w:r w:rsidRPr="00B939F0">
              <w:rPr>
                <w:rFonts w:cs="Times New Roman"/>
              </w:rPr>
              <w:t xml:space="preserve"> </w:t>
            </w:r>
            <w:r>
              <w:rPr>
                <w:rFonts w:cs="Times New Roman"/>
              </w:rPr>
              <w:t>percentile</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86.00</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83.90</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87.97</w:t>
            </w:r>
          </w:p>
        </w:tc>
      </w:tr>
      <w:tr w:rsidR="00CE4B75" w:rsidRPr="00B939F0" w:rsidTr="00964EAC">
        <w:trPr>
          <w:trHeight w:val="454"/>
        </w:trPr>
        <w:tc>
          <w:tcPr>
            <w:tcW w:w="2005" w:type="dxa"/>
            <w:vAlign w:val="center"/>
          </w:tcPr>
          <w:p w:rsidR="00CE4B75" w:rsidRPr="00B939F0" w:rsidRDefault="00CE4B75" w:rsidP="00484CD2">
            <w:pPr>
              <w:pStyle w:val="ListParagraph"/>
              <w:ind w:left="0"/>
              <w:jc w:val="center"/>
              <w:rPr>
                <w:rFonts w:cs="Times New Roman"/>
              </w:rPr>
            </w:pPr>
            <w:r w:rsidRPr="00B939F0">
              <w:rPr>
                <w:rFonts w:cs="Times New Roman"/>
              </w:rPr>
              <w:t>Max</w:t>
            </w:r>
            <w:r>
              <w:rPr>
                <w:rFonts w:cs="Times New Roman"/>
              </w:rPr>
              <w:t>imum</w:t>
            </w:r>
          </w:p>
        </w:tc>
        <w:tc>
          <w:tcPr>
            <w:tcW w:w="1985" w:type="dxa"/>
            <w:vAlign w:val="center"/>
          </w:tcPr>
          <w:p w:rsidR="00CE4B75" w:rsidRPr="00B939F0" w:rsidRDefault="00CE4B75" w:rsidP="00964EAC">
            <w:pPr>
              <w:pStyle w:val="ListParagraph"/>
              <w:ind w:left="0"/>
              <w:jc w:val="right"/>
              <w:rPr>
                <w:rFonts w:cs="Times New Roman"/>
              </w:rPr>
            </w:pPr>
            <w:r w:rsidRPr="00687CE6">
              <w:rPr>
                <w:rFonts w:cs="Times New Roman"/>
              </w:rPr>
              <w:t>101.85</w:t>
            </w:r>
          </w:p>
        </w:tc>
        <w:tc>
          <w:tcPr>
            <w:tcW w:w="1701" w:type="dxa"/>
            <w:vAlign w:val="center"/>
          </w:tcPr>
          <w:p w:rsidR="00CE4B75" w:rsidRPr="00B939F0" w:rsidRDefault="00CE4B75" w:rsidP="00964EAC">
            <w:pPr>
              <w:pStyle w:val="ListParagraph"/>
              <w:ind w:left="0"/>
              <w:jc w:val="right"/>
              <w:rPr>
                <w:rFonts w:cs="Times New Roman"/>
              </w:rPr>
            </w:pPr>
            <w:r w:rsidRPr="00687CE6">
              <w:rPr>
                <w:rFonts w:cs="Times New Roman"/>
              </w:rPr>
              <w:t>96.71</w:t>
            </w:r>
          </w:p>
        </w:tc>
        <w:tc>
          <w:tcPr>
            <w:tcW w:w="1559" w:type="dxa"/>
            <w:vAlign w:val="center"/>
          </w:tcPr>
          <w:p w:rsidR="00CE4B75" w:rsidRPr="00B939F0" w:rsidRDefault="00CE4B75" w:rsidP="00964EAC">
            <w:pPr>
              <w:pStyle w:val="ListParagraph"/>
              <w:ind w:left="0"/>
              <w:jc w:val="right"/>
              <w:rPr>
                <w:rFonts w:cs="Times New Roman"/>
              </w:rPr>
            </w:pPr>
            <w:r w:rsidRPr="00687CE6">
              <w:rPr>
                <w:rFonts w:cs="Times New Roman"/>
              </w:rPr>
              <w:t>101.85</w:t>
            </w:r>
          </w:p>
        </w:tc>
      </w:tr>
    </w:tbl>
    <w:p w:rsidR="00CE4B75" w:rsidRDefault="00CE4B75" w:rsidP="00687CE6">
      <w:pPr>
        <w:rPr>
          <w:rFonts w:cs="Times New Roman"/>
        </w:rPr>
      </w:pPr>
    </w:p>
    <w:p w:rsidR="00687CE6" w:rsidRPr="00687CE6" w:rsidRDefault="00687CE6" w:rsidP="00687CE6">
      <w:pPr>
        <w:rPr>
          <w:rFonts w:cs="Times New Roman"/>
        </w:rPr>
      </w:pPr>
      <w:r w:rsidRPr="00687CE6">
        <w:rPr>
          <w:rFonts w:cs="Times New Roman"/>
        </w:rPr>
        <w:t xml:space="preserve">1.2 </w:t>
      </w:r>
    </w:p>
    <w:p w:rsidR="00687CE6" w:rsidRPr="00687CE6" w:rsidRDefault="00687CE6" w:rsidP="00687CE6">
      <w:pPr>
        <w:pStyle w:val="ListParagraph"/>
        <w:numPr>
          <w:ilvl w:val="0"/>
          <w:numId w:val="7"/>
        </w:numPr>
        <w:rPr>
          <w:rFonts w:cs="Times New Roman"/>
        </w:rPr>
      </w:pPr>
      <w:r w:rsidRPr="00687CE6">
        <w:rPr>
          <w:rFonts w:cs="Times New Roman"/>
        </w:rPr>
        <w:t>The length of hospital stay is not normally distributed</w:t>
      </w:r>
    </w:p>
    <w:p w:rsidR="00687CE6" w:rsidRPr="00687CE6" w:rsidRDefault="00687CE6" w:rsidP="00687CE6">
      <w:pPr>
        <w:pStyle w:val="ListParagraph"/>
      </w:pPr>
      <w:r w:rsidRPr="00687CE6">
        <w:rPr>
          <w:noProof/>
          <w:lang w:eastAsia="en-GB"/>
        </w:rPr>
        <w:drawing>
          <wp:inline distT="0" distB="0" distL="0" distR="0" wp14:anchorId="08AF7C27" wp14:editId="4F3AA312">
            <wp:extent cx="4638675" cy="26256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6620" cy="2624447"/>
                    </a:xfrm>
                    <a:prstGeom prst="rect">
                      <a:avLst/>
                    </a:prstGeom>
                  </pic:spPr>
                </pic:pic>
              </a:graphicData>
            </a:graphic>
          </wp:inline>
        </w:drawing>
      </w:r>
    </w:p>
    <w:p w:rsidR="00687CE6" w:rsidRPr="00687CE6" w:rsidRDefault="00687CE6" w:rsidP="00687CE6">
      <w:pPr>
        <w:pStyle w:val="ListParagraph"/>
      </w:pPr>
      <w:r w:rsidRPr="00687CE6">
        <w:rPr>
          <w:noProof/>
          <w:lang w:eastAsia="en-GB"/>
        </w:rPr>
        <w:lastRenderedPageBreak/>
        <w:drawing>
          <wp:inline distT="0" distB="0" distL="0" distR="0" wp14:anchorId="178ED9E3" wp14:editId="5E499F12">
            <wp:extent cx="4638675" cy="262561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6620" cy="2624447"/>
                    </a:xfrm>
                    <a:prstGeom prst="rect">
                      <a:avLst/>
                    </a:prstGeom>
                  </pic:spPr>
                </pic:pic>
              </a:graphicData>
            </a:graphic>
          </wp:inline>
        </w:drawing>
      </w:r>
    </w:p>
    <w:p w:rsidR="00687CE6" w:rsidRPr="00687CE6" w:rsidRDefault="00687CE6" w:rsidP="00687CE6">
      <w:pPr>
        <w:pStyle w:val="ListParagraph"/>
        <w:numPr>
          <w:ilvl w:val="0"/>
          <w:numId w:val="7"/>
        </w:numPr>
      </w:pPr>
      <w:r w:rsidRPr="00687CE6">
        <w:t>Log length of hospital stay looks more Normal</w:t>
      </w:r>
      <w:r w:rsidR="000E6236">
        <w:t xml:space="preserve"> than the raw length,</w:t>
      </w:r>
      <w:r w:rsidRPr="00687CE6">
        <w:t>.</w:t>
      </w:r>
    </w:p>
    <w:p w:rsidR="00687CE6" w:rsidRDefault="00687CE6" w:rsidP="00687CE6">
      <w:pPr>
        <w:jc w:val="center"/>
      </w:pPr>
      <w:r>
        <w:rPr>
          <w:noProof/>
          <w:lang w:eastAsia="en-GB"/>
        </w:rPr>
        <w:drawing>
          <wp:inline distT="0" distB="0" distL="0" distR="0" wp14:anchorId="7FD1FB10" wp14:editId="35998967">
            <wp:extent cx="4619625" cy="2614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4863" cy="2617791"/>
                    </a:xfrm>
                    <a:prstGeom prst="rect">
                      <a:avLst/>
                    </a:prstGeom>
                  </pic:spPr>
                </pic:pic>
              </a:graphicData>
            </a:graphic>
          </wp:inline>
        </w:drawing>
      </w:r>
      <w:r>
        <w:rPr>
          <w:noProof/>
          <w:lang w:eastAsia="en-GB"/>
        </w:rPr>
        <w:drawing>
          <wp:inline distT="0" distB="0" distL="0" distR="0" wp14:anchorId="5E39002B" wp14:editId="4BC863F6">
            <wp:extent cx="4636539" cy="2624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6539" cy="2624400"/>
                    </a:xfrm>
                    <a:prstGeom prst="rect">
                      <a:avLst/>
                    </a:prstGeom>
                  </pic:spPr>
                </pic:pic>
              </a:graphicData>
            </a:graphic>
          </wp:inline>
        </w:drawing>
      </w:r>
    </w:p>
    <w:p w:rsidR="00687CE6" w:rsidRDefault="000E6236" w:rsidP="00687CE6">
      <w:pPr>
        <w:pStyle w:val="ListParagraph"/>
        <w:numPr>
          <w:ilvl w:val="0"/>
          <w:numId w:val="7"/>
        </w:numPr>
      </w:pPr>
      <w:r>
        <w:lastRenderedPageBreak/>
        <w:t>There is very little difference, t</w:t>
      </w:r>
      <w:r w:rsidR="00687CE6">
        <w:t>he difference</w:t>
      </w:r>
      <w:r>
        <w:t xml:space="preserve"> in the medians is</w:t>
      </w:r>
      <w:r w:rsidR="00687CE6">
        <w:t xml:space="preserve"> around 0.087, and the difference in mean is around 0.041.</w:t>
      </w:r>
    </w:p>
    <w:p w:rsidR="00687CE6" w:rsidRDefault="00687CE6"/>
    <w:p w:rsidR="000E6236" w:rsidRPr="00B939F0" w:rsidRDefault="000E6236" w:rsidP="000E6236">
      <w:pPr>
        <w:pStyle w:val="ListParagraph"/>
        <w:numPr>
          <w:ilvl w:val="0"/>
          <w:numId w:val="1"/>
        </w:numPr>
        <w:rPr>
          <w:rFonts w:ascii="Calibri Light" w:hAnsi="Calibri Light" w:cs="Times New Roman"/>
          <w:color w:val="365F91" w:themeColor="accent1" w:themeShade="BF"/>
          <w:sz w:val="32"/>
          <w:szCs w:val="32"/>
        </w:rPr>
      </w:pPr>
      <w:r w:rsidRPr="00B939F0">
        <w:rPr>
          <w:rFonts w:ascii="Calibri Light" w:hAnsi="Calibri Light" w:cs="Times New Roman"/>
          <w:color w:val="365F91" w:themeColor="accent1" w:themeShade="BF"/>
          <w:sz w:val="32"/>
          <w:szCs w:val="32"/>
        </w:rPr>
        <w:t xml:space="preserve">Practical Session </w:t>
      </w:r>
      <w:r>
        <w:rPr>
          <w:rFonts w:ascii="Calibri Light" w:hAnsi="Calibri Light" w:cs="Times New Roman"/>
          <w:color w:val="365F91" w:themeColor="accent1" w:themeShade="BF"/>
          <w:sz w:val="32"/>
          <w:szCs w:val="32"/>
        </w:rPr>
        <w:t>2: Hypothesis Testing</w:t>
      </w:r>
    </w:p>
    <w:p w:rsidR="000E6236" w:rsidRDefault="000E6236" w:rsidP="000E6236">
      <w:pPr>
        <w:pStyle w:val="ListParagraph"/>
        <w:rPr>
          <w:rFonts w:ascii="Calibri Light" w:hAnsi="Calibri Light" w:cs="Times New Roman"/>
          <w:color w:val="365F91" w:themeColor="accent1" w:themeShade="BF"/>
          <w:sz w:val="26"/>
          <w:szCs w:val="26"/>
        </w:rPr>
      </w:pPr>
    </w:p>
    <w:p w:rsidR="000E6236" w:rsidRPr="000E6236" w:rsidRDefault="000E6236" w:rsidP="000E6236">
      <w:pPr>
        <w:pStyle w:val="ListParagraph"/>
        <w:numPr>
          <w:ilvl w:val="1"/>
          <w:numId w:val="1"/>
        </w:numPr>
      </w:pPr>
      <w:r>
        <w:t xml:space="preserve">The sample mean and median between the groups are fairly similar, </w:t>
      </w:r>
      <w:r w:rsidR="00CE4B75">
        <w:t xml:space="preserve">and the plots of the transformed variables are approximately normal, </w:t>
      </w:r>
      <w:r>
        <w:t xml:space="preserve">therefore a 2-sample t-test is sufficient. The null hypothesis for the test is that the population mean </w:t>
      </w:r>
      <w:r w:rsidRPr="000E6236">
        <w:t>difference of log(</w:t>
      </w:r>
      <w:proofErr w:type="spellStart"/>
      <w:r w:rsidRPr="000E6236">
        <w:t>slos</w:t>
      </w:r>
      <w:proofErr w:type="spellEnd"/>
      <w:r w:rsidRPr="000E6236">
        <w:t>) between the two hospital death groups is zero</w:t>
      </w:r>
      <w:r w:rsidR="00CE4B75">
        <w:t xml:space="preserve"> (equivalently, the population group means are equal)</w:t>
      </w:r>
      <w:r w:rsidRPr="000E6236">
        <w:t>.</w:t>
      </w:r>
    </w:p>
    <w:p w:rsidR="000E6236" w:rsidRPr="000E6236" w:rsidRDefault="000E6236" w:rsidP="000E6236">
      <w:pPr>
        <w:pStyle w:val="ListParagraph"/>
      </w:pPr>
    </w:p>
    <w:p w:rsidR="000E6236" w:rsidRDefault="000E6236" w:rsidP="000E6236">
      <w:pPr>
        <w:pStyle w:val="ListParagraph"/>
      </w:pPr>
    </w:p>
    <w:p w:rsidR="00CE4B75" w:rsidRDefault="00CE4B75" w:rsidP="000E6236">
      <w:pPr>
        <w:pStyle w:val="ListParagraph"/>
      </w:pPr>
    </w:p>
    <w:p w:rsidR="000E6236" w:rsidRDefault="000E6236" w:rsidP="000E6236">
      <w:pPr>
        <w:pStyle w:val="ListParagraph"/>
      </w:pPr>
      <w:r>
        <w:t xml:space="preserve">The confidence interval shows that the population differences between log length of hospital stay in those that died in hospital and those that didn’t die could be 0.07 in one direction or 0.16 in the other direction. </w:t>
      </w:r>
      <w:r w:rsidR="00CE4B75">
        <w:t>Since this interval contains 0, and the p-value is greater than 0.05, we can conclude that</w:t>
      </w:r>
      <w:r>
        <w:t xml:space="preserve"> there is no evidence of a difference between </w:t>
      </w:r>
      <w:r w:rsidR="00CE4B75">
        <w:t xml:space="preserve">log </w:t>
      </w:r>
      <w:r w:rsidR="00215BEC">
        <w:t>lengths</w:t>
      </w:r>
      <w:r>
        <w:t xml:space="preserve"> of hospital stay</w:t>
      </w:r>
      <w:r w:rsidR="00CE4B75">
        <w:t xml:space="preserve"> (and therefore, length of hospital stay itself)</w:t>
      </w:r>
      <w:r>
        <w:t xml:space="preserve"> for the two hospital death groups.</w:t>
      </w:r>
    </w:p>
    <w:p w:rsidR="00CE4B75" w:rsidRDefault="00CE4B75" w:rsidP="000E6236">
      <w:pPr>
        <w:pStyle w:val="ListParagraph"/>
      </w:pPr>
    </w:p>
    <w:p w:rsidR="00CE4B75" w:rsidRDefault="00CE4B75" w:rsidP="00CE4B75">
      <w:pPr>
        <w:pStyle w:val="ListParagraph"/>
      </w:pPr>
      <w:r>
        <w:t xml:space="preserve">The Mann-Whitney test gives very similar results to the t-test.  </w:t>
      </w:r>
    </w:p>
    <w:p w:rsidR="000E6236" w:rsidRDefault="000E6236" w:rsidP="000E6236">
      <w:pPr>
        <w:pStyle w:val="ListParagraph"/>
      </w:pPr>
    </w:p>
    <w:p w:rsidR="000E6236" w:rsidRDefault="000E6236" w:rsidP="00215BEC">
      <w:pPr>
        <w:ind w:firstLine="720"/>
        <w:jc w:val="center"/>
      </w:pPr>
      <w:r>
        <w:rPr>
          <w:noProof/>
          <w:lang w:eastAsia="en-GB"/>
        </w:rPr>
        <w:drawing>
          <wp:inline distT="0" distB="0" distL="0" distR="0" wp14:anchorId="4F383BF0" wp14:editId="3B6037C9">
            <wp:extent cx="541972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3181350"/>
                    </a:xfrm>
                    <a:prstGeom prst="rect">
                      <a:avLst/>
                    </a:prstGeom>
                    <a:noFill/>
                    <a:ln>
                      <a:noFill/>
                    </a:ln>
                  </pic:spPr>
                </pic:pic>
              </a:graphicData>
            </a:graphic>
          </wp:inline>
        </w:drawing>
      </w:r>
    </w:p>
    <w:p w:rsidR="00516326" w:rsidRDefault="00516326" w:rsidP="00215BEC">
      <w:pPr>
        <w:ind w:firstLine="720"/>
        <w:jc w:val="center"/>
      </w:pPr>
    </w:p>
    <w:p w:rsidR="00215BEC" w:rsidRDefault="00215BEC" w:rsidP="00215BEC">
      <w:pPr>
        <w:pStyle w:val="ListParagraph"/>
        <w:numPr>
          <w:ilvl w:val="1"/>
          <w:numId w:val="1"/>
        </w:numPr>
      </w:pPr>
      <w:r>
        <w:lastRenderedPageBreak/>
        <w:t xml:space="preserve">Yes, there is a highly significant difference (p&lt;0.001 </w:t>
      </w:r>
      <w:r w:rsidR="00CE4B75">
        <w:t>for</w:t>
      </w:r>
      <w:r>
        <w:t xml:space="preserve"> both tests). Eastern Europe and USSR and Africa are more likely to have death rates above 10 per 1000 population, while the other four country groups are more likely to have low death rates. </w:t>
      </w:r>
    </w:p>
    <w:p w:rsidR="00687CE6" w:rsidRDefault="00215BEC" w:rsidP="00215BEC">
      <w:pPr>
        <w:ind w:firstLine="720"/>
        <w:jc w:val="both"/>
      </w:pPr>
      <w:r>
        <w:rPr>
          <w:noProof/>
          <w:lang w:eastAsia="en-GB"/>
        </w:rPr>
        <w:drawing>
          <wp:inline distT="0" distB="0" distL="0" distR="0" wp14:anchorId="229409AB" wp14:editId="2443B825">
            <wp:extent cx="58388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90525"/>
                    </a:xfrm>
                    <a:prstGeom prst="rect">
                      <a:avLst/>
                    </a:prstGeom>
                    <a:noFill/>
                    <a:ln>
                      <a:noFill/>
                    </a:ln>
                  </pic:spPr>
                </pic:pic>
              </a:graphicData>
            </a:graphic>
          </wp:inline>
        </w:drawing>
      </w:r>
    </w:p>
    <w:p w:rsidR="00215BEC" w:rsidRDefault="00215BEC" w:rsidP="00215BEC">
      <w:pPr>
        <w:ind w:left="720"/>
        <w:jc w:val="both"/>
      </w:pPr>
      <w:r>
        <w:t>Generally one should use Fisher’s exact test because some of the expected counts are less than 5</w:t>
      </w:r>
      <w:r w:rsidR="00CE4B75">
        <w:t xml:space="preserve">.  This can be tested using </w:t>
      </w:r>
      <w:proofErr w:type="spellStart"/>
      <w:r w:rsidR="00CE4B75" w:rsidRPr="00CE4B75">
        <w:t>ExpFreq</w:t>
      </w:r>
      <w:proofErr w:type="spellEnd"/>
      <w:r w:rsidR="00CE4B75">
        <w:t xml:space="preserve">() from the package </w:t>
      </w:r>
      <w:proofErr w:type="spellStart"/>
      <w:r w:rsidR="00CE4B75">
        <w:t>DescTools</w:t>
      </w:r>
      <w:proofErr w:type="spellEnd"/>
      <w:r w:rsidR="00CE4B75">
        <w:t xml:space="preserve"> (see lecture for example)</w:t>
      </w:r>
      <w:r>
        <w:t>. It’s probably safer to use this test; however, on this occasion it makes no difference to the results.</w:t>
      </w:r>
    </w:p>
    <w:p w:rsidR="00516326" w:rsidRDefault="00516326" w:rsidP="00215BEC">
      <w:pPr>
        <w:ind w:left="720"/>
        <w:jc w:val="both"/>
      </w:pPr>
    </w:p>
    <w:p w:rsidR="00516326" w:rsidRDefault="00516326" w:rsidP="00516326">
      <w:pPr>
        <w:pStyle w:val="ListParagraph"/>
        <w:numPr>
          <w:ilvl w:val="1"/>
          <w:numId w:val="1"/>
        </w:numPr>
      </w:pPr>
      <w:r>
        <w:t>The null hypothesis: In the population, admission type is independent of gender</w:t>
      </w:r>
      <w:r w:rsidR="00CE4B75">
        <w:t>.  Equivalently,</w:t>
      </w:r>
      <w:r>
        <w:t xml:space="preserve"> in the population, the proportion of patients with each admission type is equal for each gender.</w:t>
      </w:r>
    </w:p>
    <w:p w:rsidR="00516326" w:rsidRDefault="00516326" w:rsidP="00516326">
      <w:pPr>
        <w:pStyle w:val="ListParagraph"/>
      </w:pPr>
    </w:p>
    <w:p w:rsidR="00516326" w:rsidRDefault="00516326" w:rsidP="00516326">
      <w:pPr>
        <w:pStyle w:val="ListParagraph"/>
      </w:pPr>
      <w:r>
        <w:t xml:space="preserve">The proportion for cancer and coma are reasonably similar but females tend to be slightly more likely to be admitted with ARF/MOSF and males with COPD/CHF/Cirrhosis. </w:t>
      </w:r>
    </w:p>
    <w:p w:rsidR="00516326" w:rsidRDefault="00516326" w:rsidP="00516326">
      <w:pPr>
        <w:pStyle w:val="ListParagraph"/>
      </w:pPr>
    </w:p>
    <w:p w:rsidR="00516326" w:rsidRDefault="00516326" w:rsidP="00516326">
      <w:pPr>
        <w:pStyle w:val="ListParagraph"/>
      </w:pPr>
      <w:r>
        <w:t xml:space="preserve">However, the difference in the distributions of patients across the admission types between gender is not significant (p=0.2392). </w:t>
      </w:r>
    </w:p>
    <w:p w:rsidR="00CE4B75" w:rsidRDefault="00CE4B75" w:rsidP="00516326">
      <w:pPr>
        <w:pStyle w:val="ListParagraph"/>
      </w:pPr>
    </w:p>
    <w:p w:rsidR="00215BEC" w:rsidRDefault="00516326" w:rsidP="00516326">
      <w:pPr>
        <w:pStyle w:val="ListParagraph"/>
      </w:pPr>
      <w:r>
        <w:rPr>
          <w:noProof/>
          <w:lang w:eastAsia="en-GB"/>
        </w:rPr>
        <w:drawing>
          <wp:inline distT="0" distB="0" distL="0" distR="0" wp14:anchorId="2219B059" wp14:editId="4E8EFFF4">
            <wp:extent cx="33528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895475"/>
                    </a:xfrm>
                    <a:prstGeom prst="rect">
                      <a:avLst/>
                    </a:prstGeom>
                    <a:noFill/>
                    <a:ln>
                      <a:noFill/>
                    </a:ln>
                  </pic:spPr>
                </pic:pic>
              </a:graphicData>
            </a:graphic>
          </wp:inline>
        </w:drawing>
      </w:r>
    </w:p>
    <w:p w:rsidR="00C40B5D" w:rsidRDefault="00C40B5D" w:rsidP="00516326">
      <w:pPr>
        <w:pStyle w:val="ListParagraph"/>
      </w:pPr>
    </w:p>
    <w:p w:rsidR="00C40B5D" w:rsidRDefault="00C40B5D" w:rsidP="00516326">
      <w:pPr>
        <w:pStyle w:val="ListParagraph"/>
      </w:pPr>
    </w:p>
    <w:p w:rsidR="00C40B5D" w:rsidRPr="00B939F0" w:rsidRDefault="00C40B5D" w:rsidP="00C40B5D">
      <w:pPr>
        <w:pStyle w:val="ListParagraph"/>
        <w:numPr>
          <w:ilvl w:val="0"/>
          <w:numId w:val="1"/>
        </w:numPr>
        <w:rPr>
          <w:rFonts w:ascii="Calibri Light" w:hAnsi="Calibri Light" w:cs="Times New Roman"/>
          <w:color w:val="365F91" w:themeColor="accent1" w:themeShade="BF"/>
          <w:sz w:val="32"/>
          <w:szCs w:val="32"/>
        </w:rPr>
      </w:pPr>
      <w:r w:rsidRPr="00B939F0">
        <w:rPr>
          <w:rFonts w:ascii="Calibri Light" w:hAnsi="Calibri Light" w:cs="Times New Roman"/>
          <w:color w:val="365F91" w:themeColor="accent1" w:themeShade="BF"/>
          <w:sz w:val="32"/>
          <w:szCs w:val="32"/>
        </w:rPr>
        <w:t xml:space="preserve">Practical Session </w:t>
      </w:r>
      <w:r>
        <w:rPr>
          <w:rFonts w:ascii="Calibri Light" w:hAnsi="Calibri Light" w:cs="Times New Roman"/>
          <w:color w:val="365F91" w:themeColor="accent1" w:themeShade="BF"/>
          <w:sz w:val="32"/>
          <w:szCs w:val="32"/>
        </w:rPr>
        <w:t>3: Correlation and Regression</w:t>
      </w:r>
    </w:p>
    <w:p w:rsidR="00C40B5D" w:rsidRDefault="00C40B5D" w:rsidP="00C40B5D">
      <w:pPr>
        <w:pStyle w:val="ListParagraph"/>
        <w:rPr>
          <w:rFonts w:ascii="Calibri Light" w:hAnsi="Calibri Light" w:cs="Times New Roman"/>
          <w:color w:val="365F91" w:themeColor="accent1" w:themeShade="BF"/>
          <w:sz w:val="26"/>
          <w:szCs w:val="26"/>
        </w:rPr>
      </w:pPr>
    </w:p>
    <w:p w:rsidR="00687CE6" w:rsidRDefault="00CE4B75" w:rsidP="00C40B5D">
      <w:pPr>
        <w:pStyle w:val="ListParagraph"/>
        <w:numPr>
          <w:ilvl w:val="1"/>
          <w:numId w:val="1"/>
        </w:numPr>
      </w:pPr>
      <w:r>
        <w:t xml:space="preserve">Pearson’s correlation co-efficient is most appropriate here.  </w:t>
      </w:r>
      <w:r w:rsidR="00C40B5D">
        <w:t>The sample correlation coefficient is -0.89 and there is strong evidence to reject the null hypothesis that the population correlation coefficient is zero</w:t>
      </w:r>
      <w:r>
        <w:t xml:space="preserve"> (p&lt;0.05)</w:t>
      </w:r>
      <w:r w:rsidR="00C40B5D">
        <w:t xml:space="preserve">. The confidence interval is -0.93 to -0.85, suggesting that in the </w:t>
      </w:r>
      <w:r>
        <w:t xml:space="preserve">wider </w:t>
      </w:r>
      <w:r w:rsidR="00C40B5D">
        <w:t>population</w:t>
      </w:r>
      <w:r>
        <w:t>,</w:t>
      </w:r>
      <w:r w:rsidR="00C40B5D">
        <w:t xml:space="preserve"> the correlation </w:t>
      </w:r>
      <w:r>
        <w:t>is likely to lie between -0.85 and -0.93</w:t>
      </w:r>
      <w:r w:rsidR="00C40B5D">
        <w:t>. There is evidence of a strong negative association between female life expectancy and birth rate.</w:t>
      </w:r>
    </w:p>
    <w:p w:rsidR="00C40B5D" w:rsidRDefault="00C40B5D" w:rsidP="00C40B5D">
      <w:pPr>
        <w:pStyle w:val="ListParagraph"/>
      </w:pPr>
    </w:p>
    <w:p w:rsidR="00C40B5D" w:rsidRDefault="00C40B5D" w:rsidP="00C40B5D">
      <w:pPr>
        <w:pStyle w:val="ListParagraph"/>
        <w:numPr>
          <w:ilvl w:val="1"/>
          <w:numId w:val="1"/>
        </w:numPr>
      </w:pPr>
    </w:p>
    <w:p w:rsidR="00C40B5D" w:rsidRDefault="00C40B5D" w:rsidP="00C40B5D">
      <w:pPr>
        <w:pStyle w:val="ListParagraph"/>
        <w:numPr>
          <w:ilvl w:val="0"/>
          <w:numId w:val="8"/>
        </w:numPr>
      </w:pPr>
      <w:r w:rsidRPr="00C40B5D">
        <w:t>There is a moderately strong negative association between the birth rates and log</w:t>
      </w:r>
      <w:r w:rsidRPr="00C40B5D">
        <w:rPr>
          <w:vertAlign w:val="subscript"/>
        </w:rPr>
        <w:t>10</w:t>
      </w:r>
      <w:r w:rsidRPr="00C40B5D">
        <w:t>GNP</w:t>
      </w:r>
      <w:r>
        <w:t xml:space="preserve"> </w:t>
      </w:r>
      <w:r w:rsidRPr="00C40B5D">
        <w:t>(</w:t>
      </w:r>
      <w:proofErr w:type="spellStart"/>
      <w:r w:rsidRPr="00C40B5D">
        <w:t>ie</w:t>
      </w:r>
      <w:proofErr w:type="spellEnd"/>
      <w:r w:rsidRPr="00C40B5D">
        <w:t>. as wealth increases, birth rate decreases). The relationship appears reasonably linear, though there is a reasonable amount of variability.</w:t>
      </w:r>
    </w:p>
    <w:p w:rsidR="00C40B5D" w:rsidRDefault="00C40B5D" w:rsidP="00C40B5D">
      <w:pPr>
        <w:pStyle w:val="ListParagraph"/>
        <w:ind w:left="1080"/>
      </w:pPr>
    </w:p>
    <w:p w:rsidR="00CE4B75" w:rsidRDefault="00CE4B75" w:rsidP="00CE4B75">
      <w:pPr>
        <w:pStyle w:val="ListParagraph"/>
        <w:ind w:left="1080"/>
      </w:pPr>
    </w:p>
    <w:p w:rsidR="00CE4B75" w:rsidRDefault="00CE4B75" w:rsidP="00CE4B75">
      <w:pPr>
        <w:pStyle w:val="ListParagraph"/>
      </w:pPr>
    </w:p>
    <w:p w:rsidR="00CE4B75" w:rsidRDefault="00CE4B75" w:rsidP="00C40B5D">
      <w:pPr>
        <w:pStyle w:val="ListParagraph"/>
        <w:numPr>
          <w:ilvl w:val="0"/>
          <w:numId w:val="8"/>
        </w:numPr>
      </w:pPr>
    </w:p>
    <w:p w:rsidR="00CE4B75" w:rsidRDefault="00CE4B75" w:rsidP="00CE4B75">
      <w:pPr>
        <w:pStyle w:val="ListParagraph"/>
        <w:ind w:left="1080"/>
      </w:pPr>
      <w:r>
        <w:rPr>
          <w:noProof/>
          <w:lang w:eastAsia="en-GB"/>
        </w:rPr>
        <w:drawing>
          <wp:inline distT="0" distB="0" distL="0" distR="0" wp14:anchorId="75D8968B" wp14:editId="111452ED">
            <wp:extent cx="5731510" cy="3164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plots_p3.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4205"/>
                    </a:xfrm>
                    <a:prstGeom prst="rect">
                      <a:avLst/>
                    </a:prstGeom>
                  </pic:spPr>
                </pic:pic>
              </a:graphicData>
            </a:graphic>
          </wp:inline>
        </w:drawing>
      </w:r>
    </w:p>
    <w:p w:rsidR="00C40B5D" w:rsidRDefault="00C40B5D" w:rsidP="00CE4B75">
      <w:pPr>
        <w:pStyle w:val="ListParagraph"/>
        <w:ind w:left="1080"/>
      </w:pPr>
      <w:r w:rsidRPr="00C40B5D">
        <w:t>The normal probability plot indicates that the residuals are normally distributed.</w:t>
      </w:r>
      <w:r>
        <w:t xml:space="preserve"> </w:t>
      </w:r>
    </w:p>
    <w:p w:rsidR="00C40B5D" w:rsidRDefault="00C40B5D" w:rsidP="00C40B5D">
      <w:pPr>
        <w:pStyle w:val="ListParagraph"/>
        <w:ind w:left="1080"/>
      </w:pPr>
    </w:p>
    <w:p w:rsidR="00C40B5D" w:rsidRDefault="00C40B5D" w:rsidP="00C40B5D">
      <w:pPr>
        <w:pStyle w:val="ListParagraph"/>
        <w:ind w:left="1080"/>
      </w:pPr>
      <w:r w:rsidRPr="00C40B5D">
        <w:t xml:space="preserve">There may be slightly less variability at the extremes of the residuals plot than in the middle, suggesting that the assumption of constant variability may be questionable. However, this phenomenon is not particularly unusual, nor is it particularly extreme in this case, and so we will accept this assumption. </w:t>
      </w:r>
    </w:p>
    <w:p w:rsidR="00C40B5D" w:rsidRDefault="00C40B5D" w:rsidP="00C40B5D">
      <w:pPr>
        <w:pStyle w:val="ListParagraph"/>
        <w:ind w:left="1080"/>
      </w:pPr>
    </w:p>
    <w:p w:rsidR="00C40B5D" w:rsidRDefault="00C40B5D" w:rsidP="00C40B5D">
      <w:pPr>
        <w:pStyle w:val="ListParagraph"/>
        <w:ind w:left="1080"/>
      </w:pPr>
      <w:r w:rsidRPr="00C40B5D">
        <w:t>There is no curvature in the residuals so the assumption of linearity holds.</w:t>
      </w:r>
    </w:p>
    <w:p w:rsidR="00C40B5D" w:rsidRDefault="00C40B5D" w:rsidP="00C40B5D">
      <w:pPr>
        <w:pStyle w:val="ListParagraph"/>
        <w:ind w:left="1080"/>
      </w:pPr>
    </w:p>
    <w:p w:rsidR="00C40B5D" w:rsidRDefault="00C40B5D" w:rsidP="00C40B5D">
      <w:pPr>
        <w:pStyle w:val="ListParagraph"/>
        <w:numPr>
          <w:ilvl w:val="0"/>
          <w:numId w:val="8"/>
        </w:numPr>
      </w:pPr>
      <w:r w:rsidRPr="00C40B5D">
        <w:t xml:space="preserve">We could transform the birth rate variable, </w:t>
      </w:r>
      <w:proofErr w:type="spellStart"/>
      <w:r w:rsidRPr="00C40B5D">
        <w:t>eg</w:t>
      </w:r>
      <w:proofErr w:type="spellEnd"/>
      <w:r w:rsidRPr="00C40B5D">
        <w:t>. take a log transformation.</w:t>
      </w:r>
    </w:p>
    <w:p w:rsidR="00C40B5D" w:rsidRDefault="00C40B5D" w:rsidP="00C40B5D">
      <w:pPr>
        <w:pStyle w:val="ListParagraph"/>
        <w:ind w:left="1080"/>
      </w:pPr>
    </w:p>
    <w:p w:rsidR="00C40B5D" w:rsidRDefault="00C40B5D" w:rsidP="00C40B5D">
      <w:pPr>
        <w:pStyle w:val="ListParagraph"/>
        <w:numPr>
          <w:ilvl w:val="0"/>
          <w:numId w:val="8"/>
        </w:numPr>
      </w:pPr>
      <w:r w:rsidRPr="00C40B5D">
        <w:t>H0: There is no relationship between birth rate and log10GNP in the population.</w:t>
      </w:r>
    </w:p>
    <w:p w:rsidR="00C40B5D" w:rsidRDefault="00C40B5D" w:rsidP="00C40B5D">
      <w:pPr>
        <w:pStyle w:val="ListParagraph"/>
      </w:pPr>
    </w:p>
    <w:p w:rsidR="00C40B5D" w:rsidRDefault="00C40B5D" w:rsidP="00C40B5D">
      <w:pPr>
        <w:pStyle w:val="ListParagraph"/>
        <w:numPr>
          <w:ilvl w:val="0"/>
          <w:numId w:val="8"/>
        </w:numPr>
      </w:pPr>
      <w:r w:rsidRPr="00C40B5D">
        <w:t>The intercept is 75.5, so this is the average birth rate for a log10GNP of 0, or a</w:t>
      </w:r>
      <w:r>
        <w:t xml:space="preserve"> </w:t>
      </w:r>
      <w:r w:rsidRPr="00C40B5D">
        <w:t>corresponding GNP of 1.</w:t>
      </w:r>
    </w:p>
    <w:p w:rsidR="00C40B5D" w:rsidRDefault="00C40B5D" w:rsidP="00C40B5D">
      <w:pPr>
        <w:pStyle w:val="ListParagraph"/>
      </w:pPr>
    </w:p>
    <w:p w:rsidR="00C40B5D" w:rsidRDefault="00C40B5D" w:rsidP="00C40B5D">
      <w:pPr>
        <w:pStyle w:val="ListParagraph"/>
        <w:ind w:left="1080"/>
      </w:pPr>
      <w:r w:rsidRPr="00C40B5D">
        <w:t>The slope is -14.1, with a conﬁdence interval of -16.8 to -11.4. This is signiﬁcantly</w:t>
      </w:r>
      <w:r>
        <w:t xml:space="preserve"> </w:t>
      </w:r>
      <w:r w:rsidRPr="00C40B5D">
        <w:t xml:space="preserve">diﬀerent from zero, so there is evidence of a relationship between birth rate and GNP. In </w:t>
      </w:r>
      <w:r w:rsidRPr="00C40B5D">
        <w:lastRenderedPageBreak/>
        <w:t>the population, we would expect the birth rate to decrease by between 11.4 and 16.8 per 1000 population for each 1 unit increase in log10GNP (this equates to multiplying GNP by 10).</w:t>
      </w:r>
    </w:p>
    <w:p w:rsidR="00C40B5D" w:rsidRDefault="00C40B5D" w:rsidP="00C40B5D">
      <w:pPr>
        <w:pStyle w:val="ListParagraph"/>
        <w:ind w:left="1080"/>
      </w:pPr>
    </w:p>
    <w:p w:rsidR="00C40B5D" w:rsidRDefault="00C40B5D" w:rsidP="00C40B5D">
      <w:pPr>
        <w:pStyle w:val="ListParagraph"/>
        <w:ind w:left="1080"/>
      </w:pPr>
      <w:r>
        <w:t>Adjusted R squared</w:t>
      </w:r>
      <w:r w:rsidRPr="00C40B5D">
        <w:t xml:space="preserve"> is 53.7%, so this is a moderately well-ﬁtting model.</w:t>
      </w:r>
    </w:p>
    <w:p w:rsidR="00C40B5D" w:rsidRDefault="00C40B5D" w:rsidP="00C40B5D">
      <w:pPr>
        <w:pStyle w:val="ListParagraph"/>
        <w:ind w:left="1080"/>
      </w:pPr>
    </w:p>
    <w:p w:rsidR="00CD2CB1" w:rsidRDefault="00C40B5D" w:rsidP="00CD2CB1">
      <w:pPr>
        <w:pStyle w:val="ListParagraph"/>
        <w:ind w:left="1080"/>
      </w:pPr>
      <w:r w:rsidRPr="00C40B5D">
        <w:t>A standardized residual outside the interval (-2,2) is considered an outlier, and</w:t>
      </w:r>
      <w:r>
        <w:t xml:space="preserve"> </w:t>
      </w:r>
      <w:r w:rsidRPr="00C40B5D">
        <w:t>there are four countries that have residuals of greater than 2.</w:t>
      </w:r>
    </w:p>
    <w:p w:rsidR="00CD2CB1" w:rsidRDefault="00CD2CB1" w:rsidP="00CD2CB1">
      <w:pPr>
        <w:pStyle w:val="ListParagraph"/>
        <w:ind w:left="1080"/>
      </w:pPr>
    </w:p>
    <w:p w:rsidR="00CD2CB1" w:rsidRDefault="00CD2CB1" w:rsidP="00CD2CB1">
      <w:pPr>
        <w:pStyle w:val="ListParagraph"/>
        <w:numPr>
          <w:ilvl w:val="1"/>
          <w:numId w:val="1"/>
        </w:numPr>
      </w:pPr>
      <w:r w:rsidRPr="00CD2CB1">
        <w:t>The average birth rate in the population for countries with GNP of 10000 is likely to be</w:t>
      </w:r>
      <w:r>
        <w:t xml:space="preserve"> </w:t>
      </w:r>
      <w:r w:rsidRPr="00CD2CB1">
        <w:t>between 16.2 and 21.8 per 1000 population, while an individual country with GNP of 10000 is likely to have a birth rate of between 0.3 and 37.8 per 1000 population.</w:t>
      </w:r>
    </w:p>
    <w:p w:rsidR="00CD2CB1" w:rsidRDefault="00CD2CB1" w:rsidP="00CD2CB1">
      <w:pPr>
        <w:pStyle w:val="ListParagraph"/>
      </w:pPr>
    </w:p>
    <w:sectPr w:rsidR="00CD2CB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0C0" w:rsidRDefault="00CF10C0" w:rsidP="00CF10C0">
      <w:pPr>
        <w:spacing w:after="0" w:line="240" w:lineRule="auto"/>
      </w:pPr>
      <w:r>
        <w:separator/>
      </w:r>
    </w:p>
  </w:endnote>
  <w:endnote w:type="continuationSeparator" w:id="0">
    <w:p w:rsidR="00CF10C0" w:rsidRDefault="00CF10C0" w:rsidP="00CF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0"/>
      <w:gridCol w:w="4622"/>
    </w:tblGrid>
    <w:tr w:rsidR="00CF10C0" w:rsidTr="00484CD2">
      <w:tc>
        <w:tcPr>
          <w:tcW w:w="4622" w:type="dxa"/>
        </w:tcPr>
        <w:p w:rsidR="00CF10C0" w:rsidRDefault="00CF10C0" w:rsidP="00484CD2">
          <w:pPr>
            <w:pStyle w:val="Footer"/>
            <w:rPr>
              <w:rFonts w:ascii="Century Gothic" w:hAnsi="Century Gothic"/>
            </w:rPr>
          </w:pPr>
          <w:r>
            <w:rPr>
              <w:rFonts w:ascii="Century Gothic" w:hAnsi="Century Gothic"/>
            </w:rPr>
            <w:t>v1.0</w:t>
          </w:r>
        </w:p>
      </w:tc>
      <w:tc>
        <w:tcPr>
          <w:tcW w:w="4623" w:type="dxa"/>
        </w:tcPr>
        <w:p w:rsidR="00CF10C0" w:rsidRDefault="00CF10C0" w:rsidP="00484CD2">
          <w:pPr>
            <w:pStyle w:val="Footer"/>
            <w:jc w:val="right"/>
            <w:rPr>
              <w:rFonts w:ascii="Century Gothic" w:hAnsi="Century Gothic"/>
            </w:rPr>
          </w:pPr>
          <w:r>
            <w:rPr>
              <w:rFonts w:ascii="Century Gothic" w:hAnsi="Century Gothic"/>
            </w:rPr>
            <w:t xml:space="preserve">Page </w:t>
          </w:r>
          <w:r>
            <w:rPr>
              <w:rFonts w:ascii="Century Gothic" w:hAnsi="Century Gothic"/>
            </w:rPr>
            <w:fldChar w:fldCharType="begin"/>
          </w:r>
          <w:r>
            <w:rPr>
              <w:rFonts w:ascii="Century Gothic" w:hAnsi="Century Gothic"/>
            </w:rPr>
            <w:instrText xml:space="preserve"> PAGE </w:instrText>
          </w:r>
          <w:r>
            <w:rPr>
              <w:rFonts w:ascii="Century Gothic" w:hAnsi="Century Gothic"/>
            </w:rPr>
            <w:fldChar w:fldCharType="separate"/>
          </w:r>
          <w:r w:rsidR="00B61BD8">
            <w:rPr>
              <w:rFonts w:ascii="Century Gothic" w:hAnsi="Century Gothic"/>
              <w:noProof/>
            </w:rPr>
            <w:t>2</w:t>
          </w:r>
          <w:r>
            <w:rPr>
              <w:rFonts w:ascii="Century Gothic" w:hAnsi="Century Gothic"/>
            </w:rPr>
            <w:fldChar w:fldCharType="end"/>
          </w:r>
          <w:r>
            <w:rPr>
              <w:rFonts w:ascii="Century Gothic" w:hAnsi="Century Gothic"/>
            </w:rPr>
            <w:t xml:space="preserve"> of </w:t>
          </w:r>
          <w:r>
            <w:rPr>
              <w:rFonts w:ascii="Century Gothic" w:hAnsi="Century Gothic"/>
            </w:rPr>
            <w:fldChar w:fldCharType="begin"/>
          </w:r>
          <w:r>
            <w:rPr>
              <w:rFonts w:ascii="Century Gothic" w:hAnsi="Century Gothic"/>
            </w:rPr>
            <w:instrText xml:space="preserve"> NUMPAGES </w:instrText>
          </w:r>
          <w:r>
            <w:rPr>
              <w:rFonts w:ascii="Century Gothic" w:hAnsi="Century Gothic"/>
            </w:rPr>
            <w:fldChar w:fldCharType="separate"/>
          </w:r>
          <w:r w:rsidR="00B61BD8">
            <w:rPr>
              <w:rFonts w:ascii="Century Gothic" w:hAnsi="Century Gothic"/>
              <w:noProof/>
            </w:rPr>
            <w:t>7</w:t>
          </w:r>
          <w:r>
            <w:rPr>
              <w:rFonts w:ascii="Century Gothic" w:hAnsi="Century Gothic"/>
            </w:rPr>
            <w:fldChar w:fldCharType="end"/>
          </w:r>
        </w:p>
      </w:tc>
    </w:tr>
  </w:tbl>
  <w:p w:rsidR="00CF10C0" w:rsidRDefault="00CF10C0" w:rsidP="00CF10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0C0" w:rsidRDefault="00CF10C0" w:rsidP="00CF10C0">
      <w:pPr>
        <w:spacing w:after="0" w:line="240" w:lineRule="auto"/>
      </w:pPr>
      <w:r>
        <w:separator/>
      </w:r>
    </w:p>
  </w:footnote>
  <w:footnote w:type="continuationSeparator" w:id="0">
    <w:p w:rsidR="00CF10C0" w:rsidRDefault="00CF10C0" w:rsidP="00CF1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7"/>
      <w:gridCol w:w="4205"/>
    </w:tblGrid>
    <w:tr w:rsidR="00CF10C0" w:rsidTr="00484CD2">
      <w:tc>
        <w:tcPr>
          <w:tcW w:w="2725" w:type="pct"/>
        </w:tcPr>
        <w:p w:rsidR="00CF10C0" w:rsidRDefault="00CF10C0" w:rsidP="00484CD2">
          <w:pPr>
            <w:pStyle w:val="Header"/>
            <w:rPr>
              <w:rFonts w:ascii="Century Gothic" w:hAnsi="Century Gothic"/>
            </w:rPr>
          </w:pPr>
          <w:r>
            <w:rPr>
              <w:rFonts w:ascii="Century Gothic" w:hAnsi="Century Gothic"/>
            </w:rPr>
            <w:t>Introduction to Statistics</w:t>
          </w:r>
        </w:p>
      </w:tc>
      <w:tc>
        <w:tcPr>
          <w:tcW w:w="2275" w:type="pct"/>
        </w:tcPr>
        <w:p w:rsidR="00CF10C0" w:rsidRDefault="00CF10C0" w:rsidP="00484CD2">
          <w:pPr>
            <w:pStyle w:val="Header"/>
            <w:jc w:val="right"/>
            <w:rPr>
              <w:rFonts w:ascii="Century Gothic" w:hAnsi="Century Gothic"/>
            </w:rPr>
          </w:pPr>
          <w:r>
            <w:rPr>
              <w:rFonts w:ascii="Century Gothic" w:hAnsi="Century Gothic"/>
            </w:rPr>
            <w:t>Robertson Centre for Biostatistics</w:t>
          </w:r>
        </w:p>
        <w:p w:rsidR="00CF10C0" w:rsidRDefault="00CF10C0" w:rsidP="00484CD2">
          <w:pPr>
            <w:pStyle w:val="Header"/>
            <w:jc w:val="right"/>
            <w:rPr>
              <w:rFonts w:ascii="Century Gothic" w:hAnsi="Century Gothic"/>
            </w:rPr>
          </w:pPr>
          <w:r>
            <w:rPr>
              <w:rFonts w:ascii="Century Gothic" w:hAnsi="Century Gothic"/>
            </w:rPr>
            <w:t>for</w:t>
          </w:r>
        </w:p>
        <w:p w:rsidR="00CF10C0" w:rsidRDefault="00CF10C0" w:rsidP="00484CD2">
          <w:pPr>
            <w:pStyle w:val="Header"/>
            <w:jc w:val="right"/>
            <w:rPr>
              <w:rFonts w:ascii="Century Gothic" w:hAnsi="Century Gothic"/>
            </w:rPr>
          </w:pPr>
          <w:r>
            <w:rPr>
              <w:rFonts w:ascii="Century Gothic" w:hAnsi="Century Gothic"/>
            </w:rPr>
            <w:t>The FARR Institute</w:t>
          </w:r>
        </w:p>
      </w:tc>
    </w:tr>
  </w:tbl>
  <w:p w:rsidR="00CF10C0" w:rsidRDefault="00CF10C0" w:rsidP="00CF10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64B"/>
    <w:multiLevelType w:val="hybridMultilevel"/>
    <w:tmpl w:val="399C93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71B76"/>
    <w:multiLevelType w:val="multilevel"/>
    <w:tmpl w:val="8904E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C75D0B"/>
    <w:multiLevelType w:val="multilevel"/>
    <w:tmpl w:val="8904E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C84890"/>
    <w:multiLevelType w:val="multilevel"/>
    <w:tmpl w:val="8904E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5B3185D"/>
    <w:multiLevelType w:val="hybridMultilevel"/>
    <w:tmpl w:val="B246D3F2"/>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5">
    <w:nsid w:val="463A6CD1"/>
    <w:multiLevelType w:val="multilevel"/>
    <w:tmpl w:val="8904E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41B6705"/>
    <w:multiLevelType w:val="hybridMultilevel"/>
    <w:tmpl w:val="CABAC980"/>
    <w:lvl w:ilvl="0" w:tplc="0D586D38">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7">
    <w:nsid w:val="5FCA19A9"/>
    <w:multiLevelType w:val="multilevel"/>
    <w:tmpl w:val="8904E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0364CFA"/>
    <w:multiLevelType w:val="hybridMultilevel"/>
    <w:tmpl w:val="A2CCD8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FF5AA6"/>
    <w:multiLevelType w:val="hybridMultilevel"/>
    <w:tmpl w:val="755E3A80"/>
    <w:lvl w:ilvl="0" w:tplc="72C20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6"/>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CwNDQ0NrYwNTA1MDNX0lEKTi0uzszPAykwqQUA69YH2SwAAAA="/>
  </w:docVars>
  <w:rsids>
    <w:rsidRoot w:val="00687CE6"/>
    <w:rsid w:val="000E6236"/>
    <w:rsid w:val="00215BEC"/>
    <w:rsid w:val="00516326"/>
    <w:rsid w:val="00687CE6"/>
    <w:rsid w:val="006D326D"/>
    <w:rsid w:val="007012E8"/>
    <w:rsid w:val="00964EAC"/>
    <w:rsid w:val="00B36228"/>
    <w:rsid w:val="00B61BD8"/>
    <w:rsid w:val="00C40B5D"/>
    <w:rsid w:val="00CD2CB1"/>
    <w:rsid w:val="00CE4B75"/>
    <w:rsid w:val="00CF10C0"/>
    <w:rsid w:val="00D125F5"/>
    <w:rsid w:val="00E34448"/>
    <w:rsid w:val="00E93BEE"/>
    <w:rsid w:val="00ED3B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E6"/>
    <w:pPr>
      <w:ind w:left="720"/>
      <w:contextualSpacing/>
    </w:pPr>
  </w:style>
  <w:style w:type="table" w:styleId="TableGrid">
    <w:name w:val="Table Grid"/>
    <w:basedOn w:val="TableNormal"/>
    <w:uiPriority w:val="59"/>
    <w:rsid w:val="00687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E6"/>
    <w:rPr>
      <w:rFonts w:ascii="Tahoma" w:hAnsi="Tahoma" w:cs="Tahoma"/>
      <w:sz w:val="16"/>
      <w:szCs w:val="16"/>
    </w:rPr>
  </w:style>
  <w:style w:type="paragraph" w:styleId="Header">
    <w:name w:val="header"/>
    <w:basedOn w:val="Normal"/>
    <w:link w:val="HeaderChar"/>
    <w:uiPriority w:val="99"/>
    <w:unhideWhenUsed/>
    <w:rsid w:val="00CF1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0C0"/>
  </w:style>
  <w:style w:type="paragraph" w:styleId="Footer">
    <w:name w:val="footer"/>
    <w:basedOn w:val="Normal"/>
    <w:link w:val="FooterChar"/>
    <w:unhideWhenUsed/>
    <w:rsid w:val="00CF1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E6"/>
    <w:pPr>
      <w:ind w:left="720"/>
      <w:contextualSpacing/>
    </w:pPr>
  </w:style>
  <w:style w:type="table" w:styleId="TableGrid">
    <w:name w:val="Table Grid"/>
    <w:basedOn w:val="TableNormal"/>
    <w:uiPriority w:val="59"/>
    <w:rsid w:val="00687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E6"/>
    <w:rPr>
      <w:rFonts w:ascii="Tahoma" w:hAnsi="Tahoma" w:cs="Tahoma"/>
      <w:sz w:val="16"/>
      <w:szCs w:val="16"/>
    </w:rPr>
  </w:style>
  <w:style w:type="paragraph" w:styleId="Header">
    <w:name w:val="header"/>
    <w:basedOn w:val="Normal"/>
    <w:link w:val="HeaderChar"/>
    <w:uiPriority w:val="99"/>
    <w:unhideWhenUsed/>
    <w:rsid w:val="00CF1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0C0"/>
  </w:style>
  <w:style w:type="paragraph" w:styleId="Footer">
    <w:name w:val="footer"/>
    <w:basedOn w:val="Normal"/>
    <w:link w:val="FooterChar"/>
    <w:unhideWhenUsed/>
    <w:rsid w:val="00CF1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DE79C-AE57-4AE1-857F-5F4872F9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Zhang</dc:creator>
  <cp:lastModifiedBy>Caroline Haig</cp:lastModifiedBy>
  <cp:revision>8</cp:revision>
  <cp:lastPrinted>2016-02-16T13:24:00Z</cp:lastPrinted>
  <dcterms:created xsi:type="dcterms:W3CDTF">2016-02-16T10:12:00Z</dcterms:created>
  <dcterms:modified xsi:type="dcterms:W3CDTF">2016-02-16T13:31:00Z</dcterms:modified>
</cp:coreProperties>
</file>