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diversity</w:t>
      </w:r>
      <w:r>
        <w:t xml:space="preserve"> </w:t>
      </w:r>
      <w:r>
        <w:t xml:space="preserve">means</w:t>
      </w:r>
      <w:r>
        <w:t xml:space="preserve"> </w:t>
      </w:r>
      <w:r>
        <w:t xml:space="preserve">and</w:t>
      </w:r>
      <w:r>
        <w:t xml:space="preserve"> </w:t>
      </w:r>
      <w:r>
        <w:t xml:space="preserve">sds</w:t>
      </w:r>
    </w:p>
    <w:p>
      <w:pPr>
        <w:pStyle w:val="Authors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Tuesday,</w:t>
      </w:r>
      <w:r>
        <w:t xml:space="preserve"> </w:t>
      </w:r>
      <w:r>
        <w:t xml:space="preserve">March</w:t>
      </w:r>
      <w:r>
        <w:t xml:space="preserve"> </w:t>
      </w:r>
      <w:r>
        <w:t xml:space="preserve">10,</w:t>
      </w:r>
      <w:r>
        <w:t xml:space="preserve"> </w:t>
      </w:r>
      <w:r>
        <w:t xml:space="preserve">2015</w:t>
      </w:r>
    </w:p>
    <w:bookmarkStart w:id="21" w:name="request-from-ade"/>
    <w:p>
      <w:pPr>
        <w:pStyle w:val="Heading1"/>
      </w:pPr>
      <w:r>
        <w:t xml:space="preserve">Request from Ade</w:t>
      </w:r>
    </w:p>
    <w:bookmarkEnd w:id="21"/>
    <w:p>
      <w:r>
        <w:t xml:space="preserve">Jon,</w:t>
      </w:r>
    </w:p>
    <w:p>
      <w:r>
        <w:t xml:space="preserve">Meantime, do you think you could also produce a table showing the average (mean) values and s.d.s for the diversity scores on each dimension, for all datazones in Greater Glasgow and then also separately by SIMD 2012 quintile?</w:t>
      </w:r>
    </w:p>
    <w:p>
      <w:r>
        <w:t xml:space="preserve">Yours, Ade</w:t>
      </w:r>
    </w:p>
    <w:bookmarkStart w:id="22" w:name="mean-and-sds-for-diversity-scores"/>
    <w:p>
      <w:pPr>
        <w:pStyle w:val="Heading1"/>
      </w:pPr>
      <w:r>
        <w:t xml:space="preserve">Mean and SDs for diversity scores</w:t>
      </w:r>
    </w:p>
    <w:bookmarkEnd w:id="22"/>
    <w:bookmarkStart w:id="23" w:name="mean-and-sd-of-raw-results"/>
    <w:p>
      <w:pPr>
        <w:pStyle w:val="Heading2"/>
      </w:pPr>
      <w:r>
        <w:t xml:space="preserve">Mean and SD of raw results</w:t>
      </w:r>
    </w:p>
    <w:bookmarkEnd w:id="23"/>
    <w:p>
      <w:r>
        <w:t xml:space="preserve">Here are the mean and SDs of the diversity scores themselves. Such numbers are probably not too meaningful to compare as the scales are different.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demographic</w:t>
            </w:r>
          </w:p>
        </w:tc>
        <w:tc>
          <w:p>
            <w:pPr>
              <w:pStyle w:val="Compact"/>
              <w:jc w:val="right"/>
            </w:pPr>
            <w:r>
              <w:t xml:space="preserve">2.385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dwelling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ethnic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socioeconomic</w:t>
            </w:r>
          </w:p>
        </w:tc>
        <w:tc>
          <w:p>
            <w:pPr>
              <w:pStyle w:val="Compact"/>
              <w:jc w:val="right"/>
            </w:pPr>
            <w:r>
              <w:t xml:space="preserve">1.507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tenure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council tax band</w:t>
            </w:r>
          </w:p>
        </w:tc>
        <w:tc>
          <w:p>
            <w:pPr>
              <w:pStyle w:val="Compact"/>
              <w:jc w:val="right"/>
            </w:pPr>
            <w:r>
              <w:t xml:space="preserve">1.161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</w:tr>
    </w:tbl>
    <w:bookmarkStart w:id="24" w:name="results-by-simd-quintile"/>
    <w:p>
      <w:pPr>
        <w:pStyle w:val="Heading2"/>
      </w:pPr>
      <w:r>
        <w:t xml:space="preserve">Results by SIMD quintile</w:t>
      </w:r>
    </w:p>
    <w:bookmarkEnd w:id="24"/>
    <w:p>
      <w:r>
        <w:t xml:space="preserve">Here are the diversity scores by SIMD quintile. The first plot presents the 'raw' results. In the second plot all values are presented as percentiles (i.e. scaled onto the 0-1 range).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de_summary_stats_files/figure-docx/table_quintil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f1c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means and sds</dc:title>
  <dc:creator>Jon Minton</dc:creator>
</cp:coreProperties>
</file>