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7B" w:rsidRDefault="00AC7757" w:rsidP="0039604D">
      <w:pPr>
        <w:pStyle w:val="Title"/>
      </w:pPr>
      <w:proofErr w:type="spellStart"/>
      <w:r>
        <w:t>GoWell</w:t>
      </w:r>
      <w:proofErr w:type="spellEnd"/>
      <w:r>
        <w:t xml:space="preserve"> Diversity</w:t>
      </w:r>
    </w:p>
    <w:p w:rsidR="00AC7757" w:rsidRDefault="00AC7757"/>
    <w:p w:rsidR="00AC7757" w:rsidRDefault="00AC7757" w:rsidP="0039604D">
      <w:pPr>
        <w:pStyle w:val="Heading1"/>
      </w:pPr>
      <w:r>
        <w:t xml:space="preserve">How was Greater Glasgow defined? </w:t>
      </w:r>
    </w:p>
    <w:p w:rsidR="00AC7757" w:rsidRDefault="0039604D" w:rsidP="0039604D">
      <w:r>
        <w:t xml:space="preserve">Greater Glasgow was defined based on </w:t>
      </w:r>
      <w:r w:rsidR="00AC7757">
        <w:t>NHS Community Health Care Partnerships (CHCPs).</w:t>
      </w:r>
      <w:r>
        <w:t xml:space="preserve"> Table XX shows which CHCPs were included in this definition, along with the number of </w:t>
      </w:r>
      <w:proofErr w:type="spellStart"/>
      <w:r>
        <w:t>datazones</w:t>
      </w:r>
      <w:proofErr w:type="spellEnd"/>
      <w:r>
        <w:t xml:space="preserve"> (based on 2001 census output areas) included in each CHCP:</w:t>
      </w:r>
    </w:p>
    <w:tbl>
      <w:tblPr>
        <w:tblStyle w:val="TableGrid"/>
        <w:tblW w:w="0" w:type="auto"/>
        <w:tblInd w:w="720" w:type="dxa"/>
        <w:tblLook w:val="04A0"/>
      </w:tblPr>
      <w:tblGrid>
        <w:gridCol w:w="2932"/>
        <w:gridCol w:w="2410"/>
      </w:tblGrid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pPr>
              <w:rPr>
                <w:b/>
              </w:rPr>
            </w:pPr>
            <w:r w:rsidRPr="00FE22C6">
              <w:rPr>
                <w:b/>
              </w:rPr>
              <w:t>CHCP Name</w:t>
            </w:r>
          </w:p>
        </w:tc>
        <w:tc>
          <w:tcPr>
            <w:tcW w:w="2410" w:type="dxa"/>
          </w:tcPr>
          <w:p w:rsidR="00237A96" w:rsidRPr="00FE22C6" w:rsidRDefault="00237A96" w:rsidP="00FE22C6">
            <w:pPr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39604D">
              <w:rPr>
                <w:b/>
              </w:rPr>
              <w:t xml:space="preserve">2001 </w:t>
            </w:r>
            <w:proofErr w:type="spellStart"/>
            <w:r>
              <w:rPr>
                <w:b/>
              </w:rPr>
              <w:t>datazones</w:t>
            </w:r>
            <w:proofErr w:type="spellEnd"/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East Dunbartonshire</w:t>
            </w:r>
          </w:p>
        </w:tc>
        <w:tc>
          <w:tcPr>
            <w:tcW w:w="2410" w:type="dxa"/>
          </w:tcPr>
          <w:p w:rsidR="00237A96" w:rsidRPr="00FE22C6" w:rsidRDefault="00237A96" w:rsidP="00FE22C6">
            <w:r w:rsidRPr="00237A96">
              <w:t>127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East Renfrewshire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120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Glasgow City East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156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Glasgow City North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121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Glasgow City South East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125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Glasgow City South West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133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Glasgow City West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159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>
              <w:t>I</w:t>
            </w:r>
            <w:r w:rsidRPr="00FE22C6">
              <w:t>nverclyde</w:t>
            </w:r>
          </w:p>
        </w:tc>
        <w:tc>
          <w:tcPr>
            <w:tcW w:w="2410" w:type="dxa"/>
          </w:tcPr>
          <w:p w:rsidR="00237A96" w:rsidRDefault="00237A96" w:rsidP="00237A96">
            <w:r w:rsidRPr="00237A96">
              <w:t>110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North Lanarkshire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418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Renfre</w:t>
            </w:r>
            <w:r>
              <w:t>w</w:t>
            </w:r>
            <w:r w:rsidRPr="00FE22C6">
              <w:t>shire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214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 w:rsidRPr="00FE22C6">
              <w:t>West Dunbartonshire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119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FE22C6" w:rsidRDefault="00237A96" w:rsidP="00FE22C6">
            <w:r>
              <w:t>South Lanarkshire</w:t>
            </w:r>
          </w:p>
        </w:tc>
        <w:tc>
          <w:tcPr>
            <w:tcW w:w="2410" w:type="dxa"/>
          </w:tcPr>
          <w:p w:rsidR="00237A96" w:rsidRPr="00FE22C6" w:rsidRDefault="00237A96" w:rsidP="00237A96">
            <w:r w:rsidRPr="00237A96">
              <w:t>398</w:t>
            </w:r>
          </w:p>
        </w:tc>
      </w:tr>
      <w:tr w:rsidR="00237A96" w:rsidRPr="00FE22C6" w:rsidTr="00237A96">
        <w:tc>
          <w:tcPr>
            <w:tcW w:w="2932" w:type="dxa"/>
          </w:tcPr>
          <w:p w:rsidR="00237A96" w:rsidRPr="0039604D" w:rsidRDefault="00237A96" w:rsidP="00FE22C6">
            <w:pPr>
              <w:rPr>
                <w:b/>
              </w:rPr>
            </w:pPr>
            <w:r w:rsidRPr="0039604D">
              <w:rPr>
                <w:b/>
              </w:rPr>
              <w:t>Total</w:t>
            </w:r>
          </w:p>
        </w:tc>
        <w:tc>
          <w:tcPr>
            <w:tcW w:w="2410" w:type="dxa"/>
          </w:tcPr>
          <w:p w:rsidR="00237A96" w:rsidRPr="0039604D" w:rsidRDefault="00237A96" w:rsidP="00237A96">
            <w:pPr>
              <w:rPr>
                <w:b/>
              </w:rPr>
            </w:pPr>
            <w:r w:rsidRPr="0039604D">
              <w:rPr>
                <w:b/>
              </w:rPr>
              <w:t>2200</w:t>
            </w:r>
          </w:p>
        </w:tc>
      </w:tr>
    </w:tbl>
    <w:p w:rsidR="00FE22C6" w:rsidRDefault="00FE22C6"/>
    <w:p w:rsidR="009570A7" w:rsidRDefault="009570A7">
      <w:r>
        <w:t xml:space="preserve">In total there are </w:t>
      </w:r>
      <w:r w:rsidR="0039604D">
        <w:t xml:space="preserve">6505 2001 </w:t>
      </w:r>
      <w:proofErr w:type="spellStart"/>
      <w:r w:rsidR="0039604D">
        <w:t>datazones</w:t>
      </w:r>
      <w:proofErr w:type="spellEnd"/>
      <w:r w:rsidR="0039604D">
        <w:t xml:space="preserve">, meaning Greater Glasgow contains slightly over one third of Scotland’s administrative geography. </w:t>
      </w:r>
    </w:p>
    <w:p w:rsidR="0039604D" w:rsidRDefault="0039604D"/>
    <w:p w:rsidR="00FE22C6" w:rsidRDefault="00FE22C6"/>
    <w:p w:rsidR="00AC7757" w:rsidRDefault="00AC7757"/>
    <w:p w:rsidR="00AC7757" w:rsidRDefault="00AC7757"/>
    <w:sectPr w:rsidR="00AC7757" w:rsidSect="0027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4437F"/>
    <w:multiLevelType w:val="hybridMultilevel"/>
    <w:tmpl w:val="52862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7757"/>
    <w:rsid w:val="00237A96"/>
    <w:rsid w:val="0027527B"/>
    <w:rsid w:val="0039604D"/>
    <w:rsid w:val="009570A7"/>
    <w:rsid w:val="00AC7757"/>
    <w:rsid w:val="00AE5C9C"/>
    <w:rsid w:val="00FE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7B"/>
  </w:style>
  <w:style w:type="paragraph" w:styleId="Heading1">
    <w:name w:val="heading 1"/>
    <w:basedOn w:val="Normal"/>
    <w:next w:val="Normal"/>
    <w:link w:val="Heading1Char"/>
    <w:uiPriority w:val="9"/>
    <w:qFormat/>
    <w:rsid w:val="00396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C6"/>
    <w:pPr>
      <w:ind w:left="720"/>
      <w:contextualSpacing/>
    </w:pPr>
  </w:style>
  <w:style w:type="table" w:styleId="TableGrid">
    <w:name w:val="Table Grid"/>
    <w:basedOn w:val="TableNormal"/>
    <w:uiPriority w:val="59"/>
    <w:rsid w:val="00FE2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6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604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1</cp:revision>
  <dcterms:created xsi:type="dcterms:W3CDTF">2015-09-30T09:18:00Z</dcterms:created>
  <dcterms:modified xsi:type="dcterms:W3CDTF">2015-10-01T18:37:00Z</dcterms:modified>
</cp:coreProperties>
</file>