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901" w:rsidRDefault="003B3901" w:rsidP="005C68A8">
      <w:pPr>
        <w:pStyle w:val="Title"/>
      </w:pPr>
      <w:r>
        <w:t>Assessing diversity, change in divers</w:t>
      </w:r>
      <w:r w:rsidR="0033397B">
        <w:t>ity, and the role of tenure mix</w:t>
      </w:r>
      <w:r>
        <w:t xml:space="preserve"> in Greater Glasgow from 2001 to 201</w:t>
      </w:r>
      <w:r w:rsidR="0033397B">
        <w:t>1</w:t>
      </w:r>
    </w:p>
    <w:p w:rsidR="003B3901" w:rsidRDefault="003B3901" w:rsidP="005C68A8">
      <w:pPr>
        <w:jc w:val="right"/>
      </w:pPr>
      <w:r>
        <w:t>Dr Jon Minton</w:t>
      </w:r>
    </w:p>
    <w:p w:rsidR="005C68A8" w:rsidRDefault="005C68A8" w:rsidP="005C68A8">
      <w:pPr>
        <w:jc w:val="right"/>
      </w:pPr>
      <w:r>
        <w:t>28 May 2015</w:t>
      </w:r>
    </w:p>
    <w:p w:rsidR="003B3901" w:rsidRDefault="003B3901"/>
    <w:p w:rsidR="003B3901" w:rsidRDefault="003B3901" w:rsidP="0033397B">
      <w:pPr>
        <w:pStyle w:val="Heading1"/>
      </w:pPr>
      <w:r>
        <w:t>Introduction</w:t>
      </w:r>
    </w:p>
    <w:p w:rsidR="003B3901" w:rsidRDefault="003B3901">
      <w:r>
        <w:t xml:space="preserve">An important question for urban planners is whether changing the mix and diversity of </w:t>
      </w:r>
      <w:r w:rsidR="0033397B">
        <w:t xml:space="preserve">places </w:t>
      </w:r>
      <w:r>
        <w:t xml:space="preserve">leads to positive social and health outcomes, such as greater levels of community and public engagement, better employment outcomes, lower crime rates, better education prospects, and better health. The opposite of diversity is segregation, and so asking about diversity in a city is also about asking about segregation within a city. Just as urban segregation can be measured in many ways, and with regard to many different types of variable, so can urban diversity. </w:t>
      </w:r>
    </w:p>
    <w:p w:rsidR="003B3901" w:rsidRDefault="003B3901">
      <w:r>
        <w:t xml:space="preserve">The aim of the research presented below </w:t>
      </w:r>
      <w:r w:rsidR="0033397B">
        <w:t xml:space="preserve">is </w:t>
      </w:r>
      <w:r>
        <w:t xml:space="preserve">to try to </w:t>
      </w:r>
      <w:r w:rsidR="0033397B">
        <w:t>explore the relationships between different types of diversity</w:t>
      </w:r>
      <w:r>
        <w:t xml:space="preserve">. Although they cannot be measured directly, are there a small number of fundamental dimensions of diversity, underlying factors </w:t>
      </w:r>
      <w:r w:rsidR="00F10BCB">
        <w:t xml:space="preserve">which mean that certain forms of urban diversity all tend to be co-located and clustered in both physical and statistical space? Is there, ultimately, a single underlying factor, perhaps something intrinsic to a city or region, that makes it more or less diverse compared with other cities or regions. Or, are there two or more </w:t>
      </w:r>
      <w:r w:rsidR="0033397B">
        <w:t>underlying dimensions</w:t>
      </w:r>
      <w:r w:rsidR="00F10BCB">
        <w:t xml:space="preserve">, meaning that diversity is fundamentally more than a single one urban process or pattern, and so cannot be meaningfully understood by reducing it to a single value? </w:t>
      </w:r>
    </w:p>
    <w:p w:rsidR="00D76390" w:rsidRDefault="00F10BCB">
      <w:r>
        <w:t>A particular issue for urban planning is whether changes made to any particular form of diversity could lead to changes in some other forms of diversity. Could shiftin</w:t>
      </w:r>
      <w:r w:rsidR="00D76390">
        <w:t xml:space="preserve">g a diversity item, consistently found to be linked to other diversity items through a latent factor, lead to these other items shifting accordingly? Or, could </w:t>
      </w:r>
      <w:proofErr w:type="gramStart"/>
      <w:r w:rsidR="00D76390">
        <w:t>adjusting</w:t>
      </w:r>
      <w:proofErr w:type="gramEnd"/>
      <w:r w:rsidR="00D76390">
        <w:t xml:space="preserve"> a single diversity item lead to it becoming </w:t>
      </w:r>
      <w:proofErr w:type="spellStart"/>
      <w:r w:rsidR="00D76390">
        <w:t>untethered</w:t>
      </w:r>
      <w:proofErr w:type="spellEnd"/>
      <w:r w:rsidR="00D76390">
        <w:t xml:space="preserve"> from the other items that it has historically been associated with? </w:t>
      </w:r>
    </w:p>
    <w:p w:rsidR="00E157E3" w:rsidRDefault="00D76390">
      <w:pPr>
        <w:sectPr w:rsidR="00E157E3" w:rsidSect="0033397B">
          <w:footerReference w:type="default" r:id="rId6"/>
          <w:pgSz w:w="11906" w:h="16838"/>
          <w:pgMar w:top="1440" w:right="1440" w:bottom="1440" w:left="1440" w:header="708" w:footer="708" w:gutter="0"/>
          <w:cols w:space="708"/>
          <w:docGrid w:linePitch="360"/>
        </w:sectPr>
      </w:pPr>
      <w:r>
        <w:t xml:space="preserve">This research is focused, specifically, on understanding whether changing the diversity of tenure of households living in different parts of Greater Glasgow could be expected to lead to particular patterns of change to other forms of measurable diversity. </w:t>
      </w:r>
      <w:r w:rsidR="0033397B">
        <w:t>In order to do this, different areas within Greater Glasgow were measured according to a range of different types of mix, relating to building use, demog</w:t>
      </w:r>
      <w:r w:rsidR="0062007B">
        <w:t>raphy, occupation and land use, both around the 2001 and 2011 census. In total, 14 different types of mix were looked at, three relating to building type, four relating to demography, four relating to occupation and employment, and two relating to land use.  A full list is shown in table X below.</w:t>
      </w:r>
      <w:r w:rsidR="00387F04">
        <w:t xml:space="preserve"> The number of mutually exclusive groups is shown on the column named ‘groupings’. </w:t>
      </w:r>
      <w:r w:rsidR="002B606D">
        <w:t>For most mix types the 2001 and 2011 censuses were used; other sources of data included the postcode address file and the SNS website.</w:t>
      </w:r>
    </w:p>
    <w:p w:rsidR="0020207E" w:rsidRDefault="0020207E"/>
    <w:tbl>
      <w:tblPr>
        <w:tblStyle w:val="TableGrid"/>
        <w:tblW w:w="0" w:type="auto"/>
        <w:tblLook w:val="04A0"/>
      </w:tblPr>
      <w:tblGrid>
        <w:gridCol w:w="1999"/>
        <w:gridCol w:w="2143"/>
        <w:gridCol w:w="910"/>
        <w:gridCol w:w="985"/>
        <w:gridCol w:w="4108"/>
        <w:gridCol w:w="4029"/>
      </w:tblGrid>
      <w:tr w:rsidR="00E157E3" w:rsidTr="00387F04">
        <w:trPr>
          <w:tblHeader/>
        </w:trPr>
        <w:tc>
          <w:tcPr>
            <w:tcW w:w="1999" w:type="dxa"/>
          </w:tcPr>
          <w:p w:rsidR="00E157E3" w:rsidRPr="000A62AB" w:rsidRDefault="00E157E3">
            <w:pPr>
              <w:rPr>
                <w:b/>
              </w:rPr>
            </w:pPr>
            <w:r w:rsidRPr="000A62AB">
              <w:rPr>
                <w:b/>
              </w:rPr>
              <w:t>Outer Group</w:t>
            </w:r>
          </w:p>
        </w:tc>
        <w:tc>
          <w:tcPr>
            <w:tcW w:w="2143" w:type="dxa"/>
          </w:tcPr>
          <w:p w:rsidR="00E157E3" w:rsidRPr="000A62AB" w:rsidRDefault="00E157E3">
            <w:pPr>
              <w:rPr>
                <w:b/>
              </w:rPr>
            </w:pPr>
            <w:r w:rsidRPr="000A62AB">
              <w:rPr>
                <w:b/>
              </w:rPr>
              <w:t>Mix Type</w:t>
            </w:r>
          </w:p>
        </w:tc>
        <w:tc>
          <w:tcPr>
            <w:tcW w:w="910" w:type="dxa"/>
          </w:tcPr>
          <w:p w:rsidR="00E157E3" w:rsidRPr="000A62AB" w:rsidRDefault="00E157E3">
            <w:pPr>
              <w:rPr>
                <w:b/>
              </w:rPr>
            </w:pPr>
            <w:r w:rsidRPr="000A62AB">
              <w:rPr>
                <w:b/>
              </w:rPr>
              <w:t>2001</w:t>
            </w:r>
          </w:p>
        </w:tc>
        <w:tc>
          <w:tcPr>
            <w:tcW w:w="985" w:type="dxa"/>
          </w:tcPr>
          <w:p w:rsidR="00E157E3" w:rsidRPr="000A62AB" w:rsidRDefault="00E157E3">
            <w:pPr>
              <w:rPr>
                <w:b/>
              </w:rPr>
            </w:pPr>
            <w:r w:rsidRPr="000A62AB">
              <w:rPr>
                <w:b/>
              </w:rPr>
              <w:t>2011</w:t>
            </w:r>
          </w:p>
        </w:tc>
        <w:tc>
          <w:tcPr>
            <w:tcW w:w="4108" w:type="dxa"/>
          </w:tcPr>
          <w:p w:rsidR="00E157E3" w:rsidRPr="000A62AB" w:rsidRDefault="00E157E3">
            <w:pPr>
              <w:rPr>
                <w:b/>
              </w:rPr>
            </w:pPr>
            <w:r w:rsidRPr="000A62AB">
              <w:rPr>
                <w:b/>
              </w:rPr>
              <w:t>File</w:t>
            </w:r>
          </w:p>
        </w:tc>
        <w:tc>
          <w:tcPr>
            <w:tcW w:w="4029" w:type="dxa"/>
          </w:tcPr>
          <w:p w:rsidR="00E157E3" w:rsidRPr="000A62AB" w:rsidRDefault="00E157E3">
            <w:pPr>
              <w:rPr>
                <w:b/>
              </w:rPr>
            </w:pPr>
            <w:r>
              <w:rPr>
                <w:b/>
              </w:rPr>
              <w:t>Groupings</w:t>
            </w:r>
          </w:p>
        </w:tc>
      </w:tr>
      <w:tr w:rsidR="00E157E3" w:rsidTr="00387F04">
        <w:trPr>
          <w:tblHeader/>
        </w:trPr>
        <w:tc>
          <w:tcPr>
            <w:tcW w:w="1999" w:type="dxa"/>
          </w:tcPr>
          <w:p w:rsidR="00E157E3" w:rsidRDefault="00E157E3">
            <w:r>
              <w:t>Primary</w:t>
            </w:r>
          </w:p>
        </w:tc>
        <w:tc>
          <w:tcPr>
            <w:tcW w:w="2143" w:type="dxa"/>
          </w:tcPr>
          <w:p w:rsidR="00E157E3" w:rsidRDefault="00E157E3">
            <w:r>
              <w:t>Tenure Mix</w:t>
            </w:r>
          </w:p>
        </w:tc>
        <w:tc>
          <w:tcPr>
            <w:tcW w:w="910" w:type="dxa"/>
          </w:tcPr>
          <w:p w:rsidR="00E157E3" w:rsidRDefault="00E157E3">
            <w:r>
              <w:t>YES</w:t>
            </w:r>
          </w:p>
        </w:tc>
        <w:tc>
          <w:tcPr>
            <w:tcW w:w="985" w:type="dxa"/>
          </w:tcPr>
          <w:p w:rsidR="00E157E3" w:rsidRDefault="00E157E3">
            <w:r>
              <w:t>YES</w:t>
            </w:r>
          </w:p>
        </w:tc>
        <w:tc>
          <w:tcPr>
            <w:tcW w:w="4108" w:type="dxa"/>
          </w:tcPr>
          <w:p w:rsidR="00E157E3" w:rsidRDefault="00E157E3">
            <w:r>
              <w:t>data/derived/tenure_by_dz.csv</w:t>
            </w:r>
          </w:p>
        </w:tc>
        <w:tc>
          <w:tcPr>
            <w:tcW w:w="4029" w:type="dxa"/>
          </w:tcPr>
          <w:p w:rsidR="00E157E3" w:rsidRDefault="00E157E3">
            <w:r>
              <w:t>Social; rented; owned</w:t>
            </w:r>
          </w:p>
        </w:tc>
      </w:tr>
      <w:tr w:rsidR="00E157E3" w:rsidTr="00387F04">
        <w:trPr>
          <w:tblHeader/>
        </w:trPr>
        <w:tc>
          <w:tcPr>
            <w:tcW w:w="1999" w:type="dxa"/>
          </w:tcPr>
          <w:p w:rsidR="00E157E3" w:rsidRDefault="00E157E3">
            <w:r>
              <w:t>Building Type</w:t>
            </w:r>
          </w:p>
        </w:tc>
        <w:tc>
          <w:tcPr>
            <w:tcW w:w="2143" w:type="dxa"/>
          </w:tcPr>
          <w:p w:rsidR="00E157E3" w:rsidRDefault="00E157E3">
            <w:r>
              <w:t>Council Tax Band</w:t>
            </w:r>
          </w:p>
        </w:tc>
        <w:tc>
          <w:tcPr>
            <w:tcW w:w="910" w:type="dxa"/>
          </w:tcPr>
          <w:p w:rsidR="00E157E3" w:rsidRDefault="00E157E3">
            <w:r>
              <w:t>YES</w:t>
            </w:r>
            <w:r>
              <w:rPr>
                <w:rStyle w:val="FootnoteReference"/>
              </w:rPr>
              <w:footnoteReference w:id="1"/>
            </w:r>
          </w:p>
        </w:tc>
        <w:tc>
          <w:tcPr>
            <w:tcW w:w="985" w:type="dxa"/>
          </w:tcPr>
          <w:p w:rsidR="00E157E3" w:rsidRDefault="00E157E3">
            <w:r>
              <w:t>YES</w:t>
            </w:r>
          </w:p>
        </w:tc>
        <w:tc>
          <w:tcPr>
            <w:tcW w:w="4108" w:type="dxa"/>
          </w:tcPr>
          <w:p w:rsidR="00E157E3" w:rsidRDefault="00E157E3">
            <w:r>
              <w:t>Data/derived/dwellings_by_band.csv</w:t>
            </w:r>
          </w:p>
        </w:tc>
        <w:tc>
          <w:tcPr>
            <w:tcW w:w="4029" w:type="dxa"/>
          </w:tcPr>
          <w:p w:rsidR="00E157E3" w:rsidRDefault="00E157E3">
            <w:r>
              <w:t>Each band from A to H</w:t>
            </w:r>
          </w:p>
        </w:tc>
      </w:tr>
      <w:tr w:rsidR="00E157E3" w:rsidTr="00387F04">
        <w:trPr>
          <w:tblHeader/>
        </w:trPr>
        <w:tc>
          <w:tcPr>
            <w:tcW w:w="1999" w:type="dxa"/>
          </w:tcPr>
          <w:p w:rsidR="00E157E3" w:rsidRDefault="00E157E3"/>
        </w:tc>
        <w:tc>
          <w:tcPr>
            <w:tcW w:w="2143" w:type="dxa"/>
          </w:tcPr>
          <w:p w:rsidR="00E157E3" w:rsidRDefault="00E157E3">
            <w:r>
              <w:t>Number of Rooms</w:t>
            </w:r>
          </w:p>
        </w:tc>
        <w:tc>
          <w:tcPr>
            <w:tcW w:w="910" w:type="dxa"/>
          </w:tcPr>
          <w:p w:rsidR="00E157E3" w:rsidRDefault="00E157E3">
            <w:r>
              <w:t>YES</w:t>
            </w:r>
            <w:r>
              <w:rPr>
                <w:rStyle w:val="FootnoteReference"/>
              </w:rPr>
              <w:footnoteReference w:id="2"/>
            </w:r>
          </w:p>
        </w:tc>
        <w:tc>
          <w:tcPr>
            <w:tcW w:w="985" w:type="dxa"/>
          </w:tcPr>
          <w:p w:rsidR="00E157E3" w:rsidRDefault="00E157E3">
            <w:r>
              <w:t>YES</w:t>
            </w:r>
          </w:p>
        </w:tc>
        <w:tc>
          <w:tcPr>
            <w:tcW w:w="4108" w:type="dxa"/>
          </w:tcPr>
          <w:p w:rsidR="00E157E3" w:rsidRDefault="00E157E3">
            <w:r>
              <w:t>Data/derived/dwellings_by_size.csv</w:t>
            </w:r>
          </w:p>
        </w:tc>
        <w:tc>
          <w:tcPr>
            <w:tcW w:w="4029" w:type="dxa"/>
          </w:tcPr>
          <w:p w:rsidR="00E157E3" w:rsidRDefault="00E157E3">
            <w:r>
              <w:t>1 room; 2 rooms etc; up to 10 or more rooms</w:t>
            </w:r>
          </w:p>
        </w:tc>
      </w:tr>
      <w:tr w:rsidR="00E157E3" w:rsidTr="00387F04">
        <w:trPr>
          <w:tblHeader/>
        </w:trPr>
        <w:tc>
          <w:tcPr>
            <w:tcW w:w="1999" w:type="dxa"/>
          </w:tcPr>
          <w:p w:rsidR="00E157E3" w:rsidRDefault="00E157E3"/>
        </w:tc>
        <w:tc>
          <w:tcPr>
            <w:tcW w:w="2143" w:type="dxa"/>
          </w:tcPr>
          <w:p w:rsidR="00E157E3" w:rsidRDefault="00E157E3">
            <w:r>
              <w:t>Dwelling Type</w:t>
            </w:r>
          </w:p>
        </w:tc>
        <w:tc>
          <w:tcPr>
            <w:tcW w:w="910" w:type="dxa"/>
          </w:tcPr>
          <w:p w:rsidR="00E157E3" w:rsidRDefault="00E157E3">
            <w:r>
              <w:t>YES</w:t>
            </w:r>
            <w:r>
              <w:rPr>
                <w:rStyle w:val="FootnoteReference"/>
              </w:rPr>
              <w:footnoteReference w:id="3"/>
            </w:r>
          </w:p>
        </w:tc>
        <w:tc>
          <w:tcPr>
            <w:tcW w:w="985" w:type="dxa"/>
          </w:tcPr>
          <w:p w:rsidR="00E157E3" w:rsidRDefault="00E157E3">
            <w:r>
              <w:t>YES</w:t>
            </w:r>
          </w:p>
        </w:tc>
        <w:tc>
          <w:tcPr>
            <w:tcW w:w="4108" w:type="dxa"/>
          </w:tcPr>
          <w:p w:rsidR="00E157E3" w:rsidRDefault="00E157E3">
            <w:r>
              <w:t>Data/derived/dwellings_by_type.csv</w:t>
            </w:r>
          </w:p>
        </w:tc>
        <w:tc>
          <w:tcPr>
            <w:tcW w:w="4029" w:type="dxa"/>
          </w:tcPr>
          <w:p w:rsidR="00E157E3" w:rsidRDefault="00E157E3">
            <w:r>
              <w:t>Flats; terraced properties; semi-detached properties; detached properties</w:t>
            </w:r>
          </w:p>
        </w:tc>
      </w:tr>
      <w:tr w:rsidR="00E157E3" w:rsidTr="00387F04">
        <w:trPr>
          <w:tblHeader/>
        </w:trPr>
        <w:tc>
          <w:tcPr>
            <w:tcW w:w="1999" w:type="dxa"/>
          </w:tcPr>
          <w:p w:rsidR="00E157E3" w:rsidRDefault="00E157E3">
            <w:r>
              <w:t>Demographic</w:t>
            </w:r>
          </w:p>
        </w:tc>
        <w:tc>
          <w:tcPr>
            <w:tcW w:w="2143" w:type="dxa"/>
          </w:tcPr>
          <w:p w:rsidR="00E157E3" w:rsidRDefault="00E157E3">
            <w:r>
              <w:t>Age and Sex</w:t>
            </w:r>
          </w:p>
        </w:tc>
        <w:tc>
          <w:tcPr>
            <w:tcW w:w="910" w:type="dxa"/>
          </w:tcPr>
          <w:p w:rsidR="00E157E3" w:rsidRDefault="00E157E3">
            <w:r>
              <w:t>YES</w:t>
            </w:r>
          </w:p>
        </w:tc>
        <w:tc>
          <w:tcPr>
            <w:tcW w:w="985" w:type="dxa"/>
          </w:tcPr>
          <w:p w:rsidR="00E157E3" w:rsidRDefault="00E157E3">
            <w:r>
              <w:t>YES</w:t>
            </w:r>
          </w:p>
        </w:tc>
        <w:tc>
          <w:tcPr>
            <w:tcW w:w="4108" w:type="dxa"/>
          </w:tcPr>
          <w:p w:rsidR="00E157E3" w:rsidRDefault="00E157E3">
            <w:r>
              <w:t>data/derived/demographic_groupings.csv</w:t>
            </w:r>
          </w:p>
        </w:tc>
        <w:tc>
          <w:tcPr>
            <w:tcW w:w="4029" w:type="dxa"/>
          </w:tcPr>
          <w:p w:rsidR="00E157E3" w:rsidRDefault="00E157E3" w:rsidP="00E157E3">
            <w:r>
              <w:t>Females and males, age ranges 0-15, 16-24, 25-39, 40-54, 55-64, 65-79, 80 and above (i.e. 14 mutually exclusive categories)</w:t>
            </w:r>
          </w:p>
          <w:p w:rsidR="00E157E3" w:rsidRDefault="00E157E3">
            <w:r>
              <w:t xml:space="preserve"> </w:t>
            </w:r>
          </w:p>
        </w:tc>
      </w:tr>
      <w:tr w:rsidR="00E157E3" w:rsidTr="00387F04">
        <w:trPr>
          <w:tblHeader/>
        </w:trPr>
        <w:tc>
          <w:tcPr>
            <w:tcW w:w="1999" w:type="dxa"/>
          </w:tcPr>
          <w:p w:rsidR="00E157E3" w:rsidRDefault="00E157E3"/>
        </w:tc>
        <w:tc>
          <w:tcPr>
            <w:tcW w:w="2143" w:type="dxa"/>
          </w:tcPr>
          <w:p w:rsidR="00E157E3" w:rsidRDefault="00E157E3">
            <w:r>
              <w:t>Ethnicity</w:t>
            </w:r>
          </w:p>
        </w:tc>
        <w:tc>
          <w:tcPr>
            <w:tcW w:w="910" w:type="dxa"/>
          </w:tcPr>
          <w:p w:rsidR="00E157E3" w:rsidRDefault="00E157E3">
            <w:r>
              <w:t>YES</w:t>
            </w:r>
          </w:p>
        </w:tc>
        <w:tc>
          <w:tcPr>
            <w:tcW w:w="985" w:type="dxa"/>
          </w:tcPr>
          <w:p w:rsidR="00E157E3" w:rsidRDefault="00E157E3">
            <w:r>
              <w:t>YES</w:t>
            </w:r>
          </w:p>
        </w:tc>
        <w:tc>
          <w:tcPr>
            <w:tcW w:w="4108" w:type="dxa"/>
          </w:tcPr>
          <w:p w:rsidR="00E157E3" w:rsidRDefault="00E157E3">
            <w:r>
              <w:t>Data/derived/ethnicity.csv</w:t>
            </w:r>
          </w:p>
        </w:tc>
        <w:tc>
          <w:tcPr>
            <w:tcW w:w="4029" w:type="dxa"/>
          </w:tcPr>
          <w:p w:rsidR="00E157E3" w:rsidRDefault="00E157E3" w:rsidP="00E157E3">
            <w:r>
              <w:t>White Scottish; White but not Scottish; Afro-Caribbean or Black; Asian; Mixed, Other</w:t>
            </w:r>
          </w:p>
        </w:tc>
      </w:tr>
      <w:tr w:rsidR="00E157E3" w:rsidTr="00387F04">
        <w:trPr>
          <w:tblHeader/>
        </w:trPr>
        <w:tc>
          <w:tcPr>
            <w:tcW w:w="1999" w:type="dxa"/>
          </w:tcPr>
          <w:p w:rsidR="00E157E3" w:rsidRDefault="00E157E3"/>
        </w:tc>
        <w:tc>
          <w:tcPr>
            <w:tcW w:w="2143" w:type="dxa"/>
          </w:tcPr>
          <w:p w:rsidR="00E157E3" w:rsidRDefault="00E157E3">
            <w:r>
              <w:t>Religion</w:t>
            </w:r>
          </w:p>
        </w:tc>
        <w:tc>
          <w:tcPr>
            <w:tcW w:w="910" w:type="dxa"/>
          </w:tcPr>
          <w:p w:rsidR="00E157E3" w:rsidRDefault="00E157E3">
            <w:r>
              <w:t>YES</w:t>
            </w:r>
          </w:p>
        </w:tc>
        <w:tc>
          <w:tcPr>
            <w:tcW w:w="985" w:type="dxa"/>
          </w:tcPr>
          <w:p w:rsidR="00E157E3" w:rsidRDefault="00E157E3">
            <w:r>
              <w:t>YES</w:t>
            </w:r>
          </w:p>
        </w:tc>
        <w:tc>
          <w:tcPr>
            <w:tcW w:w="4108" w:type="dxa"/>
          </w:tcPr>
          <w:p w:rsidR="00E157E3" w:rsidRDefault="00E157E3">
            <w:r>
              <w:t>Data/derived/rel.csv</w:t>
            </w:r>
          </w:p>
        </w:tc>
        <w:tc>
          <w:tcPr>
            <w:tcW w:w="4029" w:type="dxa"/>
          </w:tcPr>
          <w:p w:rsidR="00E157E3" w:rsidRDefault="00E157E3">
            <w:r>
              <w:t>Church of Scotland; Roman Catholic; Other Christian; None; Other Region; Not Announced</w:t>
            </w:r>
          </w:p>
        </w:tc>
      </w:tr>
      <w:tr w:rsidR="00E157E3" w:rsidTr="00387F04">
        <w:trPr>
          <w:tblHeader/>
        </w:trPr>
        <w:tc>
          <w:tcPr>
            <w:tcW w:w="1999" w:type="dxa"/>
          </w:tcPr>
          <w:p w:rsidR="00E157E3" w:rsidRDefault="00E157E3"/>
        </w:tc>
        <w:tc>
          <w:tcPr>
            <w:tcW w:w="2143" w:type="dxa"/>
          </w:tcPr>
          <w:p w:rsidR="00E157E3" w:rsidRDefault="00E157E3">
            <w:r>
              <w:t>Country of origin</w:t>
            </w:r>
          </w:p>
        </w:tc>
        <w:tc>
          <w:tcPr>
            <w:tcW w:w="910" w:type="dxa"/>
          </w:tcPr>
          <w:p w:rsidR="00E157E3" w:rsidRDefault="00E157E3">
            <w:r>
              <w:t>YES</w:t>
            </w:r>
          </w:p>
        </w:tc>
        <w:tc>
          <w:tcPr>
            <w:tcW w:w="985" w:type="dxa"/>
          </w:tcPr>
          <w:p w:rsidR="00E157E3" w:rsidRDefault="00E157E3">
            <w:r>
              <w:t>YES</w:t>
            </w:r>
          </w:p>
        </w:tc>
        <w:tc>
          <w:tcPr>
            <w:tcW w:w="4108" w:type="dxa"/>
          </w:tcPr>
          <w:p w:rsidR="00E157E3" w:rsidRDefault="00E157E3">
            <w:r>
              <w:t>Data/derived/coo.csv</w:t>
            </w:r>
          </w:p>
        </w:tc>
        <w:tc>
          <w:tcPr>
            <w:tcW w:w="4029" w:type="dxa"/>
          </w:tcPr>
          <w:p w:rsidR="00E157E3" w:rsidRDefault="00387F04">
            <w:r>
              <w:t>Scotland; England; Northern Ireland; Wales; Republic of Ireland; Other EU country; Elsewhere</w:t>
            </w:r>
          </w:p>
        </w:tc>
      </w:tr>
      <w:tr w:rsidR="00E157E3" w:rsidTr="00387F04">
        <w:trPr>
          <w:tblHeader/>
        </w:trPr>
        <w:tc>
          <w:tcPr>
            <w:tcW w:w="1999" w:type="dxa"/>
          </w:tcPr>
          <w:p w:rsidR="00E157E3" w:rsidRDefault="00E157E3">
            <w:r>
              <w:t>Occupation and Employment</w:t>
            </w:r>
          </w:p>
        </w:tc>
        <w:tc>
          <w:tcPr>
            <w:tcW w:w="2143" w:type="dxa"/>
          </w:tcPr>
          <w:p w:rsidR="00E157E3" w:rsidRDefault="00E157E3">
            <w:r>
              <w:t>Highest qualification</w:t>
            </w:r>
          </w:p>
        </w:tc>
        <w:tc>
          <w:tcPr>
            <w:tcW w:w="910" w:type="dxa"/>
          </w:tcPr>
          <w:p w:rsidR="00E157E3" w:rsidRDefault="00E157E3">
            <w:r>
              <w:t>YES</w:t>
            </w:r>
          </w:p>
        </w:tc>
        <w:tc>
          <w:tcPr>
            <w:tcW w:w="985" w:type="dxa"/>
          </w:tcPr>
          <w:p w:rsidR="00E157E3" w:rsidRDefault="00E157E3">
            <w:r>
              <w:t>YES</w:t>
            </w:r>
          </w:p>
        </w:tc>
        <w:tc>
          <w:tcPr>
            <w:tcW w:w="4108" w:type="dxa"/>
          </w:tcPr>
          <w:p w:rsidR="00E157E3" w:rsidRDefault="00E157E3">
            <w:r>
              <w:t>Data/derived/highest_qual.csv</w:t>
            </w:r>
          </w:p>
        </w:tc>
        <w:tc>
          <w:tcPr>
            <w:tcW w:w="4029" w:type="dxa"/>
          </w:tcPr>
          <w:p w:rsidR="00E157E3" w:rsidRDefault="00387F04" w:rsidP="00387F04">
            <w:r>
              <w:t>No qualifications; level 1; level 2; level 3; level 4</w:t>
            </w:r>
          </w:p>
        </w:tc>
      </w:tr>
      <w:tr w:rsidR="00E157E3" w:rsidTr="00387F04">
        <w:trPr>
          <w:tblHeader/>
        </w:trPr>
        <w:tc>
          <w:tcPr>
            <w:tcW w:w="1999" w:type="dxa"/>
          </w:tcPr>
          <w:p w:rsidR="00E157E3" w:rsidRDefault="00E157E3"/>
        </w:tc>
        <w:tc>
          <w:tcPr>
            <w:tcW w:w="2143" w:type="dxa"/>
          </w:tcPr>
          <w:p w:rsidR="00E157E3" w:rsidRDefault="00E157E3">
            <w:r>
              <w:t>Economic Activity</w:t>
            </w:r>
          </w:p>
        </w:tc>
        <w:tc>
          <w:tcPr>
            <w:tcW w:w="910" w:type="dxa"/>
          </w:tcPr>
          <w:p w:rsidR="00E157E3" w:rsidRDefault="00E157E3">
            <w:r>
              <w:t>YES</w:t>
            </w:r>
          </w:p>
        </w:tc>
        <w:tc>
          <w:tcPr>
            <w:tcW w:w="985" w:type="dxa"/>
          </w:tcPr>
          <w:p w:rsidR="00E157E3" w:rsidRDefault="00E157E3">
            <w:r>
              <w:t>YES</w:t>
            </w:r>
          </w:p>
        </w:tc>
        <w:tc>
          <w:tcPr>
            <w:tcW w:w="4108" w:type="dxa"/>
          </w:tcPr>
          <w:p w:rsidR="00E157E3" w:rsidRDefault="00E157E3">
            <w:r>
              <w:t>Data/derived/economic_activity.csv</w:t>
            </w:r>
          </w:p>
        </w:tc>
        <w:tc>
          <w:tcPr>
            <w:tcW w:w="4029" w:type="dxa"/>
          </w:tcPr>
          <w:p w:rsidR="00E157E3" w:rsidRDefault="00387F04">
            <w:r>
              <w:t>Part time employed; full time employed; self employed; unemployed; students; retired; working age and looking after family; working age and sick and disabled</w:t>
            </w:r>
          </w:p>
        </w:tc>
      </w:tr>
      <w:tr w:rsidR="00E157E3" w:rsidTr="00387F04">
        <w:trPr>
          <w:tblHeader/>
        </w:trPr>
        <w:tc>
          <w:tcPr>
            <w:tcW w:w="1999" w:type="dxa"/>
          </w:tcPr>
          <w:p w:rsidR="00E157E3" w:rsidRDefault="00E157E3"/>
        </w:tc>
        <w:tc>
          <w:tcPr>
            <w:tcW w:w="2143" w:type="dxa"/>
          </w:tcPr>
          <w:p w:rsidR="00E157E3" w:rsidRDefault="00E157E3">
            <w:r>
              <w:t>Occupation</w:t>
            </w:r>
          </w:p>
        </w:tc>
        <w:tc>
          <w:tcPr>
            <w:tcW w:w="910" w:type="dxa"/>
          </w:tcPr>
          <w:p w:rsidR="00E157E3" w:rsidRDefault="00E157E3" w:rsidP="00AE445F">
            <w:r>
              <w:t xml:space="preserve">YES </w:t>
            </w:r>
          </w:p>
        </w:tc>
        <w:tc>
          <w:tcPr>
            <w:tcW w:w="985" w:type="dxa"/>
          </w:tcPr>
          <w:p w:rsidR="00E157E3" w:rsidRDefault="00E157E3">
            <w:r>
              <w:t>Yes</w:t>
            </w:r>
          </w:p>
        </w:tc>
        <w:tc>
          <w:tcPr>
            <w:tcW w:w="4108" w:type="dxa"/>
          </w:tcPr>
          <w:p w:rsidR="00E157E3" w:rsidRDefault="00E157E3" w:rsidP="00B03811">
            <w:r>
              <w:t>Data/derived/sec_by_dz.csv</w:t>
            </w:r>
          </w:p>
        </w:tc>
        <w:tc>
          <w:tcPr>
            <w:tcW w:w="4029" w:type="dxa"/>
          </w:tcPr>
          <w:p w:rsidR="00E157E3" w:rsidRDefault="00387F04" w:rsidP="00387F04">
            <w:r>
              <w:t>Class I; Class II; Class III; Class IV; Students; Other</w:t>
            </w:r>
          </w:p>
        </w:tc>
      </w:tr>
      <w:tr w:rsidR="00E157E3" w:rsidTr="00387F04">
        <w:trPr>
          <w:tblHeader/>
        </w:trPr>
        <w:tc>
          <w:tcPr>
            <w:tcW w:w="1999" w:type="dxa"/>
          </w:tcPr>
          <w:p w:rsidR="00E157E3" w:rsidRDefault="00E157E3"/>
        </w:tc>
        <w:tc>
          <w:tcPr>
            <w:tcW w:w="2143" w:type="dxa"/>
          </w:tcPr>
          <w:p w:rsidR="00E157E3" w:rsidRDefault="00E157E3">
            <w:r>
              <w:t>Industry</w:t>
            </w:r>
          </w:p>
        </w:tc>
        <w:tc>
          <w:tcPr>
            <w:tcW w:w="910" w:type="dxa"/>
          </w:tcPr>
          <w:p w:rsidR="00E157E3" w:rsidRDefault="00E157E3">
            <w:r>
              <w:t>YES</w:t>
            </w:r>
          </w:p>
        </w:tc>
        <w:tc>
          <w:tcPr>
            <w:tcW w:w="985" w:type="dxa"/>
          </w:tcPr>
          <w:p w:rsidR="00E157E3" w:rsidRDefault="00E157E3">
            <w:r>
              <w:t>Yes</w:t>
            </w:r>
          </w:p>
        </w:tc>
        <w:tc>
          <w:tcPr>
            <w:tcW w:w="4108" w:type="dxa"/>
          </w:tcPr>
          <w:p w:rsidR="00E157E3" w:rsidRDefault="00E157E3" w:rsidP="00D64639">
            <w:r>
              <w:t>Data/derived/industry.csv</w:t>
            </w:r>
          </w:p>
        </w:tc>
        <w:tc>
          <w:tcPr>
            <w:tcW w:w="4029" w:type="dxa"/>
          </w:tcPr>
          <w:p w:rsidR="00E157E3" w:rsidRDefault="00387F04" w:rsidP="00D64639">
            <w:r>
              <w:t>Mining &amp; quarrying; manufacturing; electricity, gas and water supply; construction; wholesale retail trade repairs; hotels and restaurants; transport, storage and communications; financial intermediaries; real estate; public administration, defence and social security; education; health and social work; fishing and agriculture; other</w:t>
            </w:r>
          </w:p>
        </w:tc>
      </w:tr>
      <w:tr w:rsidR="00E157E3" w:rsidTr="00387F04">
        <w:trPr>
          <w:tblHeader/>
        </w:trPr>
        <w:tc>
          <w:tcPr>
            <w:tcW w:w="1999" w:type="dxa"/>
          </w:tcPr>
          <w:p w:rsidR="00E157E3" w:rsidRDefault="00E157E3">
            <w:r>
              <w:t>Land Use</w:t>
            </w:r>
          </w:p>
        </w:tc>
        <w:tc>
          <w:tcPr>
            <w:tcW w:w="2143" w:type="dxa"/>
          </w:tcPr>
          <w:p w:rsidR="00E157E3" w:rsidRDefault="00E157E3" w:rsidP="004D5B99">
            <w:r>
              <w:t>Vacant/holiday residences</w:t>
            </w:r>
          </w:p>
        </w:tc>
        <w:tc>
          <w:tcPr>
            <w:tcW w:w="910" w:type="dxa"/>
          </w:tcPr>
          <w:p w:rsidR="00E157E3" w:rsidRDefault="00E157E3">
            <w:r>
              <w:t>YES</w:t>
            </w:r>
          </w:p>
        </w:tc>
        <w:tc>
          <w:tcPr>
            <w:tcW w:w="985" w:type="dxa"/>
          </w:tcPr>
          <w:p w:rsidR="00E157E3" w:rsidRDefault="00E157E3">
            <w:r>
              <w:t>YES</w:t>
            </w:r>
          </w:p>
        </w:tc>
        <w:tc>
          <w:tcPr>
            <w:tcW w:w="4108" w:type="dxa"/>
          </w:tcPr>
          <w:p w:rsidR="00E157E3" w:rsidRDefault="00E157E3">
            <w:r>
              <w:t>Data/derived/household_space_use.csv</w:t>
            </w:r>
          </w:p>
        </w:tc>
        <w:tc>
          <w:tcPr>
            <w:tcW w:w="4029" w:type="dxa"/>
          </w:tcPr>
          <w:p w:rsidR="00E157E3" w:rsidRDefault="00387F04">
            <w:r>
              <w:t>Occupied; unoccupied and vacant; unoccupied and a second residence or holiday home</w:t>
            </w:r>
          </w:p>
        </w:tc>
      </w:tr>
      <w:tr w:rsidR="00E157E3" w:rsidTr="00387F04">
        <w:trPr>
          <w:tblHeader/>
        </w:trPr>
        <w:tc>
          <w:tcPr>
            <w:tcW w:w="1999" w:type="dxa"/>
          </w:tcPr>
          <w:p w:rsidR="00E157E3" w:rsidRDefault="00E157E3"/>
        </w:tc>
        <w:tc>
          <w:tcPr>
            <w:tcW w:w="2143" w:type="dxa"/>
          </w:tcPr>
          <w:p w:rsidR="00E157E3" w:rsidRDefault="00E157E3">
            <w:r>
              <w:t>Building use (residential/business)</w:t>
            </w:r>
          </w:p>
        </w:tc>
        <w:tc>
          <w:tcPr>
            <w:tcW w:w="910" w:type="dxa"/>
          </w:tcPr>
          <w:p w:rsidR="00E157E3" w:rsidRDefault="00E157E3">
            <w:r>
              <w:t>YES</w:t>
            </w:r>
          </w:p>
        </w:tc>
        <w:tc>
          <w:tcPr>
            <w:tcW w:w="985" w:type="dxa"/>
          </w:tcPr>
          <w:p w:rsidR="00E157E3" w:rsidRDefault="00E157E3">
            <w:r>
              <w:t>YES</w:t>
            </w:r>
            <w:r>
              <w:rPr>
                <w:rStyle w:val="FootnoteReference"/>
              </w:rPr>
              <w:footnoteReference w:id="4"/>
            </w:r>
          </w:p>
        </w:tc>
        <w:tc>
          <w:tcPr>
            <w:tcW w:w="4108" w:type="dxa"/>
          </w:tcPr>
          <w:p w:rsidR="00E157E3" w:rsidRDefault="00E157E3">
            <w:r>
              <w:t>Data/derived/building_use.csv</w:t>
            </w:r>
          </w:p>
        </w:tc>
        <w:tc>
          <w:tcPr>
            <w:tcW w:w="4029" w:type="dxa"/>
          </w:tcPr>
          <w:p w:rsidR="00E157E3" w:rsidRDefault="00387F04">
            <w:r>
              <w:t>Residential only; business only; mixed business and residential use</w:t>
            </w:r>
          </w:p>
        </w:tc>
      </w:tr>
    </w:tbl>
    <w:p w:rsidR="0020207E" w:rsidRDefault="0020207E"/>
    <w:p w:rsidR="00387F04" w:rsidRDefault="00387F04">
      <w:pPr>
        <w:sectPr w:rsidR="00387F04" w:rsidSect="00E157E3">
          <w:pgSz w:w="16838" w:h="11906" w:orient="landscape"/>
          <w:pgMar w:top="1440" w:right="1440" w:bottom="1440" w:left="1440" w:header="708" w:footer="708" w:gutter="0"/>
          <w:cols w:space="708"/>
          <w:docGrid w:linePitch="360"/>
        </w:sectPr>
      </w:pPr>
    </w:p>
    <w:p w:rsidR="0062007B" w:rsidRDefault="002B606D">
      <w:r>
        <w:lastRenderedPageBreak/>
        <w:t xml:space="preserve">Conceptually, areas are more diverse if there is more similarity in the numbers counted within each of the groupings, and less mixed if more observations are counted within some groups than others. For example, for dwelling type, an area would be more mixed if, out of 60 residences, 20 are flats, 20 are terraced houses, and 20 are semi-detached properties, than if there are 60 flats, no terraced properties, and no semi-detached properties. </w:t>
      </w:r>
    </w:p>
    <w:p w:rsidR="002B606D" w:rsidRDefault="002B606D">
      <w:r>
        <w:t xml:space="preserve">Diversity is measured in two ways, firstly using the entropy index, and secondly using Shannon’s diversity index. </w:t>
      </w:r>
      <w:r w:rsidR="009523DF">
        <w:t xml:space="preserve">The entropy index appeared to produce values that were more consistent over time, and are presented here. </w:t>
      </w:r>
    </w:p>
    <w:p w:rsidR="009523DF" w:rsidRDefault="009523DF" w:rsidP="009523DF">
      <w:pPr>
        <w:pStyle w:val="Heading1"/>
      </w:pPr>
      <w:r>
        <w:t>Results</w:t>
      </w:r>
    </w:p>
    <w:p w:rsidR="00FF76D0" w:rsidRDefault="009523DF" w:rsidP="009523DF">
      <w:r w:rsidRPr="009523DF">
        <w:br/>
      </w:r>
      <w:r>
        <w:t>The first three principal components of the factor analysis on diversity are shown in the figure below, both for years around 2001 (t</w:t>
      </w:r>
      <w:r w:rsidR="00FF76D0">
        <w:t xml:space="preserve">1) and 2011 (t2).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06"/>
        <w:gridCol w:w="2204"/>
        <w:gridCol w:w="2268"/>
      </w:tblGrid>
      <w:tr w:rsidR="005D59CF" w:rsidRPr="005D59CF" w:rsidTr="005D59CF">
        <w:trPr>
          <w:trHeight w:val="300"/>
        </w:trPr>
        <w:tc>
          <w:tcPr>
            <w:tcW w:w="1306" w:type="dxa"/>
            <w:tcBorders>
              <w:bottom w:val="single" w:sz="4" w:space="0" w:color="auto"/>
              <w:right w:val="single" w:sz="4" w:space="0" w:color="auto"/>
            </w:tcBorders>
            <w:noWrap/>
            <w:hideMark/>
          </w:tcPr>
          <w:p w:rsidR="005D59CF" w:rsidRPr="005D59CF" w:rsidRDefault="005D59CF"/>
        </w:tc>
        <w:tc>
          <w:tcPr>
            <w:tcW w:w="2204" w:type="dxa"/>
            <w:tcBorders>
              <w:left w:val="single" w:sz="4" w:space="0" w:color="auto"/>
              <w:bottom w:val="single" w:sz="4" w:space="0" w:color="auto"/>
            </w:tcBorders>
            <w:noWrap/>
            <w:hideMark/>
          </w:tcPr>
          <w:p w:rsidR="005D59CF" w:rsidRPr="005D59CF" w:rsidRDefault="005D59CF">
            <w:r w:rsidRPr="005D59CF">
              <w:t>t1</w:t>
            </w:r>
            <w:r>
              <w:t xml:space="preserve"> mean (SD)</w:t>
            </w:r>
          </w:p>
        </w:tc>
        <w:tc>
          <w:tcPr>
            <w:tcW w:w="2268" w:type="dxa"/>
            <w:tcBorders>
              <w:bottom w:val="single" w:sz="4" w:space="0" w:color="auto"/>
            </w:tcBorders>
            <w:noWrap/>
            <w:hideMark/>
          </w:tcPr>
          <w:p w:rsidR="005D59CF" w:rsidRPr="005D59CF" w:rsidRDefault="005D59CF">
            <w:r w:rsidRPr="005D59CF">
              <w:t>t2</w:t>
            </w:r>
            <w:r>
              <w:t xml:space="preserve"> mean (SD)</w:t>
            </w:r>
          </w:p>
        </w:tc>
      </w:tr>
      <w:tr w:rsidR="005D59CF" w:rsidRPr="005D59CF" w:rsidTr="005D59CF">
        <w:trPr>
          <w:trHeight w:val="300"/>
        </w:trPr>
        <w:tc>
          <w:tcPr>
            <w:tcW w:w="1306" w:type="dxa"/>
            <w:tcBorders>
              <w:top w:val="single" w:sz="4" w:space="0" w:color="auto"/>
              <w:right w:val="single" w:sz="4" w:space="0" w:color="auto"/>
            </w:tcBorders>
            <w:noWrap/>
            <w:hideMark/>
          </w:tcPr>
          <w:p w:rsidR="005D59CF" w:rsidRPr="005D59CF" w:rsidRDefault="005D59CF">
            <w:r w:rsidRPr="005D59CF">
              <w:t>tenure</w:t>
            </w:r>
          </w:p>
        </w:tc>
        <w:tc>
          <w:tcPr>
            <w:tcW w:w="2204" w:type="dxa"/>
            <w:tcBorders>
              <w:top w:val="single" w:sz="4" w:space="0" w:color="auto"/>
              <w:left w:val="single" w:sz="4" w:space="0" w:color="auto"/>
            </w:tcBorders>
            <w:noWrap/>
            <w:hideMark/>
          </w:tcPr>
          <w:p w:rsidR="005D59CF" w:rsidRPr="005D59CF" w:rsidRDefault="005D59CF" w:rsidP="005D59CF">
            <w:r w:rsidRPr="005D59CF">
              <w:t>0.2</w:t>
            </w:r>
            <w:r>
              <w:t>0 (0.08)</w:t>
            </w:r>
          </w:p>
        </w:tc>
        <w:tc>
          <w:tcPr>
            <w:tcW w:w="2268" w:type="dxa"/>
            <w:tcBorders>
              <w:top w:val="single" w:sz="4" w:space="0" w:color="auto"/>
            </w:tcBorders>
            <w:noWrap/>
            <w:hideMark/>
          </w:tcPr>
          <w:p w:rsidR="005D59CF" w:rsidRPr="005D59CF" w:rsidRDefault="005D59CF" w:rsidP="005D59CF">
            <w:r w:rsidRPr="005D59CF">
              <w:t>0.24</w:t>
            </w:r>
            <w:r>
              <w:t xml:space="preserve"> (0.08)</w:t>
            </w:r>
          </w:p>
        </w:tc>
      </w:tr>
      <w:tr w:rsidR="005D59CF" w:rsidRPr="005D59CF" w:rsidTr="005D59CF">
        <w:trPr>
          <w:trHeight w:val="300"/>
        </w:trPr>
        <w:tc>
          <w:tcPr>
            <w:tcW w:w="1306" w:type="dxa"/>
            <w:tcBorders>
              <w:right w:val="single" w:sz="4" w:space="0" w:color="auto"/>
            </w:tcBorders>
            <w:noWrap/>
            <w:hideMark/>
          </w:tcPr>
          <w:p w:rsidR="005D59CF" w:rsidRPr="005D59CF" w:rsidRDefault="005D59CF">
            <w:proofErr w:type="spellStart"/>
            <w:r w:rsidRPr="005D59CF">
              <w:t>bld_band</w:t>
            </w:r>
            <w:proofErr w:type="spellEnd"/>
          </w:p>
        </w:tc>
        <w:tc>
          <w:tcPr>
            <w:tcW w:w="2204" w:type="dxa"/>
            <w:tcBorders>
              <w:left w:val="single" w:sz="4" w:space="0" w:color="auto"/>
            </w:tcBorders>
            <w:noWrap/>
            <w:hideMark/>
          </w:tcPr>
          <w:p w:rsidR="005D59CF" w:rsidRPr="005D59CF" w:rsidRDefault="005D59CF" w:rsidP="005D59CF">
            <w:r w:rsidRPr="005D59CF">
              <w:t>0.14</w:t>
            </w:r>
            <w:r>
              <w:t>(0.05)</w:t>
            </w:r>
          </w:p>
        </w:tc>
        <w:tc>
          <w:tcPr>
            <w:tcW w:w="2268" w:type="dxa"/>
            <w:noWrap/>
            <w:hideMark/>
          </w:tcPr>
          <w:p w:rsidR="005D59CF" w:rsidRPr="005D59CF" w:rsidRDefault="005D59CF" w:rsidP="005D59CF">
            <w:r w:rsidRPr="005D59CF">
              <w:t>0.15</w:t>
            </w:r>
            <w:r>
              <w:t xml:space="preserve"> (0.05)</w:t>
            </w:r>
          </w:p>
        </w:tc>
      </w:tr>
      <w:tr w:rsidR="005D59CF" w:rsidRPr="005D59CF" w:rsidTr="005D59CF">
        <w:trPr>
          <w:trHeight w:val="300"/>
        </w:trPr>
        <w:tc>
          <w:tcPr>
            <w:tcW w:w="1306" w:type="dxa"/>
            <w:tcBorders>
              <w:right w:val="single" w:sz="4" w:space="0" w:color="auto"/>
            </w:tcBorders>
            <w:noWrap/>
            <w:hideMark/>
          </w:tcPr>
          <w:p w:rsidR="005D59CF" w:rsidRPr="005D59CF" w:rsidRDefault="005D59CF">
            <w:proofErr w:type="spellStart"/>
            <w:r w:rsidRPr="005D59CF">
              <w:t>bld_size</w:t>
            </w:r>
            <w:proofErr w:type="spellEnd"/>
          </w:p>
        </w:tc>
        <w:tc>
          <w:tcPr>
            <w:tcW w:w="2204" w:type="dxa"/>
            <w:tcBorders>
              <w:left w:val="single" w:sz="4" w:space="0" w:color="auto"/>
            </w:tcBorders>
            <w:noWrap/>
            <w:hideMark/>
          </w:tcPr>
          <w:p w:rsidR="005D59CF" w:rsidRPr="005D59CF" w:rsidRDefault="005D59CF" w:rsidP="005D59CF">
            <w:r w:rsidRPr="005D59CF">
              <w:t>0.13</w:t>
            </w:r>
            <w:r>
              <w:t xml:space="preserve"> (0.03)</w:t>
            </w:r>
          </w:p>
        </w:tc>
        <w:tc>
          <w:tcPr>
            <w:tcW w:w="2268" w:type="dxa"/>
            <w:noWrap/>
            <w:hideMark/>
          </w:tcPr>
          <w:p w:rsidR="005D59CF" w:rsidRPr="005D59CF" w:rsidRDefault="005D59CF" w:rsidP="005D59CF">
            <w:r w:rsidRPr="005D59CF">
              <w:t>0.14</w:t>
            </w:r>
            <w:r>
              <w:t xml:space="preserve"> (0.03)</w:t>
            </w:r>
          </w:p>
        </w:tc>
      </w:tr>
      <w:tr w:rsidR="005D59CF" w:rsidRPr="005D59CF" w:rsidTr="005D59CF">
        <w:trPr>
          <w:trHeight w:val="300"/>
        </w:trPr>
        <w:tc>
          <w:tcPr>
            <w:tcW w:w="1306" w:type="dxa"/>
            <w:tcBorders>
              <w:right w:val="single" w:sz="4" w:space="0" w:color="auto"/>
            </w:tcBorders>
            <w:noWrap/>
            <w:hideMark/>
          </w:tcPr>
          <w:p w:rsidR="005D59CF" w:rsidRPr="005D59CF" w:rsidRDefault="005D59CF">
            <w:proofErr w:type="spellStart"/>
            <w:r w:rsidRPr="005D59CF">
              <w:t>bld_type</w:t>
            </w:r>
            <w:proofErr w:type="spellEnd"/>
          </w:p>
        </w:tc>
        <w:tc>
          <w:tcPr>
            <w:tcW w:w="2204" w:type="dxa"/>
            <w:tcBorders>
              <w:left w:val="single" w:sz="4" w:space="0" w:color="auto"/>
            </w:tcBorders>
            <w:noWrap/>
            <w:hideMark/>
          </w:tcPr>
          <w:p w:rsidR="005D59CF" w:rsidRPr="005D59CF" w:rsidRDefault="005D59CF" w:rsidP="005D59CF">
            <w:r w:rsidRPr="005D59CF">
              <w:t>0.2</w:t>
            </w:r>
            <w:r>
              <w:t>0 (0.10)</w:t>
            </w:r>
          </w:p>
        </w:tc>
        <w:tc>
          <w:tcPr>
            <w:tcW w:w="2268" w:type="dxa"/>
            <w:noWrap/>
            <w:hideMark/>
          </w:tcPr>
          <w:p w:rsidR="005D59CF" w:rsidRPr="005D59CF" w:rsidRDefault="005D59CF" w:rsidP="005D59CF">
            <w:r w:rsidRPr="005D59CF">
              <w:t>0.21</w:t>
            </w:r>
            <w:r>
              <w:t xml:space="preserve"> (0.10)</w:t>
            </w:r>
          </w:p>
        </w:tc>
      </w:tr>
      <w:tr w:rsidR="005D59CF" w:rsidRPr="005D59CF" w:rsidTr="005D59CF">
        <w:trPr>
          <w:trHeight w:val="300"/>
        </w:trPr>
        <w:tc>
          <w:tcPr>
            <w:tcW w:w="1306" w:type="dxa"/>
            <w:tcBorders>
              <w:right w:val="single" w:sz="4" w:space="0" w:color="auto"/>
            </w:tcBorders>
            <w:noWrap/>
            <w:hideMark/>
          </w:tcPr>
          <w:p w:rsidR="005D59CF" w:rsidRPr="005D59CF" w:rsidRDefault="005D59CF">
            <w:proofErr w:type="spellStart"/>
            <w:r w:rsidRPr="005D59CF">
              <w:t>demo_as</w:t>
            </w:r>
            <w:proofErr w:type="spellEnd"/>
          </w:p>
        </w:tc>
        <w:tc>
          <w:tcPr>
            <w:tcW w:w="2204" w:type="dxa"/>
            <w:tcBorders>
              <w:left w:val="single" w:sz="4" w:space="0" w:color="auto"/>
            </w:tcBorders>
            <w:noWrap/>
            <w:hideMark/>
          </w:tcPr>
          <w:p w:rsidR="005D59CF" w:rsidRPr="005D59CF" w:rsidRDefault="005D59CF" w:rsidP="005D59CF">
            <w:r w:rsidRPr="005D59CF">
              <w:t>0.18</w:t>
            </w:r>
            <w:r>
              <w:t xml:space="preserve"> (0.01)</w:t>
            </w:r>
          </w:p>
        </w:tc>
        <w:tc>
          <w:tcPr>
            <w:tcW w:w="2268" w:type="dxa"/>
            <w:noWrap/>
            <w:hideMark/>
          </w:tcPr>
          <w:p w:rsidR="005D59CF" w:rsidRPr="005D59CF" w:rsidRDefault="005D59CF" w:rsidP="005D59CF">
            <w:r w:rsidRPr="005D59CF">
              <w:t>0.18</w:t>
            </w:r>
            <w:r>
              <w:t xml:space="preserve"> (0.01)</w:t>
            </w:r>
          </w:p>
        </w:tc>
      </w:tr>
      <w:tr w:rsidR="005D59CF" w:rsidRPr="005D59CF" w:rsidTr="005D59CF">
        <w:trPr>
          <w:trHeight w:val="300"/>
        </w:trPr>
        <w:tc>
          <w:tcPr>
            <w:tcW w:w="1306" w:type="dxa"/>
            <w:tcBorders>
              <w:right w:val="single" w:sz="4" w:space="0" w:color="auto"/>
            </w:tcBorders>
            <w:noWrap/>
            <w:hideMark/>
          </w:tcPr>
          <w:p w:rsidR="005D59CF" w:rsidRPr="005D59CF" w:rsidRDefault="005D59CF">
            <w:proofErr w:type="spellStart"/>
            <w:r w:rsidRPr="005D59CF">
              <w:t>demo_eth</w:t>
            </w:r>
            <w:proofErr w:type="spellEnd"/>
          </w:p>
        </w:tc>
        <w:tc>
          <w:tcPr>
            <w:tcW w:w="2204" w:type="dxa"/>
            <w:tcBorders>
              <w:left w:val="single" w:sz="4" w:space="0" w:color="auto"/>
            </w:tcBorders>
            <w:noWrap/>
            <w:hideMark/>
          </w:tcPr>
          <w:p w:rsidR="005D59CF" w:rsidRPr="005D59CF" w:rsidRDefault="005D59CF" w:rsidP="005D59CF">
            <w:r w:rsidRPr="005D59CF">
              <w:t>0.06</w:t>
            </w:r>
            <w:r>
              <w:t xml:space="preserve"> (0.03)</w:t>
            </w:r>
          </w:p>
        </w:tc>
        <w:tc>
          <w:tcPr>
            <w:tcW w:w="2268" w:type="dxa"/>
            <w:noWrap/>
            <w:hideMark/>
          </w:tcPr>
          <w:p w:rsidR="005D59CF" w:rsidRPr="005D59CF" w:rsidRDefault="005D59CF" w:rsidP="005D59CF">
            <w:r w:rsidRPr="005D59CF">
              <w:t>0.07</w:t>
            </w:r>
            <w:r>
              <w:t xml:space="preserve"> (0.04)</w:t>
            </w:r>
          </w:p>
        </w:tc>
      </w:tr>
      <w:tr w:rsidR="005D59CF" w:rsidRPr="005D59CF" w:rsidTr="005D59CF">
        <w:trPr>
          <w:trHeight w:val="300"/>
        </w:trPr>
        <w:tc>
          <w:tcPr>
            <w:tcW w:w="1306" w:type="dxa"/>
            <w:tcBorders>
              <w:right w:val="single" w:sz="4" w:space="0" w:color="auto"/>
            </w:tcBorders>
            <w:noWrap/>
            <w:hideMark/>
          </w:tcPr>
          <w:p w:rsidR="005D59CF" w:rsidRPr="005D59CF" w:rsidRDefault="005D59CF">
            <w:proofErr w:type="spellStart"/>
            <w:r w:rsidRPr="005D59CF">
              <w:t>demo_rel</w:t>
            </w:r>
            <w:proofErr w:type="spellEnd"/>
          </w:p>
        </w:tc>
        <w:tc>
          <w:tcPr>
            <w:tcW w:w="2204" w:type="dxa"/>
            <w:tcBorders>
              <w:left w:val="single" w:sz="4" w:space="0" w:color="auto"/>
            </w:tcBorders>
            <w:noWrap/>
            <w:hideMark/>
          </w:tcPr>
          <w:p w:rsidR="005D59CF" w:rsidRPr="005D59CF" w:rsidRDefault="005D59CF" w:rsidP="005D59CF">
            <w:r w:rsidRPr="005D59CF">
              <w:t>0.23</w:t>
            </w:r>
            <w:r>
              <w:t xml:space="preserve"> (0.02)</w:t>
            </w:r>
          </w:p>
        </w:tc>
        <w:tc>
          <w:tcPr>
            <w:tcW w:w="2268" w:type="dxa"/>
            <w:noWrap/>
            <w:hideMark/>
          </w:tcPr>
          <w:p w:rsidR="005D59CF" w:rsidRPr="005D59CF" w:rsidRDefault="005D59CF" w:rsidP="005D59CF">
            <w:r w:rsidRPr="005D59CF">
              <w:t>0.24</w:t>
            </w:r>
            <w:r>
              <w:t xml:space="preserve"> (0.02)</w:t>
            </w:r>
          </w:p>
        </w:tc>
      </w:tr>
      <w:tr w:rsidR="005D59CF" w:rsidRPr="005D59CF" w:rsidTr="005D59CF">
        <w:trPr>
          <w:trHeight w:val="300"/>
        </w:trPr>
        <w:tc>
          <w:tcPr>
            <w:tcW w:w="1306" w:type="dxa"/>
            <w:tcBorders>
              <w:right w:val="single" w:sz="4" w:space="0" w:color="auto"/>
            </w:tcBorders>
            <w:noWrap/>
            <w:hideMark/>
          </w:tcPr>
          <w:p w:rsidR="005D59CF" w:rsidRPr="005D59CF" w:rsidRDefault="005D59CF">
            <w:proofErr w:type="spellStart"/>
            <w:r w:rsidRPr="005D59CF">
              <w:t>demo_coo</w:t>
            </w:r>
            <w:proofErr w:type="spellEnd"/>
          </w:p>
        </w:tc>
        <w:tc>
          <w:tcPr>
            <w:tcW w:w="2204" w:type="dxa"/>
            <w:tcBorders>
              <w:left w:val="single" w:sz="4" w:space="0" w:color="auto"/>
            </w:tcBorders>
            <w:noWrap/>
            <w:hideMark/>
          </w:tcPr>
          <w:p w:rsidR="005D59CF" w:rsidRPr="005D59CF" w:rsidRDefault="005D59CF" w:rsidP="005D59CF">
            <w:r w:rsidRPr="005D59CF">
              <w:t>0.09</w:t>
            </w:r>
            <w:r>
              <w:t xml:space="preserve"> (0.01)</w:t>
            </w:r>
          </w:p>
        </w:tc>
        <w:tc>
          <w:tcPr>
            <w:tcW w:w="2268" w:type="dxa"/>
            <w:noWrap/>
            <w:hideMark/>
          </w:tcPr>
          <w:p w:rsidR="005D59CF" w:rsidRPr="005D59CF" w:rsidRDefault="005D59CF" w:rsidP="005D59CF">
            <w:r w:rsidRPr="005D59CF">
              <w:t>0.09</w:t>
            </w:r>
            <w:r>
              <w:t xml:space="preserve"> (0.01)</w:t>
            </w:r>
          </w:p>
        </w:tc>
      </w:tr>
      <w:tr w:rsidR="005D59CF" w:rsidRPr="005D59CF" w:rsidTr="005D59CF">
        <w:trPr>
          <w:trHeight w:val="300"/>
        </w:trPr>
        <w:tc>
          <w:tcPr>
            <w:tcW w:w="1306" w:type="dxa"/>
            <w:tcBorders>
              <w:right w:val="single" w:sz="4" w:space="0" w:color="auto"/>
            </w:tcBorders>
            <w:noWrap/>
            <w:hideMark/>
          </w:tcPr>
          <w:p w:rsidR="005D59CF" w:rsidRPr="005D59CF" w:rsidRDefault="005D59CF">
            <w:proofErr w:type="spellStart"/>
            <w:r w:rsidRPr="005D59CF">
              <w:t>econ_qual</w:t>
            </w:r>
            <w:proofErr w:type="spellEnd"/>
          </w:p>
        </w:tc>
        <w:tc>
          <w:tcPr>
            <w:tcW w:w="2204" w:type="dxa"/>
            <w:tcBorders>
              <w:left w:val="single" w:sz="4" w:space="0" w:color="auto"/>
            </w:tcBorders>
            <w:noWrap/>
            <w:hideMark/>
          </w:tcPr>
          <w:p w:rsidR="005D59CF" w:rsidRPr="005D59CF" w:rsidRDefault="005D59CF" w:rsidP="005D59CF">
            <w:r w:rsidRPr="005D59CF">
              <w:t>0.28</w:t>
            </w:r>
            <w:r>
              <w:t xml:space="preserve"> (0.03)</w:t>
            </w:r>
          </w:p>
        </w:tc>
        <w:tc>
          <w:tcPr>
            <w:tcW w:w="2268" w:type="dxa"/>
            <w:noWrap/>
            <w:hideMark/>
          </w:tcPr>
          <w:p w:rsidR="005D59CF" w:rsidRPr="005D59CF" w:rsidRDefault="005D59CF" w:rsidP="005D59CF">
            <w:r w:rsidRPr="005D59CF">
              <w:t>0.29</w:t>
            </w:r>
            <w:r>
              <w:t xml:space="preserve"> (0.02)</w:t>
            </w:r>
          </w:p>
        </w:tc>
      </w:tr>
      <w:tr w:rsidR="005D59CF" w:rsidRPr="005D59CF" w:rsidTr="005D59CF">
        <w:trPr>
          <w:trHeight w:val="300"/>
        </w:trPr>
        <w:tc>
          <w:tcPr>
            <w:tcW w:w="1306" w:type="dxa"/>
            <w:tcBorders>
              <w:right w:val="single" w:sz="4" w:space="0" w:color="auto"/>
            </w:tcBorders>
            <w:noWrap/>
            <w:hideMark/>
          </w:tcPr>
          <w:p w:rsidR="005D59CF" w:rsidRPr="005D59CF" w:rsidRDefault="005D59CF">
            <w:proofErr w:type="spellStart"/>
            <w:r w:rsidRPr="005D59CF">
              <w:t>econ_act</w:t>
            </w:r>
            <w:proofErr w:type="spellEnd"/>
          </w:p>
        </w:tc>
        <w:tc>
          <w:tcPr>
            <w:tcW w:w="2204" w:type="dxa"/>
            <w:tcBorders>
              <w:left w:val="single" w:sz="4" w:space="0" w:color="auto"/>
            </w:tcBorders>
            <w:noWrap/>
            <w:hideMark/>
          </w:tcPr>
          <w:p w:rsidR="005D59CF" w:rsidRPr="005D59CF" w:rsidRDefault="005D59CF" w:rsidP="005D59CF">
            <w:r w:rsidRPr="005D59CF">
              <w:t>0.11</w:t>
            </w:r>
            <w:r>
              <w:t xml:space="preserve"> (0.01)</w:t>
            </w:r>
          </w:p>
        </w:tc>
        <w:tc>
          <w:tcPr>
            <w:tcW w:w="2268" w:type="dxa"/>
            <w:noWrap/>
            <w:hideMark/>
          </w:tcPr>
          <w:p w:rsidR="005D59CF" w:rsidRPr="005D59CF" w:rsidRDefault="005D59CF" w:rsidP="005D59CF">
            <w:r w:rsidRPr="005D59CF">
              <w:t>0.12</w:t>
            </w:r>
            <w:r>
              <w:t xml:space="preserve"> (0.01)</w:t>
            </w:r>
          </w:p>
        </w:tc>
      </w:tr>
      <w:tr w:rsidR="005D59CF" w:rsidRPr="005D59CF" w:rsidTr="005D59CF">
        <w:trPr>
          <w:trHeight w:val="300"/>
        </w:trPr>
        <w:tc>
          <w:tcPr>
            <w:tcW w:w="1306" w:type="dxa"/>
            <w:tcBorders>
              <w:right w:val="single" w:sz="4" w:space="0" w:color="auto"/>
            </w:tcBorders>
            <w:noWrap/>
            <w:hideMark/>
          </w:tcPr>
          <w:p w:rsidR="005D59CF" w:rsidRPr="005D59CF" w:rsidRDefault="005D59CF">
            <w:proofErr w:type="spellStart"/>
            <w:r w:rsidRPr="005D59CF">
              <w:t>econ_sec</w:t>
            </w:r>
            <w:proofErr w:type="spellEnd"/>
          </w:p>
        </w:tc>
        <w:tc>
          <w:tcPr>
            <w:tcW w:w="2204" w:type="dxa"/>
            <w:tcBorders>
              <w:left w:val="single" w:sz="4" w:space="0" w:color="auto"/>
            </w:tcBorders>
            <w:noWrap/>
            <w:hideMark/>
          </w:tcPr>
          <w:p w:rsidR="005D59CF" w:rsidRPr="005D59CF" w:rsidRDefault="005D59CF" w:rsidP="005D59CF">
            <w:r w:rsidRPr="005D59CF">
              <w:t>0.13</w:t>
            </w:r>
            <w:r>
              <w:t xml:space="preserve"> (0.01)</w:t>
            </w:r>
          </w:p>
        </w:tc>
        <w:tc>
          <w:tcPr>
            <w:tcW w:w="2268" w:type="dxa"/>
            <w:noWrap/>
            <w:hideMark/>
          </w:tcPr>
          <w:p w:rsidR="005D59CF" w:rsidRPr="005D59CF" w:rsidRDefault="005D59CF" w:rsidP="005D59CF">
            <w:r w:rsidRPr="005D59CF">
              <w:t>0.14</w:t>
            </w:r>
            <w:r>
              <w:t xml:space="preserve"> (0.02)</w:t>
            </w:r>
          </w:p>
        </w:tc>
      </w:tr>
      <w:tr w:rsidR="005D59CF" w:rsidRPr="005D59CF" w:rsidTr="005D59CF">
        <w:trPr>
          <w:trHeight w:val="300"/>
        </w:trPr>
        <w:tc>
          <w:tcPr>
            <w:tcW w:w="1306" w:type="dxa"/>
            <w:tcBorders>
              <w:right w:val="single" w:sz="4" w:space="0" w:color="auto"/>
            </w:tcBorders>
            <w:noWrap/>
            <w:hideMark/>
          </w:tcPr>
          <w:p w:rsidR="005D59CF" w:rsidRPr="005D59CF" w:rsidRDefault="005D59CF">
            <w:proofErr w:type="spellStart"/>
            <w:r w:rsidRPr="005D59CF">
              <w:t>econ_ind</w:t>
            </w:r>
            <w:proofErr w:type="spellEnd"/>
          </w:p>
        </w:tc>
        <w:tc>
          <w:tcPr>
            <w:tcW w:w="2204" w:type="dxa"/>
            <w:tcBorders>
              <w:left w:val="single" w:sz="4" w:space="0" w:color="auto"/>
            </w:tcBorders>
            <w:noWrap/>
            <w:hideMark/>
          </w:tcPr>
          <w:p w:rsidR="005D59CF" w:rsidRPr="005D59CF" w:rsidRDefault="005D59CF" w:rsidP="005D59CF">
            <w:r w:rsidRPr="005D59CF">
              <w:t>0.17</w:t>
            </w:r>
            <w:r>
              <w:t xml:space="preserve"> (0.00)</w:t>
            </w:r>
          </w:p>
        </w:tc>
        <w:tc>
          <w:tcPr>
            <w:tcW w:w="2268" w:type="dxa"/>
            <w:noWrap/>
            <w:hideMark/>
          </w:tcPr>
          <w:p w:rsidR="005D59CF" w:rsidRPr="005D59CF" w:rsidRDefault="005D59CF" w:rsidP="005D59CF">
            <w:r w:rsidRPr="005D59CF">
              <w:t>0.17</w:t>
            </w:r>
            <w:r>
              <w:t xml:space="preserve"> (0.00)</w:t>
            </w:r>
          </w:p>
        </w:tc>
      </w:tr>
      <w:tr w:rsidR="005D59CF" w:rsidRPr="005D59CF" w:rsidTr="005D59CF">
        <w:trPr>
          <w:trHeight w:val="300"/>
        </w:trPr>
        <w:tc>
          <w:tcPr>
            <w:tcW w:w="1306" w:type="dxa"/>
            <w:tcBorders>
              <w:right w:val="single" w:sz="4" w:space="0" w:color="auto"/>
            </w:tcBorders>
            <w:noWrap/>
            <w:hideMark/>
          </w:tcPr>
          <w:p w:rsidR="005D59CF" w:rsidRPr="005D59CF" w:rsidRDefault="005D59CF">
            <w:proofErr w:type="spellStart"/>
            <w:r w:rsidRPr="005D59CF">
              <w:t>land_vacant</w:t>
            </w:r>
            <w:proofErr w:type="spellEnd"/>
          </w:p>
        </w:tc>
        <w:tc>
          <w:tcPr>
            <w:tcW w:w="2204" w:type="dxa"/>
            <w:tcBorders>
              <w:left w:val="single" w:sz="4" w:space="0" w:color="auto"/>
            </w:tcBorders>
            <w:noWrap/>
            <w:hideMark/>
          </w:tcPr>
          <w:p w:rsidR="005D59CF" w:rsidRPr="005D59CF" w:rsidRDefault="005D59CF" w:rsidP="005D59CF">
            <w:r w:rsidRPr="005D59CF">
              <w:t>0.05</w:t>
            </w:r>
            <w:r>
              <w:t xml:space="preserve"> (0.03)</w:t>
            </w:r>
          </w:p>
        </w:tc>
        <w:tc>
          <w:tcPr>
            <w:tcW w:w="2268" w:type="dxa"/>
            <w:noWrap/>
            <w:hideMark/>
          </w:tcPr>
          <w:p w:rsidR="005D59CF" w:rsidRPr="005D59CF" w:rsidRDefault="005D59CF" w:rsidP="005D59CF">
            <w:r w:rsidRPr="005D59CF">
              <w:t>0.04</w:t>
            </w:r>
            <w:r>
              <w:t xml:space="preserve"> (0.03)</w:t>
            </w:r>
          </w:p>
        </w:tc>
      </w:tr>
      <w:tr w:rsidR="005D59CF" w:rsidRPr="005D59CF" w:rsidTr="005D59CF">
        <w:trPr>
          <w:trHeight w:val="300"/>
        </w:trPr>
        <w:tc>
          <w:tcPr>
            <w:tcW w:w="1306" w:type="dxa"/>
            <w:tcBorders>
              <w:right w:val="single" w:sz="4" w:space="0" w:color="auto"/>
            </w:tcBorders>
            <w:noWrap/>
            <w:hideMark/>
          </w:tcPr>
          <w:p w:rsidR="005D59CF" w:rsidRPr="005D59CF" w:rsidRDefault="005D59CF">
            <w:proofErr w:type="spellStart"/>
            <w:r w:rsidRPr="005D59CF">
              <w:t>land_bus</w:t>
            </w:r>
            <w:proofErr w:type="spellEnd"/>
          </w:p>
        </w:tc>
        <w:tc>
          <w:tcPr>
            <w:tcW w:w="2204" w:type="dxa"/>
            <w:tcBorders>
              <w:left w:val="single" w:sz="4" w:space="0" w:color="auto"/>
            </w:tcBorders>
            <w:noWrap/>
            <w:hideMark/>
          </w:tcPr>
          <w:p w:rsidR="005D59CF" w:rsidRPr="005D59CF" w:rsidRDefault="005D59CF" w:rsidP="005D59CF">
            <w:r w:rsidRPr="005D59CF">
              <w:t>0.25</w:t>
            </w:r>
            <w:r>
              <w:t xml:space="preserve"> (0.03)</w:t>
            </w:r>
          </w:p>
        </w:tc>
        <w:tc>
          <w:tcPr>
            <w:tcW w:w="2268" w:type="dxa"/>
            <w:noWrap/>
            <w:hideMark/>
          </w:tcPr>
          <w:p w:rsidR="005D59CF" w:rsidRPr="005D59CF" w:rsidRDefault="005D59CF" w:rsidP="005D59CF">
            <w:r w:rsidRPr="005D59CF">
              <w:t>0.25</w:t>
            </w:r>
            <w:r>
              <w:t xml:space="preserve"> (0.02)</w:t>
            </w:r>
          </w:p>
        </w:tc>
      </w:tr>
    </w:tbl>
    <w:p w:rsidR="005D59CF" w:rsidRDefault="005D59CF" w:rsidP="009523DF"/>
    <w:p w:rsidR="005D59CF" w:rsidRDefault="005D59CF" w:rsidP="009523DF"/>
    <w:p w:rsidR="005D59CF" w:rsidRDefault="005D59CF" w:rsidP="009523DF"/>
    <w:p w:rsidR="005D59CF" w:rsidRDefault="005D59CF" w:rsidP="009523DF"/>
    <w:p w:rsidR="005D59CF" w:rsidRDefault="005D59CF" w:rsidP="009523DF"/>
    <w:p w:rsidR="005D59CF" w:rsidRDefault="005D59CF" w:rsidP="009523DF"/>
    <w:p w:rsidR="005D59CF" w:rsidRDefault="005D59CF" w:rsidP="009523DF"/>
    <w:p w:rsidR="005D59CF" w:rsidRDefault="005D59CF" w:rsidP="009523DF"/>
    <w:p w:rsidR="005D59CF" w:rsidRDefault="005D59CF" w:rsidP="009523DF"/>
    <w:p w:rsidR="005D59CF" w:rsidRDefault="005D59CF" w:rsidP="009523DF"/>
    <w:tbl>
      <w:tblPr>
        <w:tblW w:w="4186" w:type="dxa"/>
        <w:tblInd w:w="93" w:type="dxa"/>
        <w:tblLook w:val="04A0"/>
      </w:tblPr>
      <w:tblGrid>
        <w:gridCol w:w="1306"/>
        <w:gridCol w:w="960"/>
        <w:gridCol w:w="960"/>
        <w:gridCol w:w="960"/>
      </w:tblGrid>
      <w:tr w:rsidR="005D59CF" w:rsidRPr="005D59CF" w:rsidTr="005C68A8">
        <w:trPr>
          <w:trHeight w:val="300"/>
        </w:trPr>
        <w:tc>
          <w:tcPr>
            <w:tcW w:w="1306" w:type="dxa"/>
            <w:tcBorders>
              <w:top w:val="nil"/>
              <w:left w:val="nil"/>
              <w:bottom w:val="single" w:sz="4" w:space="0" w:color="auto"/>
              <w:right w:val="single" w:sz="4" w:space="0" w:color="auto"/>
            </w:tcBorders>
            <w:shd w:val="clear" w:color="auto" w:fill="auto"/>
            <w:noWrap/>
            <w:vAlign w:val="bottom"/>
            <w:hideMark/>
          </w:tcPr>
          <w:p w:rsidR="005D59CF" w:rsidRPr="005D59CF" w:rsidRDefault="005D59CF" w:rsidP="005D59C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T1</w:t>
            </w:r>
          </w:p>
        </w:tc>
        <w:tc>
          <w:tcPr>
            <w:tcW w:w="960" w:type="dxa"/>
            <w:tcBorders>
              <w:top w:val="nil"/>
              <w:left w:val="single" w:sz="4" w:space="0" w:color="auto"/>
              <w:bottom w:val="single" w:sz="4" w:space="0" w:color="auto"/>
              <w:right w:val="nil"/>
            </w:tcBorders>
            <w:shd w:val="clear" w:color="auto" w:fill="auto"/>
            <w:noWrap/>
            <w:vAlign w:val="bottom"/>
            <w:hideMark/>
          </w:tcPr>
          <w:p w:rsidR="005D59CF" w:rsidRPr="005D59CF" w:rsidRDefault="005D59CF" w:rsidP="005D59CF">
            <w:pPr>
              <w:spacing w:after="0" w:line="240" w:lineRule="auto"/>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PC1</w:t>
            </w:r>
          </w:p>
        </w:tc>
        <w:tc>
          <w:tcPr>
            <w:tcW w:w="960" w:type="dxa"/>
            <w:tcBorders>
              <w:top w:val="nil"/>
              <w:left w:val="nil"/>
              <w:bottom w:val="single" w:sz="4" w:space="0" w:color="auto"/>
              <w:right w:val="nil"/>
            </w:tcBorders>
            <w:shd w:val="clear" w:color="auto" w:fill="auto"/>
            <w:noWrap/>
            <w:vAlign w:val="bottom"/>
            <w:hideMark/>
          </w:tcPr>
          <w:p w:rsidR="005D59CF" w:rsidRPr="005D59CF" w:rsidRDefault="005D59CF" w:rsidP="005D59CF">
            <w:pPr>
              <w:spacing w:after="0" w:line="240" w:lineRule="auto"/>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PC2</w:t>
            </w:r>
          </w:p>
        </w:tc>
        <w:tc>
          <w:tcPr>
            <w:tcW w:w="960" w:type="dxa"/>
            <w:tcBorders>
              <w:top w:val="nil"/>
              <w:left w:val="nil"/>
              <w:bottom w:val="single" w:sz="4" w:space="0" w:color="auto"/>
              <w:right w:val="nil"/>
            </w:tcBorders>
            <w:shd w:val="clear" w:color="auto" w:fill="auto"/>
            <w:noWrap/>
            <w:vAlign w:val="bottom"/>
            <w:hideMark/>
          </w:tcPr>
          <w:p w:rsidR="005D59CF" w:rsidRPr="005D59CF" w:rsidRDefault="005D59CF" w:rsidP="005D59CF">
            <w:pPr>
              <w:spacing w:after="0" w:line="240" w:lineRule="auto"/>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PC3</w:t>
            </w:r>
          </w:p>
        </w:tc>
      </w:tr>
      <w:tr w:rsidR="005D59CF" w:rsidRPr="005D59CF" w:rsidTr="005C68A8">
        <w:trPr>
          <w:trHeight w:val="300"/>
        </w:trPr>
        <w:tc>
          <w:tcPr>
            <w:tcW w:w="1306" w:type="dxa"/>
            <w:tcBorders>
              <w:top w:val="single" w:sz="4" w:space="0" w:color="auto"/>
              <w:left w:val="nil"/>
              <w:bottom w:val="nil"/>
              <w:right w:val="single" w:sz="4" w:space="0" w:color="auto"/>
            </w:tcBorders>
            <w:shd w:val="clear" w:color="auto" w:fill="auto"/>
            <w:noWrap/>
            <w:vAlign w:val="bottom"/>
            <w:hideMark/>
          </w:tcPr>
          <w:p w:rsidR="005D59CF" w:rsidRPr="005D59CF" w:rsidRDefault="005D59CF" w:rsidP="005D59CF">
            <w:pPr>
              <w:spacing w:after="0" w:line="240" w:lineRule="auto"/>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tenure</w:t>
            </w:r>
          </w:p>
        </w:tc>
        <w:tc>
          <w:tcPr>
            <w:tcW w:w="960" w:type="dxa"/>
            <w:tcBorders>
              <w:top w:val="single" w:sz="4" w:space="0" w:color="auto"/>
              <w:left w:val="single" w:sz="4" w:space="0" w:color="auto"/>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0.38</w:t>
            </w:r>
          </w:p>
        </w:tc>
        <w:tc>
          <w:tcPr>
            <w:tcW w:w="960" w:type="dxa"/>
            <w:tcBorders>
              <w:top w:val="single" w:sz="4" w:space="0" w:color="auto"/>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0.90</w:t>
            </w:r>
          </w:p>
        </w:tc>
        <w:tc>
          <w:tcPr>
            <w:tcW w:w="960" w:type="dxa"/>
            <w:tcBorders>
              <w:top w:val="single" w:sz="4" w:space="0" w:color="auto"/>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-0.01</w:t>
            </w:r>
          </w:p>
        </w:tc>
      </w:tr>
      <w:tr w:rsidR="005D59CF" w:rsidRPr="005D59CF" w:rsidTr="005C68A8">
        <w:trPr>
          <w:trHeight w:val="300"/>
        </w:trPr>
        <w:tc>
          <w:tcPr>
            <w:tcW w:w="1306" w:type="dxa"/>
            <w:tcBorders>
              <w:top w:val="nil"/>
              <w:left w:val="nil"/>
              <w:bottom w:val="nil"/>
              <w:right w:val="single" w:sz="4" w:space="0" w:color="auto"/>
            </w:tcBorders>
            <w:shd w:val="clear" w:color="auto" w:fill="auto"/>
            <w:noWrap/>
            <w:vAlign w:val="bottom"/>
            <w:hideMark/>
          </w:tcPr>
          <w:p w:rsidR="005D59CF" w:rsidRPr="005D59CF" w:rsidRDefault="005D59CF" w:rsidP="005D59CF">
            <w:pPr>
              <w:spacing w:after="0" w:line="240" w:lineRule="auto"/>
              <w:rPr>
                <w:rFonts w:ascii="Calibri" w:eastAsia="Times New Roman" w:hAnsi="Calibri" w:cs="Times New Roman"/>
                <w:color w:val="000000"/>
                <w:lang w:eastAsia="en-GB"/>
              </w:rPr>
            </w:pPr>
            <w:proofErr w:type="spellStart"/>
            <w:r w:rsidRPr="005D59CF">
              <w:rPr>
                <w:rFonts w:ascii="Calibri" w:eastAsia="Times New Roman" w:hAnsi="Calibri" w:cs="Times New Roman"/>
                <w:color w:val="000000"/>
                <w:lang w:eastAsia="en-GB"/>
              </w:rPr>
              <w:t>bld_band</w:t>
            </w:r>
            <w:proofErr w:type="spellEnd"/>
          </w:p>
        </w:tc>
        <w:tc>
          <w:tcPr>
            <w:tcW w:w="960" w:type="dxa"/>
            <w:tcBorders>
              <w:top w:val="nil"/>
              <w:left w:val="single" w:sz="4" w:space="0" w:color="auto"/>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-0.26</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0.15</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-0.68</w:t>
            </w:r>
          </w:p>
        </w:tc>
      </w:tr>
      <w:tr w:rsidR="005D59CF" w:rsidRPr="005D59CF" w:rsidTr="005C68A8">
        <w:trPr>
          <w:trHeight w:val="300"/>
        </w:trPr>
        <w:tc>
          <w:tcPr>
            <w:tcW w:w="1306" w:type="dxa"/>
            <w:tcBorders>
              <w:top w:val="nil"/>
              <w:left w:val="nil"/>
              <w:bottom w:val="nil"/>
              <w:right w:val="single" w:sz="4" w:space="0" w:color="auto"/>
            </w:tcBorders>
            <w:shd w:val="clear" w:color="auto" w:fill="auto"/>
            <w:noWrap/>
            <w:vAlign w:val="bottom"/>
            <w:hideMark/>
          </w:tcPr>
          <w:p w:rsidR="005D59CF" w:rsidRPr="005D59CF" w:rsidRDefault="005D59CF" w:rsidP="005D59CF">
            <w:pPr>
              <w:spacing w:after="0" w:line="240" w:lineRule="auto"/>
              <w:rPr>
                <w:rFonts w:ascii="Calibri" w:eastAsia="Times New Roman" w:hAnsi="Calibri" w:cs="Times New Roman"/>
                <w:color w:val="000000"/>
                <w:lang w:eastAsia="en-GB"/>
              </w:rPr>
            </w:pPr>
            <w:proofErr w:type="spellStart"/>
            <w:r w:rsidRPr="005D59CF">
              <w:rPr>
                <w:rFonts w:ascii="Calibri" w:eastAsia="Times New Roman" w:hAnsi="Calibri" w:cs="Times New Roman"/>
                <w:color w:val="000000"/>
                <w:lang w:eastAsia="en-GB"/>
              </w:rPr>
              <w:t>bld_size</w:t>
            </w:r>
            <w:proofErr w:type="spellEnd"/>
          </w:p>
        </w:tc>
        <w:tc>
          <w:tcPr>
            <w:tcW w:w="960" w:type="dxa"/>
            <w:tcBorders>
              <w:top w:val="nil"/>
              <w:left w:val="single" w:sz="4" w:space="0" w:color="auto"/>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-0.16</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0.04</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-0.38</w:t>
            </w:r>
          </w:p>
        </w:tc>
      </w:tr>
      <w:tr w:rsidR="005D59CF" w:rsidRPr="005D59CF" w:rsidTr="005C68A8">
        <w:trPr>
          <w:trHeight w:val="300"/>
        </w:trPr>
        <w:tc>
          <w:tcPr>
            <w:tcW w:w="1306" w:type="dxa"/>
            <w:tcBorders>
              <w:top w:val="nil"/>
              <w:left w:val="nil"/>
              <w:bottom w:val="nil"/>
              <w:right w:val="single" w:sz="4" w:space="0" w:color="auto"/>
            </w:tcBorders>
            <w:shd w:val="clear" w:color="auto" w:fill="auto"/>
            <w:noWrap/>
            <w:vAlign w:val="bottom"/>
            <w:hideMark/>
          </w:tcPr>
          <w:p w:rsidR="005D59CF" w:rsidRPr="005D59CF" w:rsidRDefault="005D59CF" w:rsidP="005D59CF">
            <w:pPr>
              <w:spacing w:after="0" w:line="240" w:lineRule="auto"/>
              <w:rPr>
                <w:rFonts w:ascii="Calibri" w:eastAsia="Times New Roman" w:hAnsi="Calibri" w:cs="Times New Roman"/>
                <w:color w:val="000000"/>
                <w:lang w:eastAsia="en-GB"/>
              </w:rPr>
            </w:pPr>
            <w:proofErr w:type="spellStart"/>
            <w:r w:rsidRPr="005D59CF">
              <w:rPr>
                <w:rFonts w:ascii="Calibri" w:eastAsia="Times New Roman" w:hAnsi="Calibri" w:cs="Times New Roman"/>
                <w:color w:val="000000"/>
                <w:lang w:eastAsia="en-GB"/>
              </w:rPr>
              <w:t>bld_type</w:t>
            </w:r>
            <w:proofErr w:type="spellEnd"/>
          </w:p>
        </w:tc>
        <w:tc>
          <w:tcPr>
            <w:tcW w:w="960" w:type="dxa"/>
            <w:tcBorders>
              <w:top w:val="nil"/>
              <w:left w:val="single" w:sz="4" w:space="0" w:color="auto"/>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-0.85</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0.37</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0.26</w:t>
            </w:r>
          </w:p>
        </w:tc>
      </w:tr>
      <w:tr w:rsidR="005D59CF" w:rsidRPr="005D59CF" w:rsidTr="005C68A8">
        <w:trPr>
          <w:trHeight w:val="300"/>
        </w:trPr>
        <w:tc>
          <w:tcPr>
            <w:tcW w:w="1306" w:type="dxa"/>
            <w:tcBorders>
              <w:top w:val="nil"/>
              <w:left w:val="nil"/>
              <w:bottom w:val="nil"/>
              <w:right w:val="single" w:sz="4" w:space="0" w:color="auto"/>
            </w:tcBorders>
            <w:shd w:val="clear" w:color="auto" w:fill="auto"/>
            <w:noWrap/>
            <w:vAlign w:val="bottom"/>
            <w:hideMark/>
          </w:tcPr>
          <w:p w:rsidR="005D59CF" w:rsidRPr="005D59CF" w:rsidRDefault="005D59CF" w:rsidP="005D59CF">
            <w:pPr>
              <w:spacing w:after="0" w:line="240" w:lineRule="auto"/>
              <w:rPr>
                <w:rFonts w:ascii="Calibri" w:eastAsia="Times New Roman" w:hAnsi="Calibri" w:cs="Times New Roman"/>
                <w:color w:val="000000"/>
                <w:lang w:eastAsia="en-GB"/>
              </w:rPr>
            </w:pPr>
            <w:proofErr w:type="spellStart"/>
            <w:r w:rsidRPr="005D59CF">
              <w:rPr>
                <w:rFonts w:ascii="Calibri" w:eastAsia="Times New Roman" w:hAnsi="Calibri" w:cs="Times New Roman"/>
                <w:color w:val="000000"/>
                <w:lang w:eastAsia="en-GB"/>
              </w:rPr>
              <w:t>demo_as</w:t>
            </w:r>
            <w:proofErr w:type="spellEnd"/>
          </w:p>
        </w:tc>
        <w:tc>
          <w:tcPr>
            <w:tcW w:w="960" w:type="dxa"/>
            <w:tcBorders>
              <w:top w:val="nil"/>
              <w:left w:val="single" w:sz="4" w:space="0" w:color="auto"/>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-0.01</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0.02</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0.03</w:t>
            </w:r>
          </w:p>
        </w:tc>
      </w:tr>
      <w:tr w:rsidR="005D59CF" w:rsidRPr="005D59CF" w:rsidTr="005C68A8">
        <w:trPr>
          <w:trHeight w:val="300"/>
        </w:trPr>
        <w:tc>
          <w:tcPr>
            <w:tcW w:w="1306" w:type="dxa"/>
            <w:tcBorders>
              <w:top w:val="nil"/>
              <w:left w:val="nil"/>
              <w:bottom w:val="nil"/>
              <w:right w:val="single" w:sz="4" w:space="0" w:color="auto"/>
            </w:tcBorders>
            <w:shd w:val="clear" w:color="auto" w:fill="auto"/>
            <w:noWrap/>
            <w:vAlign w:val="bottom"/>
            <w:hideMark/>
          </w:tcPr>
          <w:p w:rsidR="005D59CF" w:rsidRPr="005D59CF" w:rsidRDefault="005D59CF" w:rsidP="005D59CF">
            <w:pPr>
              <w:spacing w:after="0" w:line="240" w:lineRule="auto"/>
              <w:rPr>
                <w:rFonts w:ascii="Calibri" w:eastAsia="Times New Roman" w:hAnsi="Calibri" w:cs="Times New Roman"/>
                <w:color w:val="000000"/>
                <w:lang w:eastAsia="en-GB"/>
              </w:rPr>
            </w:pPr>
            <w:proofErr w:type="spellStart"/>
            <w:r w:rsidRPr="005D59CF">
              <w:rPr>
                <w:rFonts w:ascii="Calibri" w:eastAsia="Times New Roman" w:hAnsi="Calibri" w:cs="Times New Roman"/>
                <w:color w:val="000000"/>
                <w:lang w:eastAsia="en-GB"/>
              </w:rPr>
              <w:t>demo_eth</w:t>
            </w:r>
            <w:proofErr w:type="spellEnd"/>
          </w:p>
        </w:tc>
        <w:tc>
          <w:tcPr>
            <w:tcW w:w="960" w:type="dxa"/>
            <w:tcBorders>
              <w:top w:val="nil"/>
              <w:left w:val="single" w:sz="4" w:space="0" w:color="auto"/>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0.06</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-0.07</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-0.41</w:t>
            </w:r>
          </w:p>
        </w:tc>
      </w:tr>
      <w:tr w:rsidR="005D59CF" w:rsidRPr="005D59CF" w:rsidTr="005C68A8">
        <w:trPr>
          <w:trHeight w:val="300"/>
        </w:trPr>
        <w:tc>
          <w:tcPr>
            <w:tcW w:w="1306" w:type="dxa"/>
            <w:tcBorders>
              <w:top w:val="nil"/>
              <w:left w:val="nil"/>
              <w:bottom w:val="nil"/>
              <w:right w:val="single" w:sz="4" w:space="0" w:color="auto"/>
            </w:tcBorders>
            <w:shd w:val="clear" w:color="auto" w:fill="auto"/>
            <w:noWrap/>
            <w:vAlign w:val="bottom"/>
            <w:hideMark/>
          </w:tcPr>
          <w:p w:rsidR="005D59CF" w:rsidRPr="005D59CF" w:rsidRDefault="005D59CF" w:rsidP="005D59CF">
            <w:pPr>
              <w:spacing w:after="0" w:line="240" w:lineRule="auto"/>
              <w:rPr>
                <w:rFonts w:ascii="Calibri" w:eastAsia="Times New Roman" w:hAnsi="Calibri" w:cs="Times New Roman"/>
                <w:color w:val="000000"/>
                <w:lang w:eastAsia="en-GB"/>
              </w:rPr>
            </w:pPr>
            <w:proofErr w:type="spellStart"/>
            <w:r w:rsidRPr="005D59CF">
              <w:rPr>
                <w:rFonts w:ascii="Calibri" w:eastAsia="Times New Roman" w:hAnsi="Calibri" w:cs="Times New Roman"/>
                <w:color w:val="000000"/>
                <w:lang w:eastAsia="en-GB"/>
              </w:rPr>
              <w:t>demo_rel</w:t>
            </w:r>
            <w:proofErr w:type="spellEnd"/>
          </w:p>
        </w:tc>
        <w:tc>
          <w:tcPr>
            <w:tcW w:w="960" w:type="dxa"/>
            <w:tcBorders>
              <w:top w:val="nil"/>
              <w:left w:val="single" w:sz="4" w:space="0" w:color="auto"/>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0.05</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-0.01</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-0.11</w:t>
            </w:r>
          </w:p>
        </w:tc>
      </w:tr>
      <w:tr w:rsidR="005D59CF" w:rsidRPr="005D59CF" w:rsidTr="005C68A8">
        <w:trPr>
          <w:trHeight w:val="300"/>
        </w:trPr>
        <w:tc>
          <w:tcPr>
            <w:tcW w:w="1306" w:type="dxa"/>
            <w:tcBorders>
              <w:top w:val="nil"/>
              <w:left w:val="nil"/>
              <w:bottom w:val="nil"/>
              <w:right w:val="single" w:sz="4" w:space="0" w:color="auto"/>
            </w:tcBorders>
            <w:shd w:val="clear" w:color="auto" w:fill="auto"/>
            <w:noWrap/>
            <w:vAlign w:val="bottom"/>
            <w:hideMark/>
          </w:tcPr>
          <w:p w:rsidR="005D59CF" w:rsidRPr="005D59CF" w:rsidRDefault="005D59CF" w:rsidP="005D59CF">
            <w:pPr>
              <w:spacing w:after="0" w:line="240" w:lineRule="auto"/>
              <w:rPr>
                <w:rFonts w:ascii="Calibri" w:eastAsia="Times New Roman" w:hAnsi="Calibri" w:cs="Times New Roman"/>
                <w:color w:val="000000"/>
                <w:lang w:eastAsia="en-GB"/>
              </w:rPr>
            </w:pPr>
            <w:proofErr w:type="spellStart"/>
            <w:r w:rsidRPr="005D59CF">
              <w:rPr>
                <w:rFonts w:ascii="Calibri" w:eastAsia="Times New Roman" w:hAnsi="Calibri" w:cs="Times New Roman"/>
                <w:color w:val="000000"/>
                <w:lang w:eastAsia="en-GB"/>
              </w:rPr>
              <w:t>demo_coo</w:t>
            </w:r>
            <w:proofErr w:type="spellEnd"/>
          </w:p>
        </w:tc>
        <w:tc>
          <w:tcPr>
            <w:tcW w:w="960" w:type="dxa"/>
            <w:tcBorders>
              <w:top w:val="nil"/>
              <w:left w:val="single" w:sz="4" w:space="0" w:color="auto"/>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0.01</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0.00</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-0.13</w:t>
            </w:r>
          </w:p>
        </w:tc>
      </w:tr>
      <w:tr w:rsidR="005D59CF" w:rsidRPr="005D59CF" w:rsidTr="005C68A8">
        <w:trPr>
          <w:trHeight w:val="300"/>
        </w:trPr>
        <w:tc>
          <w:tcPr>
            <w:tcW w:w="1306" w:type="dxa"/>
            <w:tcBorders>
              <w:top w:val="nil"/>
              <w:left w:val="nil"/>
              <w:bottom w:val="nil"/>
              <w:right w:val="single" w:sz="4" w:space="0" w:color="auto"/>
            </w:tcBorders>
            <w:shd w:val="clear" w:color="auto" w:fill="auto"/>
            <w:noWrap/>
            <w:vAlign w:val="bottom"/>
            <w:hideMark/>
          </w:tcPr>
          <w:p w:rsidR="005D59CF" w:rsidRPr="005D59CF" w:rsidRDefault="005D59CF" w:rsidP="005D59CF">
            <w:pPr>
              <w:spacing w:after="0" w:line="240" w:lineRule="auto"/>
              <w:rPr>
                <w:rFonts w:ascii="Calibri" w:eastAsia="Times New Roman" w:hAnsi="Calibri" w:cs="Times New Roman"/>
                <w:color w:val="000000"/>
                <w:lang w:eastAsia="en-GB"/>
              </w:rPr>
            </w:pPr>
            <w:proofErr w:type="spellStart"/>
            <w:r w:rsidRPr="005D59CF">
              <w:rPr>
                <w:rFonts w:ascii="Calibri" w:eastAsia="Times New Roman" w:hAnsi="Calibri" w:cs="Times New Roman"/>
                <w:color w:val="000000"/>
                <w:lang w:eastAsia="en-GB"/>
              </w:rPr>
              <w:t>econ_qual</w:t>
            </w:r>
            <w:proofErr w:type="spellEnd"/>
          </w:p>
        </w:tc>
        <w:tc>
          <w:tcPr>
            <w:tcW w:w="960" w:type="dxa"/>
            <w:tcBorders>
              <w:top w:val="nil"/>
              <w:left w:val="single" w:sz="4" w:space="0" w:color="auto"/>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-0.11</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-0.06</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-0.29</w:t>
            </w:r>
          </w:p>
        </w:tc>
      </w:tr>
      <w:tr w:rsidR="005D59CF" w:rsidRPr="005D59CF" w:rsidTr="005C68A8">
        <w:trPr>
          <w:trHeight w:val="300"/>
        </w:trPr>
        <w:tc>
          <w:tcPr>
            <w:tcW w:w="1306" w:type="dxa"/>
            <w:tcBorders>
              <w:top w:val="nil"/>
              <w:left w:val="nil"/>
              <w:bottom w:val="nil"/>
              <w:right w:val="single" w:sz="4" w:space="0" w:color="auto"/>
            </w:tcBorders>
            <w:shd w:val="clear" w:color="auto" w:fill="auto"/>
            <w:noWrap/>
            <w:vAlign w:val="bottom"/>
            <w:hideMark/>
          </w:tcPr>
          <w:p w:rsidR="005D59CF" w:rsidRPr="005D59CF" w:rsidRDefault="005D59CF" w:rsidP="005D59CF">
            <w:pPr>
              <w:spacing w:after="0" w:line="240" w:lineRule="auto"/>
              <w:rPr>
                <w:rFonts w:ascii="Calibri" w:eastAsia="Times New Roman" w:hAnsi="Calibri" w:cs="Times New Roman"/>
                <w:color w:val="000000"/>
                <w:lang w:eastAsia="en-GB"/>
              </w:rPr>
            </w:pPr>
            <w:proofErr w:type="spellStart"/>
            <w:r w:rsidRPr="005D59CF">
              <w:rPr>
                <w:rFonts w:ascii="Calibri" w:eastAsia="Times New Roman" w:hAnsi="Calibri" w:cs="Times New Roman"/>
                <w:color w:val="000000"/>
                <w:lang w:eastAsia="en-GB"/>
              </w:rPr>
              <w:t>econ_act</w:t>
            </w:r>
            <w:proofErr w:type="spellEnd"/>
          </w:p>
        </w:tc>
        <w:tc>
          <w:tcPr>
            <w:tcW w:w="960" w:type="dxa"/>
            <w:tcBorders>
              <w:top w:val="nil"/>
              <w:left w:val="single" w:sz="4" w:space="0" w:color="auto"/>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0.03</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0.03</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0.05</w:t>
            </w:r>
          </w:p>
        </w:tc>
      </w:tr>
      <w:tr w:rsidR="005D59CF" w:rsidRPr="005D59CF" w:rsidTr="005C68A8">
        <w:trPr>
          <w:trHeight w:val="300"/>
        </w:trPr>
        <w:tc>
          <w:tcPr>
            <w:tcW w:w="1306" w:type="dxa"/>
            <w:tcBorders>
              <w:top w:val="nil"/>
              <w:left w:val="nil"/>
              <w:bottom w:val="nil"/>
              <w:right w:val="single" w:sz="4" w:space="0" w:color="auto"/>
            </w:tcBorders>
            <w:shd w:val="clear" w:color="auto" w:fill="auto"/>
            <w:noWrap/>
            <w:vAlign w:val="bottom"/>
            <w:hideMark/>
          </w:tcPr>
          <w:p w:rsidR="005D59CF" w:rsidRPr="005D59CF" w:rsidRDefault="005D59CF" w:rsidP="005D59CF">
            <w:pPr>
              <w:spacing w:after="0" w:line="240" w:lineRule="auto"/>
              <w:rPr>
                <w:rFonts w:ascii="Calibri" w:eastAsia="Times New Roman" w:hAnsi="Calibri" w:cs="Times New Roman"/>
                <w:color w:val="000000"/>
                <w:lang w:eastAsia="en-GB"/>
              </w:rPr>
            </w:pPr>
            <w:proofErr w:type="spellStart"/>
            <w:r w:rsidRPr="005D59CF">
              <w:rPr>
                <w:rFonts w:ascii="Calibri" w:eastAsia="Times New Roman" w:hAnsi="Calibri" w:cs="Times New Roman"/>
                <w:color w:val="000000"/>
                <w:lang w:eastAsia="en-GB"/>
              </w:rPr>
              <w:t>econ_sec</w:t>
            </w:r>
            <w:proofErr w:type="spellEnd"/>
          </w:p>
        </w:tc>
        <w:tc>
          <w:tcPr>
            <w:tcW w:w="960" w:type="dxa"/>
            <w:tcBorders>
              <w:top w:val="nil"/>
              <w:left w:val="single" w:sz="4" w:space="0" w:color="auto"/>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0.00</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0.02</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-0.06</w:t>
            </w:r>
          </w:p>
        </w:tc>
      </w:tr>
      <w:tr w:rsidR="005D59CF" w:rsidRPr="005D59CF" w:rsidTr="005C68A8">
        <w:trPr>
          <w:trHeight w:val="300"/>
        </w:trPr>
        <w:tc>
          <w:tcPr>
            <w:tcW w:w="1306" w:type="dxa"/>
            <w:tcBorders>
              <w:top w:val="nil"/>
              <w:left w:val="nil"/>
              <w:bottom w:val="nil"/>
              <w:right w:val="single" w:sz="4" w:space="0" w:color="auto"/>
            </w:tcBorders>
            <w:shd w:val="clear" w:color="auto" w:fill="auto"/>
            <w:noWrap/>
            <w:vAlign w:val="bottom"/>
            <w:hideMark/>
          </w:tcPr>
          <w:p w:rsidR="005D59CF" w:rsidRPr="005D59CF" w:rsidRDefault="005D59CF" w:rsidP="005D59CF">
            <w:pPr>
              <w:spacing w:after="0" w:line="240" w:lineRule="auto"/>
              <w:rPr>
                <w:rFonts w:ascii="Calibri" w:eastAsia="Times New Roman" w:hAnsi="Calibri" w:cs="Times New Roman"/>
                <w:color w:val="000000"/>
                <w:lang w:eastAsia="en-GB"/>
              </w:rPr>
            </w:pPr>
            <w:proofErr w:type="spellStart"/>
            <w:r w:rsidRPr="005D59CF">
              <w:rPr>
                <w:rFonts w:ascii="Calibri" w:eastAsia="Times New Roman" w:hAnsi="Calibri" w:cs="Times New Roman"/>
                <w:color w:val="000000"/>
                <w:lang w:eastAsia="en-GB"/>
              </w:rPr>
              <w:t>econ_ind</w:t>
            </w:r>
            <w:proofErr w:type="spellEnd"/>
          </w:p>
        </w:tc>
        <w:tc>
          <w:tcPr>
            <w:tcW w:w="960" w:type="dxa"/>
            <w:tcBorders>
              <w:top w:val="nil"/>
              <w:left w:val="single" w:sz="4" w:space="0" w:color="auto"/>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-0.01</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0.00</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-0.01</w:t>
            </w:r>
          </w:p>
        </w:tc>
      </w:tr>
      <w:tr w:rsidR="005D59CF" w:rsidRPr="005D59CF" w:rsidTr="005C68A8">
        <w:trPr>
          <w:trHeight w:val="300"/>
        </w:trPr>
        <w:tc>
          <w:tcPr>
            <w:tcW w:w="1306" w:type="dxa"/>
            <w:tcBorders>
              <w:top w:val="nil"/>
              <w:left w:val="nil"/>
              <w:bottom w:val="nil"/>
              <w:right w:val="single" w:sz="4" w:space="0" w:color="auto"/>
            </w:tcBorders>
            <w:shd w:val="clear" w:color="auto" w:fill="auto"/>
            <w:noWrap/>
            <w:vAlign w:val="bottom"/>
            <w:hideMark/>
          </w:tcPr>
          <w:p w:rsidR="005D59CF" w:rsidRPr="005D59CF" w:rsidRDefault="005D59CF" w:rsidP="005D59CF">
            <w:pPr>
              <w:spacing w:after="0" w:line="240" w:lineRule="auto"/>
              <w:rPr>
                <w:rFonts w:ascii="Calibri" w:eastAsia="Times New Roman" w:hAnsi="Calibri" w:cs="Times New Roman"/>
                <w:color w:val="000000"/>
                <w:lang w:eastAsia="en-GB"/>
              </w:rPr>
            </w:pPr>
            <w:proofErr w:type="spellStart"/>
            <w:r w:rsidRPr="005D59CF">
              <w:rPr>
                <w:rFonts w:ascii="Calibri" w:eastAsia="Times New Roman" w:hAnsi="Calibri" w:cs="Times New Roman"/>
                <w:color w:val="000000"/>
                <w:lang w:eastAsia="en-GB"/>
              </w:rPr>
              <w:t>land_vacant</w:t>
            </w:r>
            <w:proofErr w:type="spellEnd"/>
          </w:p>
        </w:tc>
        <w:tc>
          <w:tcPr>
            <w:tcW w:w="960" w:type="dxa"/>
            <w:tcBorders>
              <w:top w:val="nil"/>
              <w:left w:val="single" w:sz="4" w:space="0" w:color="auto"/>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0.10</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0.10</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-0.11</w:t>
            </w:r>
          </w:p>
        </w:tc>
      </w:tr>
      <w:tr w:rsidR="005D59CF" w:rsidRPr="005D59CF" w:rsidTr="005C68A8">
        <w:trPr>
          <w:trHeight w:val="300"/>
        </w:trPr>
        <w:tc>
          <w:tcPr>
            <w:tcW w:w="1306" w:type="dxa"/>
            <w:tcBorders>
              <w:top w:val="nil"/>
              <w:left w:val="nil"/>
              <w:bottom w:val="nil"/>
              <w:right w:val="single" w:sz="4" w:space="0" w:color="auto"/>
            </w:tcBorders>
            <w:shd w:val="clear" w:color="auto" w:fill="auto"/>
            <w:noWrap/>
            <w:vAlign w:val="bottom"/>
            <w:hideMark/>
          </w:tcPr>
          <w:p w:rsidR="005D59CF" w:rsidRPr="005D59CF" w:rsidRDefault="005D59CF" w:rsidP="005D59CF">
            <w:pPr>
              <w:spacing w:after="0" w:line="240" w:lineRule="auto"/>
              <w:rPr>
                <w:rFonts w:ascii="Calibri" w:eastAsia="Times New Roman" w:hAnsi="Calibri" w:cs="Times New Roman"/>
                <w:color w:val="000000"/>
                <w:lang w:eastAsia="en-GB"/>
              </w:rPr>
            </w:pPr>
            <w:proofErr w:type="spellStart"/>
            <w:r w:rsidRPr="005D59CF">
              <w:rPr>
                <w:rFonts w:ascii="Calibri" w:eastAsia="Times New Roman" w:hAnsi="Calibri" w:cs="Times New Roman"/>
                <w:color w:val="000000"/>
                <w:lang w:eastAsia="en-GB"/>
              </w:rPr>
              <w:t>land_bus</w:t>
            </w:r>
            <w:proofErr w:type="spellEnd"/>
          </w:p>
        </w:tc>
        <w:tc>
          <w:tcPr>
            <w:tcW w:w="960" w:type="dxa"/>
            <w:tcBorders>
              <w:top w:val="nil"/>
              <w:left w:val="single" w:sz="4" w:space="0" w:color="auto"/>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0.02</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0.05</w:t>
            </w:r>
          </w:p>
        </w:tc>
        <w:tc>
          <w:tcPr>
            <w:tcW w:w="960" w:type="dxa"/>
            <w:tcBorders>
              <w:top w:val="nil"/>
              <w:left w:val="nil"/>
              <w:bottom w:val="nil"/>
              <w:right w:val="nil"/>
            </w:tcBorders>
            <w:shd w:val="clear" w:color="auto" w:fill="auto"/>
            <w:noWrap/>
            <w:vAlign w:val="bottom"/>
            <w:hideMark/>
          </w:tcPr>
          <w:p w:rsidR="005D59CF" w:rsidRPr="005D59CF" w:rsidRDefault="005D59CF" w:rsidP="005D59CF">
            <w:pPr>
              <w:spacing w:after="0" w:line="240" w:lineRule="auto"/>
              <w:jc w:val="right"/>
              <w:rPr>
                <w:rFonts w:ascii="Calibri" w:eastAsia="Times New Roman" w:hAnsi="Calibri" w:cs="Times New Roman"/>
                <w:color w:val="000000"/>
                <w:lang w:eastAsia="en-GB"/>
              </w:rPr>
            </w:pPr>
            <w:r w:rsidRPr="005D59CF">
              <w:rPr>
                <w:rFonts w:ascii="Calibri" w:eastAsia="Times New Roman" w:hAnsi="Calibri" w:cs="Times New Roman"/>
                <w:color w:val="000000"/>
                <w:lang w:eastAsia="en-GB"/>
              </w:rPr>
              <w:t>-0.13</w:t>
            </w:r>
          </w:p>
        </w:tc>
      </w:tr>
    </w:tbl>
    <w:p w:rsidR="005D59CF" w:rsidRDefault="005D59CF" w:rsidP="009523DF"/>
    <w:p w:rsidR="005D59CF" w:rsidRDefault="005D59CF" w:rsidP="009523DF"/>
    <w:tbl>
      <w:tblPr>
        <w:tblW w:w="4000" w:type="dxa"/>
        <w:tblInd w:w="93" w:type="dxa"/>
        <w:tblLook w:val="04A0"/>
      </w:tblPr>
      <w:tblGrid>
        <w:gridCol w:w="1306"/>
        <w:gridCol w:w="960"/>
        <w:gridCol w:w="960"/>
        <w:gridCol w:w="960"/>
      </w:tblGrid>
      <w:tr w:rsidR="005C68A8" w:rsidRPr="005C68A8" w:rsidTr="005C68A8">
        <w:trPr>
          <w:trHeight w:val="300"/>
        </w:trPr>
        <w:tc>
          <w:tcPr>
            <w:tcW w:w="1120" w:type="dxa"/>
            <w:tcBorders>
              <w:top w:val="nil"/>
              <w:left w:val="nil"/>
              <w:bottom w:val="single" w:sz="4" w:space="0" w:color="auto"/>
              <w:right w:val="single" w:sz="4" w:space="0" w:color="auto"/>
            </w:tcBorders>
            <w:shd w:val="clear" w:color="auto" w:fill="auto"/>
            <w:noWrap/>
            <w:vAlign w:val="bottom"/>
            <w:hideMark/>
          </w:tcPr>
          <w:p w:rsidR="005C68A8" w:rsidRPr="005C68A8" w:rsidRDefault="005C68A8" w:rsidP="005C68A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T2</w:t>
            </w:r>
          </w:p>
        </w:tc>
        <w:tc>
          <w:tcPr>
            <w:tcW w:w="960" w:type="dxa"/>
            <w:tcBorders>
              <w:top w:val="nil"/>
              <w:left w:val="single" w:sz="4" w:space="0" w:color="auto"/>
              <w:bottom w:val="single" w:sz="4" w:space="0" w:color="auto"/>
              <w:right w:val="nil"/>
            </w:tcBorders>
            <w:shd w:val="clear" w:color="auto" w:fill="auto"/>
            <w:noWrap/>
            <w:vAlign w:val="bottom"/>
            <w:hideMark/>
          </w:tcPr>
          <w:p w:rsidR="005C68A8" w:rsidRPr="005C68A8" w:rsidRDefault="005C68A8" w:rsidP="005C68A8">
            <w:pPr>
              <w:spacing w:after="0" w:line="240" w:lineRule="auto"/>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PC1</w:t>
            </w:r>
          </w:p>
        </w:tc>
        <w:tc>
          <w:tcPr>
            <w:tcW w:w="960" w:type="dxa"/>
            <w:tcBorders>
              <w:top w:val="nil"/>
              <w:left w:val="nil"/>
              <w:bottom w:val="single" w:sz="4" w:space="0" w:color="auto"/>
              <w:right w:val="nil"/>
            </w:tcBorders>
            <w:shd w:val="clear" w:color="auto" w:fill="auto"/>
            <w:noWrap/>
            <w:vAlign w:val="bottom"/>
            <w:hideMark/>
          </w:tcPr>
          <w:p w:rsidR="005C68A8" w:rsidRPr="005C68A8" w:rsidRDefault="005C68A8" w:rsidP="005C68A8">
            <w:pPr>
              <w:spacing w:after="0" w:line="240" w:lineRule="auto"/>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PC2</w:t>
            </w:r>
          </w:p>
        </w:tc>
        <w:tc>
          <w:tcPr>
            <w:tcW w:w="960" w:type="dxa"/>
            <w:tcBorders>
              <w:top w:val="nil"/>
              <w:left w:val="nil"/>
              <w:bottom w:val="single" w:sz="4" w:space="0" w:color="auto"/>
              <w:right w:val="nil"/>
            </w:tcBorders>
            <w:shd w:val="clear" w:color="auto" w:fill="auto"/>
            <w:noWrap/>
            <w:vAlign w:val="bottom"/>
            <w:hideMark/>
          </w:tcPr>
          <w:p w:rsidR="005C68A8" w:rsidRPr="005C68A8" w:rsidRDefault="005C68A8" w:rsidP="005C68A8">
            <w:pPr>
              <w:spacing w:after="0" w:line="240" w:lineRule="auto"/>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PC3</w:t>
            </w:r>
          </w:p>
        </w:tc>
      </w:tr>
      <w:tr w:rsidR="005C68A8" w:rsidRPr="005C68A8" w:rsidTr="005C68A8">
        <w:trPr>
          <w:trHeight w:val="300"/>
        </w:trPr>
        <w:tc>
          <w:tcPr>
            <w:tcW w:w="1120" w:type="dxa"/>
            <w:tcBorders>
              <w:top w:val="single" w:sz="4" w:space="0" w:color="auto"/>
              <w:left w:val="nil"/>
              <w:bottom w:val="nil"/>
              <w:right w:val="single" w:sz="4" w:space="0" w:color="auto"/>
            </w:tcBorders>
            <w:shd w:val="clear" w:color="auto" w:fill="auto"/>
            <w:noWrap/>
            <w:vAlign w:val="bottom"/>
            <w:hideMark/>
          </w:tcPr>
          <w:p w:rsidR="005C68A8" w:rsidRPr="005C68A8" w:rsidRDefault="005C68A8" w:rsidP="005C68A8">
            <w:pPr>
              <w:spacing w:after="0" w:line="240" w:lineRule="auto"/>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tenure</w:t>
            </w:r>
          </w:p>
        </w:tc>
        <w:tc>
          <w:tcPr>
            <w:tcW w:w="960" w:type="dxa"/>
            <w:tcBorders>
              <w:top w:val="single" w:sz="4" w:space="0" w:color="auto"/>
              <w:left w:val="single" w:sz="4" w:space="0" w:color="auto"/>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0.39</w:t>
            </w:r>
          </w:p>
        </w:tc>
        <w:tc>
          <w:tcPr>
            <w:tcW w:w="960" w:type="dxa"/>
            <w:tcBorders>
              <w:top w:val="single" w:sz="4" w:space="0" w:color="auto"/>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0.91</w:t>
            </w:r>
          </w:p>
        </w:tc>
        <w:tc>
          <w:tcPr>
            <w:tcW w:w="960" w:type="dxa"/>
            <w:tcBorders>
              <w:top w:val="single" w:sz="4" w:space="0" w:color="auto"/>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-0.01</w:t>
            </w:r>
          </w:p>
        </w:tc>
      </w:tr>
      <w:tr w:rsidR="005C68A8" w:rsidRPr="005C68A8" w:rsidTr="005C68A8">
        <w:trPr>
          <w:trHeight w:val="300"/>
        </w:trPr>
        <w:tc>
          <w:tcPr>
            <w:tcW w:w="1120" w:type="dxa"/>
            <w:tcBorders>
              <w:top w:val="nil"/>
              <w:left w:val="nil"/>
              <w:bottom w:val="nil"/>
              <w:right w:val="single" w:sz="4" w:space="0" w:color="auto"/>
            </w:tcBorders>
            <w:shd w:val="clear" w:color="auto" w:fill="auto"/>
            <w:noWrap/>
            <w:vAlign w:val="bottom"/>
            <w:hideMark/>
          </w:tcPr>
          <w:p w:rsidR="005C68A8" w:rsidRPr="005C68A8" w:rsidRDefault="005C68A8" w:rsidP="005C68A8">
            <w:pPr>
              <w:spacing w:after="0" w:line="240" w:lineRule="auto"/>
              <w:rPr>
                <w:rFonts w:ascii="Calibri" w:eastAsia="Times New Roman" w:hAnsi="Calibri" w:cs="Times New Roman"/>
                <w:color w:val="000000"/>
                <w:lang w:eastAsia="en-GB"/>
              </w:rPr>
            </w:pPr>
            <w:proofErr w:type="spellStart"/>
            <w:r w:rsidRPr="005C68A8">
              <w:rPr>
                <w:rFonts w:ascii="Calibri" w:eastAsia="Times New Roman" w:hAnsi="Calibri" w:cs="Times New Roman"/>
                <w:color w:val="000000"/>
                <w:lang w:eastAsia="en-GB"/>
              </w:rPr>
              <w:t>bld_band</w:t>
            </w:r>
            <w:proofErr w:type="spellEnd"/>
          </w:p>
        </w:tc>
        <w:tc>
          <w:tcPr>
            <w:tcW w:w="960" w:type="dxa"/>
            <w:tcBorders>
              <w:top w:val="nil"/>
              <w:left w:val="single" w:sz="4" w:space="0" w:color="auto"/>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-0.23</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0.12</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-0.67</w:t>
            </w:r>
          </w:p>
        </w:tc>
      </w:tr>
      <w:tr w:rsidR="005C68A8" w:rsidRPr="005C68A8" w:rsidTr="005C68A8">
        <w:trPr>
          <w:trHeight w:val="300"/>
        </w:trPr>
        <w:tc>
          <w:tcPr>
            <w:tcW w:w="1120" w:type="dxa"/>
            <w:tcBorders>
              <w:top w:val="nil"/>
              <w:left w:val="nil"/>
              <w:bottom w:val="nil"/>
              <w:right w:val="single" w:sz="4" w:space="0" w:color="auto"/>
            </w:tcBorders>
            <w:shd w:val="clear" w:color="auto" w:fill="auto"/>
            <w:noWrap/>
            <w:vAlign w:val="bottom"/>
            <w:hideMark/>
          </w:tcPr>
          <w:p w:rsidR="005C68A8" w:rsidRPr="005C68A8" w:rsidRDefault="005C68A8" w:rsidP="005C68A8">
            <w:pPr>
              <w:spacing w:after="0" w:line="240" w:lineRule="auto"/>
              <w:rPr>
                <w:rFonts w:ascii="Calibri" w:eastAsia="Times New Roman" w:hAnsi="Calibri" w:cs="Times New Roman"/>
                <w:color w:val="000000"/>
                <w:lang w:eastAsia="en-GB"/>
              </w:rPr>
            </w:pPr>
            <w:proofErr w:type="spellStart"/>
            <w:r w:rsidRPr="005C68A8">
              <w:rPr>
                <w:rFonts w:ascii="Calibri" w:eastAsia="Times New Roman" w:hAnsi="Calibri" w:cs="Times New Roman"/>
                <w:color w:val="000000"/>
                <w:lang w:eastAsia="en-GB"/>
              </w:rPr>
              <w:t>bld_size</w:t>
            </w:r>
            <w:proofErr w:type="spellEnd"/>
          </w:p>
        </w:tc>
        <w:tc>
          <w:tcPr>
            <w:tcW w:w="960" w:type="dxa"/>
            <w:tcBorders>
              <w:top w:val="nil"/>
              <w:left w:val="single" w:sz="4" w:space="0" w:color="auto"/>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-0.16</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0.02</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-0.39</w:t>
            </w:r>
          </w:p>
        </w:tc>
      </w:tr>
      <w:tr w:rsidR="005C68A8" w:rsidRPr="005C68A8" w:rsidTr="005C68A8">
        <w:trPr>
          <w:trHeight w:val="300"/>
        </w:trPr>
        <w:tc>
          <w:tcPr>
            <w:tcW w:w="1120" w:type="dxa"/>
            <w:tcBorders>
              <w:top w:val="nil"/>
              <w:left w:val="nil"/>
              <w:bottom w:val="nil"/>
              <w:right w:val="single" w:sz="4" w:space="0" w:color="auto"/>
            </w:tcBorders>
            <w:shd w:val="clear" w:color="auto" w:fill="auto"/>
            <w:noWrap/>
            <w:vAlign w:val="bottom"/>
            <w:hideMark/>
          </w:tcPr>
          <w:p w:rsidR="005C68A8" w:rsidRPr="005C68A8" w:rsidRDefault="005C68A8" w:rsidP="005C68A8">
            <w:pPr>
              <w:spacing w:after="0" w:line="240" w:lineRule="auto"/>
              <w:rPr>
                <w:rFonts w:ascii="Calibri" w:eastAsia="Times New Roman" w:hAnsi="Calibri" w:cs="Times New Roman"/>
                <w:color w:val="000000"/>
                <w:lang w:eastAsia="en-GB"/>
              </w:rPr>
            </w:pPr>
            <w:proofErr w:type="spellStart"/>
            <w:r w:rsidRPr="005C68A8">
              <w:rPr>
                <w:rFonts w:ascii="Calibri" w:eastAsia="Times New Roman" w:hAnsi="Calibri" w:cs="Times New Roman"/>
                <w:color w:val="000000"/>
                <w:lang w:eastAsia="en-GB"/>
              </w:rPr>
              <w:t>bld_type</w:t>
            </w:r>
            <w:proofErr w:type="spellEnd"/>
          </w:p>
        </w:tc>
        <w:tc>
          <w:tcPr>
            <w:tcW w:w="960" w:type="dxa"/>
            <w:tcBorders>
              <w:top w:val="nil"/>
              <w:left w:val="single" w:sz="4" w:space="0" w:color="auto"/>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-0.85</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0.36</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0.12</w:t>
            </w:r>
          </w:p>
        </w:tc>
      </w:tr>
      <w:tr w:rsidR="005C68A8" w:rsidRPr="005C68A8" w:rsidTr="005C68A8">
        <w:trPr>
          <w:trHeight w:val="300"/>
        </w:trPr>
        <w:tc>
          <w:tcPr>
            <w:tcW w:w="1120" w:type="dxa"/>
            <w:tcBorders>
              <w:top w:val="nil"/>
              <w:left w:val="nil"/>
              <w:bottom w:val="nil"/>
              <w:right w:val="single" w:sz="4" w:space="0" w:color="auto"/>
            </w:tcBorders>
            <w:shd w:val="clear" w:color="auto" w:fill="auto"/>
            <w:noWrap/>
            <w:vAlign w:val="bottom"/>
            <w:hideMark/>
          </w:tcPr>
          <w:p w:rsidR="005C68A8" w:rsidRPr="005C68A8" w:rsidRDefault="005C68A8" w:rsidP="005C68A8">
            <w:pPr>
              <w:spacing w:after="0" w:line="240" w:lineRule="auto"/>
              <w:rPr>
                <w:rFonts w:ascii="Calibri" w:eastAsia="Times New Roman" w:hAnsi="Calibri" w:cs="Times New Roman"/>
                <w:color w:val="000000"/>
                <w:lang w:eastAsia="en-GB"/>
              </w:rPr>
            </w:pPr>
            <w:proofErr w:type="spellStart"/>
            <w:r w:rsidRPr="005C68A8">
              <w:rPr>
                <w:rFonts w:ascii="Calibri" w:eastAsia="Times New Roman" w:hAnsi="Calibri" w:cs="Times New Roman"/>
                <w:color w:val="000000"/>
                <w:lang w:eastAsia="en-GB"/>
              </w:rPr>
              <w:t>demo_as</w:t>
            </w:r>
            <w:proofErr w:type="spellEnd"/>
          </w:p>
        </w:tc>
        <w:tc>
          <w:tcPr>
            <w:tcW w:w="960" w:type="dxa"/>
            <w:tcBorders>
              <w:top w:val="nil"/>
              <w:left w:val="single" w:sz="4" w:space="0" w:color="auto"/>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-0.02</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0.01</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0.05</w:t>
            </w:r>
          </w:p>
        </w:tc>
      </w:tr>
      <w:tr w:rsidR="005C68A8" w:rsidRPr="005C68A8" w:rsidTr="005C68A8">
        <w:trPr>
          <w:trHeight w:val="300"/>
        </w:trPr>
        <w:tc>
          <w:tcPr>
            <w:tcW w:w="1120" w:type="dxa"/>
            <w:tcBorders>
              <w:top w:val="nil"/>
              <w:left w:val="nil"/>
              <w:bottom w:val="nil"/>
              <w:right w:val="single" w:sz="4" w:space="0" w:color="auto"/>
            </w:tcBorders>
            <w:shd w:val="clear" w:color="auto" w:fill="auto"/>
            <w:noWrap/>
            <w:vAlign w:val="bottom"/>
            <w:hideMark/>
          </w:tcPr>
          <w:p w:rsidR="005C68A8" w:rsidRPr="005C68A8" w:rsidRDefault="005C68A8" w:rsidP="005C68A8">
            <w:pPr>
              <w:spacing w:after="0" w:line="240" w:lineRule="auto"/>
              <w:rPr>
                <w:rFonts w:ascii="Calibri" w:eastAsia="Times New Roman" w:hAnsi="Calibri" w:cs="Times New Roman"/>
                <w:color w:val="000000"/>
                <w:lang w:eastAsia="en-GB"/>
              </w:rPr>
            </w:pPr>
            <w:proofErr w:type="spellStart"/>
            <w:r w:rsidRPr="005C68A8">
              <w:rPr>
                <w:rFonts w:ascii="Calibri" w:eastAsia="Times New Roman" w:hAnsi="Calibri" w:cs="Times New Roman"/>
                <w:color w:val="000000"/>
                <w:lang w:eastAsia="en-GB"/>
              </w:rPr>
              <w:t>demo_eth</w:t>
            </w:r>
            <w:proofErr w:type="spellEnd"/>
          </w:p>
        </w:tc>
        <w:tc>
          <w:tcPr>
            <w:tcW w:w="960" w:type="dxa"/>
            <w:tcBorders>
              <w:top w:val="nil"/>
              <w:left w:val="single" w:sz="4" w:space="0" w:color="auto"/>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0.18</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-0.11</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-0.52</w:t>
            </w:r>
          </w:p>
        </w:tc>
      </w:tr>
      <w:tr w:rsidR="005C68A8" w:rsidRPr="005C68A8" w:rsidTr="005C68A8">
        <w:trPr>
          <w:trHeight w:val="300"/>
        </w:trPr>
        <w:tc>
          <w:tcPr>
            <w:tcW w:w="1120" w:type="dxa"/>
            <w:tcBorders>
              <w:top w:val="nil"/>
              <w:left w:val="nil"/>
              <w:bottom w:val="nil"/>
              <w:right w:val="single" w:sz="4" w:space="0" w:color="auto"/>
            </w:tcBorders>
            <w:shd w:val="clear" w:color="auto" w:fill="auto"/>
            <w:noWrap/>
            <w:vAlign w:val="bottom"/>
            <w:hideMark/>
          </w:tcPr>
          <w:p w:rsidR="005C68A8" w:rsidRPr="005C68A8" w:rsidRDefault="005C68A8" w:rsidP="005C68A8">
            <w:pPr>
              <w:spacing w:after="0" w:line="240" w:lineRule="auto"/>
              <w:rPr>
                <w:rFonts w:ascii="Calibri" w:eastAsia="Times New Roman" w:hAnsi="Calibri" w:cs="Times New Roman"/>
                <w:color w:val="000000"/>
                <w:lang w:eastAsia="en-GB"/>
              </w:rPr>
            </w:pPr>
            <w:proofErr w:type="spellStart"/>
            <w:r w:rsidRPr="005C68A8">
              <w:rPr>
                <w:rFonts w:ascii="Calibri" w:eastAsia="Times New Roman" w:hAnsi="Calibri" w:cs="Times New Roman"/>
                <w:color w:val="000000"/>
                <w:lang w:eastAsia="en-GB"/>
              </w:rPr>
              <w:t>demo_rel</w:t>
            </w:r>
            <w:proofErr w:type="spellEnd"/>
          </w:p>
        </w:tc>
        <w:tc>
          <w:tcPr>
            <w:tcW w:w="960" w:type="dxa"/>
            <w:tcBorders>
              <w:top w:val="nil"/>
              <w:left w:val="single" w:sz="4" w:space="0" w:color="auto"/>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0.03</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-0.05</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-0.14</w:t>
            </w:r>
          </w:p>
        </w:tc>
      </w:tr>
      <w:tr w:rsidR="005C68A8" w:rsidRPr="005C68A8" w:rsidTr="005C68A8">
        <w:trPr>
          <w:trHeight w:val="300"/>
        </w:trPr>
        <w:tc>
          <w:tcPr>
            <w:tcW w:w="1120" w:type="dxa"/>
            <w:tcBorders>
              <w:top w:val="nil"/>
              <w:left w:val="nil"/>
              <w:bottom w:val="nil"/>
              <w:right w:val="single" w:sz="4" w:space="0" w:color="auto"/>
            </w:tcBorders>
            <w:shd w:val="clear" w:color="auto" w:fill="auto"/>
            <w:noWrap/>
            <w:vAlign w:val="bottom"/>
            <w:hideMark/>
          </w:tcPr>
          <w:p w:rsidR="005C68A8" w:rsidRPr="005C68A8" w:rsidRDefault="005C68A8" w:rsidP="005C68A8">
            <w:pPr>
              <w:spacing w:after="0" w:line="240" w:lineRule="auto"/>
              <w:rPr>
                <w:rFonts w:ascii="Calibri" w:eastAsia="Times New Roman" w:hAnsi="Calibri" w:cs="Times New Roman"/>
                <w:color w:val="000000"/>
                <w:lang w:eastAsia="en-GB"/>
              </w:rPr>
            </w:pPr>
            <w:proofErr w:type="spellStart"/>
            <w:r w:rsidRPr="005C68A8">
              <w:rPr>
                <w:rFonts w:ascii="Calibri" w:eastAsia="Times New Roman" w:hAnsi="Calibri" w:cs="Times New Roman"/>
                <w:color w:val="000000"/>
                <w:lang w:eastAsia="en-GB"/>
              </w:rPr>
              <w:t>demo_coo</w:t>
            </w:r>
            <w:proofErr w:type="spellEnd"/>
          </w:p>
        </w:tc>
        <w:tc>
          <w:tcPr>
            <w:tcW w:w="960" w:type="dxa"/>
            <w:tcBorders>
              <w:top w:val="nil"/>
              <w:left w:val="single" w:sz="4" w:space="0" w:color="auto"/>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0.04</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-0.01</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-0.17</w:t>
            </w:r>
          </w:p>
        </w:tc>
      </w:tr>
      <w:tr w:rsidR="005C68A8" w:rsidRPr="005C68A8" w:rsidTr="005C68A8">
        <w:trPr>
          <w:trHeight w:val="300"/>
        </w:trPr>
        <w:tc>
          <w:tcPr>
            <w:tcW w:w="1120" w:type="dxa"/>
            <w:tcBorders>
              <w:top w:val="nil"/>
              <w:left w:val="nil"/>
              <w:bottom w:val="nil"/>
              <w:right w:val="single" w:sz="4" w:space="0" w:color="auto"/>
            </w:tcBorders>
            <w:shd w:val="clear" w:color="auto" w:fill="auto"/>
            <w:noWrap/>
            <w:vAlign w:val="bottom"/>
            <w:hideMark/>
          </w:tcPr>
          <w:p w:rsidR="005C68A8" w:rsidRPr="005C68A8" w:rsidRDefault="005C68A8" w:rsidP="005C68A8">
            <w:pPr>
              <w:spacing w:after="0" w:line="240" w:lineRule="auto"/>
              <w:rPr>
                <w:rFonts w:ascii="Calibri" w:eastAsia="Times New Roman" w:hAnsi="Calibri" w:cs="Times New Roman"/>
                <w:color w:val="000000"/>
                <w:lang w:eastAsia="en-GB"/>
              </w:rPr>
            </w:pPr>
            <w:proofErr w:type="spellStart"/>
            <w:r w:rsidRPr="005C68A8">
              <w:rPr>
                <w:rFonts w:ascii="Calibri" w:eastAsia="Times New Roman" w:hAnsi="Calibri" w:cs="Times New Roman"/>
                <w:color w:val="000000"/>
                <w:lang w:eastAsia="en-GB"/>
              </w:rPr>
              <w:t>econ_qual</w:t>
            </w:r>
            <w:proofErr w:type="spellEnd"/>
          </w:p>
        </w:tc>
        <w:tc>
          <w:tcPr>
            <w:tcW w:w="960" w:type="dxa"/>
            <w:tcBorders>
              <w:top w:val="nil"/>
              <w:left w:val="single" w:sz="4" w:space="0" w:color="auto"/>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-0.07</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0.01</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-0.04</w:t>
            </w:r>
          </w:p>
        </w:tc>
      </w:tr>
      <w:tr w:rsidR="005C68A8" w:rsidRPr="005C68A8" w:rsidTr="005C68A8">
        <w:trPr>
          <w:trHeight w:val="300"/>
        </w:trPr>
        <w:tc>
          <w:tcPr>
            <w:tcW w:w="1120" w:type="dxa"/>
            <w:tcBorders>
              <w:top w:val="nil"/>
              <w:left w:val="nil"/>
              <w:bottom w:val="nil"/>
              <w:right w:val="single" w:sz="4" w:space="0" w:color="auto"/>
            </w:tcBorders>
            <w:shd w:val="clear" w:color="auto" w:fill="auto"/>
            <w:noWrap/>
            <w:vAlign w:val="bottom"/>
            <w:hideMark/>
          </w:tcPr>
          <w:p w:rsidR="005C68A8" w:rsidRPr="005C68A8" w:rsidRDefault="005C68A8" w:rsidP="005C68A8">
            <w:pPr>
              <w:spacing w:after="0" w:line="240" w:lineRule="auto"/>
              <w:rPr>
                <w:rFonts w:ascii="Calibri" w:eastAsia="Times New Roman" w:hAnsi="Calibri" w:cs="Times New Roman"/>
                <w:color w:val="000000"/>
                <w:lang w:eastAsia="en-GB"/>
              </w:rPr>
            </w:pPr>
            <w:proofErr w:type="spellStart"/>
            <w:r w:rsidRPr="005C68A8">
              <w:rPr>
                <w:rFonts w:ascii="Calibri" w:eastAsia="Times New Roman" w:hAnsi="Calibri" w:cs="Times New Roman"/>
                <w:color w:val="000000"/>
                <w:lang w:eastAsia="en-GB"/>
              </w:rPr>
              <w:t>econ_act</w:t>
            </w:r>
            <w:proofErr w:type="spellEnd"/>
          </w:p>
        </w:tc>
        <w:tc>
          <w:tcPr>
            <w:tcW w:w="960" w:type="dxa"/>
            <w:tcBorders>
              <w:top w:val="nil"/>
              <w:left w:val="single" w:sz="4" w:space="0" w:color="auto"/>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0.03</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0.03</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0.04</w:t>
            </w:r>
          </w:p>
        </w:tc>
      </w:tr>
      <w:tr w:rsidR="005C68A8" w:rsidRPr="005C68A8" w:rsidTr="005C68A8">
        <w:trPr>
          <w:trHeight w:val="300"/>
        </w:trPr>
        <w:tc>
          <w:tcPr>
            <w:tcW w:w="1120" w:type="dxa"/>
            <w:tcBorders>
              <w:top w:val="nil"/>
              <w:left w:val="nil"/>
              <w:bottom w:val="nil"/>
              <w:right w:val="single" w:sz="4" w:space="0" w:color="auto"/>
            </w:tcBorders>
            <w:shd w:val="clear" w:color="auto" w:fill="auto"/>
            <w:noWrap/>
            <w:vAlign w:val="bottom"/>
            <w:hideMark/>
          </w:tcPr>
          <w:p w:rsidR="005C68A8" w:rsidRPr="005C68A8" w:rsidRDefault="005C68A8" w:rsidP="005C68A8">
            <w:pPr>
              <w:spacing w:after="0" w:line="240" w:lineRule="auto"/>
              <w:rPr>
                <w:rFonts w:ascii="Calibri" w:eastAsia="Times New Roman" w:hAnsi="Calibri" w:cs="Times New Roman"/>
                <w:color w:val="000000"/>
                <w:lang w:eastAsia="en-GB"/>
              </w:rPr>
            </w:pPr>
            <w:proofErr w:type="spellStart"/>
            <w:r w:rsidRPr="005C68A8">
              <w:rPr>
                <w:rFonts w:ascii="Calibri" w:eastAsia="Times New Roman" w:hAnsi="Calibri" w:cs="Times New Roman"/>
                <w:color w:val="000000"/>
                <w:lang w:eastAsia="en-GB"/>
              </w:rPr>
              <w:t>econ_sec</w:t>
            </w:r>
            <w:proofErr w:type="spellEnd"/>
          </w:p>
        </w:tc>
        <w:tc>
          <w:tcPr>
            <w:tcW w:w="960" w:type="dxa"/>
            <w:tcBorders>
              <w:top w:val="nil"/>
              <w:left w:val="single" w:sz="4" w:space="0" w:color="auto"/>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0.01</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0.03</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-0.17</w:t>
            </w:r>
          </w:p>
        </w:tc>
      </w:tr>
      <w:tr w:rsidR="005C68A8" w:rsidRPr="005C68A8" w:rsidTr="005C68A8">
        <w:trPr>
          <w:trHeight w:val="300"/>
        </w:trPr>
        <w:tc>
          <w:tcPr>
            <w:tcW w:w="1120" w:type="dxa"/>
            <w:tcBorders>
              <w:top w:val="nil"/>
              <w:left w:val="nil"/>
              <w:bottom w:val="nil"/>
              <w:right w:val="single" w:sz="4" w:space="0" w:color="auto"/>
            </w:tcBorders>
            <w:shd w:val="clear" w:color="auto" w:fill="auto"/>
            <w:noWrap/>
            <w:vAlign w:val="bottom"/>
            <w:hideMark/>
          </w:tcPr>
          <w:p w:rsidR="005C68A8" w:rsidRPr="005C68A8" w:rsidRDefault="005C68A8" w:rsidP="005C68A8">
            <w:pPr>
              <w:spacing w:after="0" w:line="240" w:lineRule="auto"/>
              <w:rPr>
                <w:rFonts w:ascii="Calibri" w:eastAsia="Times New Roman" w:hAnsi="Calibri" w:cs="Times New Roman"/>
                <w:color w:val="000000"/>
                <w:lang w:eastAsia="en-GB"/>
              </w:rPr>
            </w:pPr>
            <w:proofErr w:type="spellStart"/>
            <w:r w:rsidRPr="005C68A8">
              <w:rPr>
                <w:rFonts w:ascii="Calibri" w:eastAsia="Times New Roman" w:hAnsi="Calibri" w:cs="Times New Roman"/>
                <w:color w:val="000000"/>
                <w:lang w:eastAsia="en-GB"/>
              </w:rPr>
              <w:t>econ_ind</w:t>
            </w:r>
            <w:proofErr w:type="spellEnd"/>
          </w:p>
        </w:tc>
        <w:tc>
          <w:tcPr>
            <w:tcW w:w="960" w:type="dxa"/>
            <w:tcBorders>
              <w:top w:val="nil"/>
              <w:left w:val="single" w:sz="4" w:space="0" w:color="auto"/>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0.00</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0.01</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0.00</w:t>
            </w:r>
          </w:p>
        </w:tc>
      </w:tr>
      <w:tr w:rsidR="005C68A8" w:rsidRPr="005C68A8" w:rsidTr="005C68A8">
        <w:trPr>
          <w:trHeight w:val="300"/>
        </w:trPr>
        <w:tc>
          <w:tcPr>
            <w:tcW w:w="1120" w:type="dxa"/>
            <w:tcBorders>
              <w:top w:val="nil"/>
              <w:left w:val="nil"/>
              <w:bottom w:val="nil"/>
              <w:right w:val="single" w:sz="4" w:space="0" w:color="auto"/>
            </w:tcBorders>
            <w:shd w:val="clear" w:color="auto" w:fill="auto"/>
            <w:noWrap/>
            <w:vAlign w:val="bottom"/>
            <w:hideMark/>
          </w:tcPr>
          <w:p w:rsidR="005C68A8" w:rsidRPr="005C68A8" w:rsidRDefault="005C68A8" w:rsidP="005C68A8">
            <w:pPr>
              <w:spacing w:after="0" w:line="240" w:lineRule="auto"/>
              <w:rPr>
                <w:rFonts w:ascii="Calibri" w:eastAsia="Times New Roman" w:hAnsi="Calibri" w:cs="Times New Roman"/>
                <w:color w:val="000000"/>
                <w:lang w:eastAsia="en-GB"/>
              </w:rPr>
            </w:pPr>
            <w:proofErr w:type="spellStart"/>
            <w:r w:rsidRPr="005C68A8">
              <w:rPr>
                <w:rFonts w:ascii="Calibri" w:eastAsia="Times New Roman" w:hAnsi="Calibri" w:cs="Times New Roman"/>
                <w:color w:val="000000"/>
                <w:lang w:eastAsia="en-GB"/>
              </w:rPr>
              <w:t>land_vacant</w:t>
            </w:r>
            <w:proofErr w:type="spellEnd"/>
          </w:p>
        </w:tc>
        <w:tc>
          <w:tcPr>
            <w:tcW w:w="960" w:type="dxa"/>
            <w:tcBorders>
              <w:top w:val="nil"/>
              <w:left w:val="single" w:sz="4" w:space="0" w:color="auto"/>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0.05</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0.06</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-0.11</w:t>
            </w:r>
          </w:p>
        </w:tc>
      </w:tr>
      <w:tr w:rsidR="005C68A8" w:rsidRPr="005C68A8" w:rsidTr="005C68A8">
        <w:trPr>
          <w:trHeight w:val="300"/>
        </w:trPr>
        <w:tc>
          <w:tcPr>
            <w:tcW w:w="1120" w:type="dxa"/>
            <w:tcBorders>
              <w:top w:val="nil"/>
              <w:left w:val="nil"/>
              <w:bottom w:val="nil"/>
              <w:right w:val="single" w:sz="4" w:space="0" w:color="auto"/>
            </w:tcBorders>
            <w:shd w:val="clear" w:color="auto" w:fill="auto"/>
            <w:noWrap/>
            <w:vAlign w:val="bottom"/>
            <w:hideMark/>
          </w:tcPr>
          <w:p w:rsidR="005C68A8" w:rsidRPr="005C68A8" w:rsidRDefault="005C68A8" w:rsidP="005C68A8">
            <w:pPr>
              <w:spacing w:after="0" w:line="240" w:lineRule="auto"/>
              <w:rPr>
                <w:rFonts w:ascii="Calibri" w:eastAsia="Times New Roman" w:hAnsi="Calibri" w:cs="Times New Roman"/>
                <w:color w:val="000000"/>
                <w:lang w:eastAsia="en-GB"/>
              </w:rPr>
            </w:pPr>
            <w:proofErr w:type="spellStart"/>
            <w:r w:rsidRPr="005C68A8">
              <w:rPr>
                <w:rFonts w:ascii="Calibri" w:eastAsia="Times New Roman" w:hAnsi="Calibri" w:cs="Times New Roman"/>
                <w:color w:val="000000"/>
                <w:lang w:eastAsia="en-GB"/>
              </w:rPr>
              <w:t>land_bus</w:t>
            </w:r>
            <w:proofErr w:type="spellEnd"/>
          </w:p>
        </w:tc>
        <w:tc>
          <w:tcPr>
            <w:tcW w:w="960" w:type="dxa"/>
            <w:tcBorders>
              <w:top w:val="nil"/>
              <w:left w:val="single" w:sz="4" w:space="0" w:color="auto"/>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0.02</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0.04</w:t>
            </w:r>
          </w:p>
        </w:tc>
        <w:tc>
          <w:tcPr>
            <w:tcW w:w="960" w:type="dxa"/>
            <w:tcBorders>
              <w:top w:val="nil"/>
              <w:left w:val="nil"/>
              <w:bottom w:val="nil"/>
              <w:right w:val="nil"/>
            </w:tcBorders>
            <w:shd w:val="clear" w:color="auto" w:fill="auto"/>
            <w:noWrap/>
            <w:vAlign w:val="bottom"/>
            <w:hideMark/>
          </w:tcPr>
          <w:p w:rsidR="005C68A8" w:rsidRPr="005C68A8" w:rsidRDefault="005C68A8" w:rsidP="005C68A8">
            <w:pPr>
              <w:spacing w:after="0" w:line="240" w:lineRule="auto"/>
              <w:jc w:val="right"/>
              <w:rPr>
                <w:rFonts w:ascii="Calibri" w:eastAsia="Times New Roman" w:hAnsi="Calibri" w:cs="Times New Roman"/>
                <w:color w:val="000000"/>
                <w:lang w:eastAsia="en-GB"/>
              </w:rPr>
            </w:pPr>
            <w:r w:rsidRPr="005C68A8">
              <w:rPr>
                <w:rFonts w:ascii="Calibri" w:eastAsia="Times New Roman" w:hAnsi="Calibri" w:cs="Times New Roman"/>
                <w:color w:val="000000"/>
                <w:lang w:eastAsia="en-GB"/>
              </w:rPr>
              <w:t>-0.14</w:t>
            </w:r>
          </w:p>
        </w:tc>
      </w:tr>
    </w:tbl>
    <w:p w:rsidR="005D59CF" w:rsidRDefault="005D59CF" w:rsidP="009523DF"/>
    <w:p w:rsidR="009523DF" w:rsidRDefault="009523DF" w:rsidP="009523DF"/>
    <w:p w:rsidR="00FF76D0" w:rsidRDefault="00FF76D0" w:rsidP="009523DF"/>
    <w:p w:rsidR="00FF76D0" w:rsidRDefault="005C68A8" w:rsidP="009523DF">
      <w:r>
        <w:rPr>
          <w:noProof/>
          <w:lang w:eastAsia="en-GB"/>
        </w:rPr>
        <w:lastRenderedPageBreak/>
        <w:drawing>
          <wp:inline distT="0" distB="0" distL="0" distR="0">
            <wp:extent cx="5734050" cy="5734050"/>
            <wp:effectExtent l="19050" t="0" r="0" b="0"/>
            <wp:docPr id="10" name="Picture 10" descr="E:\repos\gowell\figures\corrplot_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pos\gowell\figures\corrplot_t1.png"/>
                    <pic:cNvPicPr>
                      <a:picLocks noChangeAspect="1" noChangeArrowheads="1"/>
                    </pic:cNvPicPr>
                  </pic:nvPicPr>
                  <pic:blipFill>
                    <a:blip r:embed="rId7" cstate="print"/>
                    <a:srcRect/>
                    <a:stretch>
                      <a:fillRect/>
                    </a:stretch>
                  </pic:blipFill>
                  <pic:spPr bwMode="auto">
                    <a:xfrm>
                      <a:off x="0" y="0"/>
                      <a:ext cx="5734050" cy="5734050"/>
                    </a:xfrm>
                    <a:prstGeom prst="rect">
                      <a:avLst/>
                    </a:prstGeom>
                    <a:noFill/>
                    <a:ln w="9525">
                      <a:noFill/>
                      <a:miter lim="800000"/>
                      <a:headEnd/>
                      <a:tailEnd/>
                    </a:ln>
                  </pic:spPr>
                </pic:pic>
              </a:graphicData>
            </a:graphic>
          </wp:inline>
        </w:drawing>
      </w:r>
    </w:p>
    <w:p w:rsidR="005C68A8" w:rsidRPr="009523DF" w:rsidRDefault="005C68A8" w:rsidP="009523DF">
      <w:r>
        <w:rPr>
          <w:noProof/>
          <w:lang w:eastAsia="en-GB"/>
        </w:rPr>
        <w:lastRenderedPageBreak/>
        <w:drawing>
          <wp:inline distT="0" distB="0" distL="0" distR="0">
            <wp:extent cx="5734050" cy="5734050"/>
            <wp:effectExtent l="19050" t="0" r="0" b="0"/>
            <wp:docPr id="11" name="Picture 11" descr="E:\repos\gowell\figures\corrplot_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pos\gowell\figures\corrplot_t2.png"/>
                    <pic:cNvPicPr>
                      <a:picLocks noChangeAspect="1" noChangeArrowheads="1"/>
                    </pic:cNvPicPr>
                  </pic:nvPicPr>
                  <pic:blipFill>
                    <a:blip r:embed="rId8" cstate="print"/>
                    <a:srcRect/>
                    <a:stretch>
                      <a:fillRect/>
                    </a:stretch>
                  </pic:blipFill>
                  <pic:spPr bwMode="auto">
                    <a:xfrm>
                      <a:off x="0" y="0"/>
                      <a:ext cx="5734050" cy="5734050"/>
                    </a:xfrm>
                    <a:prstGeom prst="rect">
                      <a:avLst/>
                    </a:prstGeom>
                    <a:noFill/>
                    <a:ln w="9525">
                      <a:noFill/>
                      <a:miter lim="800000"/>
                      <a:headEnd/>
                      <a:tailEnd/>
                    </a:ln>
                  </pic:spPr>
                </pic:pic>
              </a:graphicData>
            </a:graphic>
          </wp:inline>
        </w:drawing>
      </w:r>
    </w:p>
    <w:p w:rsidR="009523DF" w:rsidRDefault="009523DF" w:rsidP="009523DF">
      <w:r>
        <w:rPr>
          <w:noProof/>
          <w:lang w:eastAsia="en-GB"/>
        </w:rPr>
        <w:lastRenderedPageBreak/>
        <w:drawing>
          <wp:inline distT="0" distB="0" distL="0" distR="0">
            <wp:extent cx="5400675" cy="5400675"/>
            <wp:effectExtent l="19050" t="0" r="9525" b="0"/>
            <wp:docPr id="1" name="Picture 1" descr="E:\repos\gowell\figures\first_3_factors_t1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gowell\figures\first_3_factors_t1t2.png"/>
                    <pic:cNvPicPr>
                      <a:picLocks noChangeAspect="1" noChangeArrowheads="1"/>
                    </pic:cNvPicPr>
                  </pic:nvPicPr>
                  <pic:blipFill>
                    <a:blip r:embed="rId9" cstate="print"/>
                    <a:srcRect/>
                    <a:stretch>
                      <a:fillRect/>
                    </a:stretch>
                  </pic:blipFill>
                  <pic:spPr bwMode="auto">
                    <a:xfrm>
                      <a:off x="0" y="0"/>
                      <a:ext cx="5400675" cy="5400675"/>
                    </a:xfrm>
                    <a:prstGeom prst="rect">
                      <a:avLst/>
                    </a:prstGeom>
                    <a:noFill/>
                    <a:ln w="9525">
                      <a:noFill/>
                      <a:miter lim="800000"/>
                      <a:headEnd/>
                      <a:tailEnd/>
                    </a:ln>
                  </pic:spPr>
                </pic:pic>
              </a:graphicData>
            </a:graphic>
          </wp:inline>
        </w:drawing>
      </w:r>
    </w:p>
    <w:p w:rsidR="005C68A8" w:rsidRDefault="005C68A8" w:rsidP="009523DF"/>
    <w:p w:rsidR="005C68A8" w:rsidRDefault="002A1394" w:rsidP="009523DF">
      <w:r>
        <w:rPr>
          <w:noProof/>
          <w:lang w:eastAsia="en-GB"/>
        </w:rPr>
        <w:lastRenderedPageBreak/>
        <w:drawing>
          <wp:inline distT="0" distB="0" distL="0" distR="0">
            <wp:extent cx="5731510" cy="7075126"/>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731510" cy="7075126"/>
                    </a:xfrm>
                    <a:prstGeom prst="rect">
                      <a:avLst/>
                    </a:prstGeom>
                    <a:noFill/>
                    <a:ln w="9525">
                      <a:noFill/>
                      <a:miter lim="800000"/>
                      <a:headEnd/>
                      <a:tailEnd/>
                    </a:ln>
                  </pic:spPr>
                </pic:pic>
              </a:graphicData>
            </a:graphic>
          </wp:inline>
        </w:drawing>
      </w:r>
    </w:p>
    <w:p w:rsidR="002A1394" w:rsidRDefault="002A1394" w:rsidP="009523DF">
      <w:pPr>
        <w:sectPr w:rsidR="002A1394" w:rsidSect="00387F04">
          <w:pgSz w:w="11906" w:h="16838"/>
          <w:pgMar w:top="1440" w:right="1440" w:bottom="1440" w:left="1440" w:header="708" w:footer="708" w:gutter="0"/>
          <w:cols w:space="708"/>
          <w:docGrid w:linePitch="360"/>
        </w:sectPr>
      </w:pPr>
    </w:p>
    <w:p w:rsidR="002A1394" w:rsidRDefault="002A1394" w:rsidP="009523DF"/>
    <w:p w:rsidR="002A1394" w:rsidRPr="009523DF" w:rsidRDefault="002A1394" w:rsidP="009523DF">
      <w:r>
        <w:rPr>
          <w:noProof/>
          <w:lang w:eastAsia="en-GB"/>
        </w:rPr>
        <w:drawing>
          <wp:inline distT="0" distB="0" distL="0" distR="0">
            <wp:extent cx="8324850" cy="5235549"/>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8337608" cy="5243573"/>
                    </a:xfrm>
                    <a:prstGeom prst="rect">
                      <a:avLst/>
                    </a:prstGeom>
                    <a:noFill/>
                    <a:ln w="9525">
                      <a:noFill/>
                      <a:miter lim="800000"/>
                      <a:headEnd/>
                      <a:tailEnd/>
                    </a:ln>
                  </pic:spPr>
                </pic:pic>
              </a:graphicData>
            </a:graphic>
          </wp:inline>
        </w:drawing>
      </w:r>
    </w:p>
    <w:sectPr w:rsidR="002A1394" w:rsidRPr="009523DF" w:rsidSect="002A1394">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A68" w:rsidRDefault="009C5A68" w:rsidP="009A70C4">
      <w:pPr>
        <w:spacing w:after="0" w:line="240" w:lineRule="auto"/>
      </w:pPr>
      <w:r>
        <w:separator/>
      </w:r>
    </w:p>
  </w:endnote>
  <w:endnote w:type="continuationSeparator" w:id="0">
    <w:p w:rsidR="009C5A68" w:rsidRDefault="009C5A68" w:rsidP="009A70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56619"/>
      <w:docPartObj>
        <w:docPartGallery w:val="Page Numbers (Bottom of Page)"/>
        <w:docPartUnique/>
      </w:docPartObj>
    </w:sdtPr>
    <w:sdtContent>
      <w:p w:rsidR="005C68A8" w:rsidRDefault="005C68A8">
        <w:pPr>
          <w:pStyle w:val="Footer"/>
          <w:jc w:val="center"/>
        </w:pPr>
        <w:fldSimple w:instr=" PAGE   \* MERGEFORMAT ">
          <w:r w:rsidR="002A1394">
            <w:rPr>
              <w:noProof/>
            </w:rPr>
            <w:t>9</w:t>
          </w:r>
        </w:fldSimple>
      </w:p>
    </w:sdtContent>
  </w:sdt>
  <w:p w:rsidR="005C68A8" w:rsidRDefault="005C68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A68" w:rsidRDefault="009C5A68" w:rsidP="009A70C4">
      <w:pPr>
        <w:spacing w:after="0" w:line="240" w:lineRule="auto"/>
      </w:pPr>
      <w:r>
        <w:separator/>
      </w:r>
    </w:p>
  </w:footnote>
  <w:footnote w:type="continuationSeparator" w:id="0">
    <w:p w:rsidR="009C5A68" w:rsidRDefault="009C5A68" w:rsidP="009A70C4">
      <w:pPr>
        <w:spacing w:after="0" w:line="240" w:lineRule="auto"/>
      </w:pPr>
      <w:r>
        <w:continuationSeparator/>
      </w:r>
    </w:p>
  </w:footnote>
  <w:footnote w:id="1">
    <w:p w:rsidR="00E157E3" w:rsidRDefault="00E157E3">
      <w:pPr>
        <w:pStyle w:val="FootnoteText"/>
      </w:pPr>
      <w:r>
        <w:rPr>
          <w:rStyle w:val="FootnoteReference"/>
        </w:rPr>
        <w:footnoteRef/>
      </w:r>
      <w:r>
        <w:t xml:space="preserve"> Using 2003 instead</w:t>
      </w:r>
    </w:p>
  </w:footnote>
  <w:footnote w:id="2">
    <w:p w:rsidR="00E157E3" w:rsidRDefault="00E157E3">
      <w:pPr>
        <w:pStyle w:val="FootnoteText"/>
      </w:pPr>
      <w:r>
        <w:rPr>
          <w:rStyle w:val="FootnoteReference"/>
        </w:rPr>
        <w:footnoteRef/>
      </w:r>
      <w:r>
        <w:t xml:space="preserve"> Using 2006 instead</w:t>
      </w:r>
    </w:p>
  </w:footnote>
  <w:footnote w:id="3">
    <w:p w:rsidR="00E157E3" w:rsidRDefault="00E157E3">
      <w:pPr>
        <w:pStyle w:val="FootnoteText"/>
      </w:pPr>
      <w:r>
        <w:rPr>
          <w:rStyle w:val="FootnoteReference"/>
        </w:rPr>
        <w:footnoteRef/>
      </w:r>
      <w:r>
        <w:t xml:space="preserve"> Using 2006 instead</w:t>
      </w:r>
    </w:p>
  </w:footnote>
  <w:footnote w:id="4">
    <w:p w:rsidR="00E157E3" w:rsidRDefault="00E157E3">
      <w:pPr>
        <w:pStyle w:val="FootnoteText"/>
      </w:pPr>
      <w:r>
        <w:rPr>
          <w:rStyle w:val="FootnoteReference"/>
        </w:rPr>
        <w:footnoteRef/>
      </w:r>
      <w:r>
        <w:t xml:space="preserve"> </w:t>
      </w:r>
      <w:proofErr w:type="gramStart"/>
      <w:r>
        <w:t>2010 not 2011.</w:t>
      </w:r>
      <w:proofErr w:type="gramEnd"/>
      <w:r>
        <w:t xml:space="preserve"> Using Postcode Address File</w:t>
      </w:r>
    </w:p>
    <w:p w:rsidR="00E157E3" w:rsidRDefault="00E157E3">
      <w:pPr>
        <w:pStyle w:val="FootnoteText"/>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0207E"/>
    <w:rsid w:val="00042CC6"/>
    <w:rsid w:val="000A4C55"/>
    <w:rsid w:val="000A62AB"/>
    <w:rsid w:val="000F22EF"/>
    <w:rsid w:val="00113B5F"/>
    <w:rsid w:val="001C546F"/>
    <w:rsid w:val="001E51CA"/>
    <w:rsid w:val="0020207E"/>
    <w:rsid w:val="002A1394"/>
    <w:rsid w:val="002B606D"/>
    <w:rsid w:val="0033397B"/>
    <w:rsid w:val="00387F04"/>
    <w:rsid w:val="003B3901"/>
    <w:rsid w:val="003E51F6"/>
    <w:rsid w:val="004210CF"/>
    <w:rsid w:val="004256C0"/>
    <w:rsid w:val="004D5B99"/>
    <w:rsid w:val="00542CF6"/>
    <w:rsid w:val="005C4EEF"/>
    <w:rsid w:val="005C68A8"/>
    <w:rsid w:val="005D59CF"/>
    <w:rsid w:val="0062007B"/>
    <w:rsid w:val="006E59D8"/>
    <w:rsid w:val="007A6A10"/>
    <w:rsid w:val="009523DF"/>
    <w:rsid w:val="009579D0"/>
    <w:rsid w:val="009A2581"/>
    <w:rsid w:val="009A70C4"/>
    <w:rsid w:val="009C134D"/>
    <w:rsid w:val="009C5A68"/>
    <w:rsid w:val="00AE445F"/>
    <w:rsid w:val="00B03811"/>
    <w:rsid w:val="00BE7E91"/>
    <w:rsid w:val="00C6012B"/>
    <w:rsid w:val="00CD4B0B"/>
    <w:rsid w:val="00D64639"/>
    <w:rsid w:val="00D76390"/>
    <w:rsid w:val="00D9483C"/>
    <w:rsid w:val="00E157E3"/>
    <w:rsid w:val="00E651BC"/>
    <w:rsid w:val="00F10BCB"/>
    <w:rsid w:val="00F158AE"/>
    <w:rsid w:val="00FD4F89"/>
    <w:rsid w:val="00FF76D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83C"/>
  </w:style>
  <w:style w:type="paragraph" w:styleId="Heading1">
    <w:name w:val="heading 1"/>
    <w:basedOn w:val="Normal"/>
    <w:next w:val="Normal"/>
    <w:link w:val="Heading1Char"/>
    <w:uiPriority w:val="9"/>
    <w:qFormat/>
    <w:rsid w:val="003339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39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20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9A7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70C4"/>
    <w:rPr>
      <w:sz w:val="20"/>
      <w:szCs w:val="20"/>
    </w:rPr>
  </w:style>
  <w:style w:type="character" w:styleId="FootnoteReference">
    <w:name w:val="footnote reference"/>
    <w:basedOn w:val="DefaultParagraphFont"/>
    <w:uiPriority w:val="99"/>
    <w:semiHidden/>
    <w:unhideWhenUsed/>
    <w:rsid w:val="009A70C4"/>
    <w:rPr>
      <w:vertAlign w:val="superscript"/>
    </w:rPr>
  </w:style>
  <w:style w:type="paragraph" w:styleId="DocumentMap">
    <w:name w:val="Document Map"/>
    <w:basedOn w:val="Normal"/>
    <w:link w:val="DocumentMapChar"/>
    <w:uiPriority w:val="99"/>
    <w:semiHidden/>
    <w:unhideWhenUsed/>
    <w:rsid w:val="00FD4F8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D4F89"/>
    <w:rPr>
      <w:rFonts w:ascii="Tahoma" w:hAnsi="Tahoma" w:cs="Tahoma"/>
      <w:sz w:val="16"/>
      <w:szCs w:val="16"/>
    </w:rPr>
  </w:style>
  <w:style w:type="character" w:customStyle="1" w:styleId="Heading1Char">
    <w:name w:val="Heading 1 Char"/>
    <w:basedOn w:val="DefaultParagraphFont"/>
    <w:link w:val="Heading1"/>
    <w:uiPriority w:val="9"/>
    <w:rsid w:val="003339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397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52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3DF"/>
    <w:rPr>
      <w:rFonts w:ascii="Tahoma" w:hAnsi="Tahoma" w:cs="Tahoma"/>
      <w:sz w:val="16"/>
      <w:szCs w:val="16"/>
    </w:rPr>
  </w:style>
  <w:style w:type="paragraph" w:styleId="Caption">
    <w:name w:val="caption"/>
    <w:basedOn w:val="Normal"/>
    <w:next w:val="Normal"/>
    <w:uiPriority w:val="35"/>
    <w:unhideWhenUsed/>
    <w:qFormat/>
    <w:rsid w:val="005C68A8"/>
    <w:pPr>
      <w:spacing w:line="240" w:lineRule="auto"/>
    </w:pPr>
    <w:rPr>
      <w:b/>
      <w:bCs/>
      <w:color w:val="4F81BD" w:themeColor="accent1"/>
      <w:sz w:val="18"/>
      <w:szCs w:val="18"/>
    </w:rPr>
  </w:style>
  <w:style w:type="paragraph" w:styleId="Title">
    <w:name w:val="Title"/>
    <w:basedOn w:val="Normal"/>
    <w:next w:val="Normal"/>
    <w:link w:val="TitleChar"/>
    <w:uiPriority w:val="10"/>
    <w:qFormat/>
    <w:rsid w:val="005C68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68A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5C68A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C68A8"/>
  </w:style>
  <w:style w:type="paragraph" w:styleId="Footer">
    <w:name w:val="footer"/>
    <w:basedOn w:val="Normal"/>
    <w:link w:val="FooterChar"/>
    <w:uiPriority w:val="99"/>
    <w:unhideWhenUsed/>
    <w:rsid w:val="005C68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8A8"/>
  </w:style>
</w:styles>
</file>

<file path=word/webSettings.xml><?xml version="1.0" encoding="utf-8"?>
<w:webSettings xmlns:r="http://schemas.openxmlformats.org/officeDocument/2006/relationships" xmlns:w="http://schemas.openxmlformats.org/wordprocessingml/2006/main">
  <w:divs>
    <w:div w:id="350767778">
      <w:bodyDiv w:val="1"/>
      <w:marLeft w:val="0"/>
      <w:marRight w:val="0"/>
      <w:marTop w:val="0"/>
      <w:marBottom w:val="0"/>
      <w:divBdr>
        <w:top w:val="none" w:sz="0" w:space="0" w:color="auto"/>
        <w:left w:val="none" w:sz="0" w:space="0" w:color="auto"/>
        <w:bottom w:val="none" w:sz="0" w:space="0" w:color="auto"/>
        <w:right w:val="none" w:sz="0" w:space="0" w:color="auto"/>
      </w:divBdr>
    </w:div>
    <w:div w:id="509830575">
      <w:bodyDiv w:val="1"/>
      <w:marLeft w:val="0"/>
      <w:marRight w:val="0"/>
      <w:marTop w:val="0"/>
      <w:marBottom w:val="0"/>
      <w:divBdr>
        <w:top w:val="none" w:sz="0" w:space="0" w:color="auto"/>
        <w:left w:val="none" w:sz="0" w:space="0" w:color="auto"/>
        <w:bottom w:val="none" w:sz="0" w:space="0" w:color="auto"/>
        <w:right w:val="none" w:sz="0" w:space="0" w:color="auto"/>
      </w:divBdr>
    </w:div>
    <w:div w:id="1441142055">
      <w:bodyDiv w:val="1"/>
      <w:marLeft w:val="0"/>
      <w:marRight w:val="0"/>
      <w:marTop w:val="0"/>
      <w:marBottom w:val="0"/>
      <w:divBdr>
        <w:top w:val="none" w:sz="0" w:space="0" w:color="auto"/>
        <w:left w:val="none" w:sz="0" w:space="0" w:color="auto"/>
        <w:bottom w:val="none" w:sz="0" w:space="0" w:color="auto"/>
        <w:right w:val="none" w:sz="0" w:space="0" w:color="auto"/>
      </w:divBdr>
    </w:div>
    <w:div w:id="1738630474">
      <w:bodyDiv w:val="1"/>
      <w:marLeft w:val="0"/>
      <w:marRight w:val="0"/>
      <w:marTop w:val="0"/>
      <w:marBottom w:val="0"/>
      <w:divBdr>
        <w:top w:val="none" w:sz="0" w:space="0" w:color="auto"/>
        <w:left w:val="none" w:sz="0" w:space="0" w:color="auto"/>
        <w:bottom w:val="none" w:sz="0" w:space="0" w:color="auto"/>
        <w:right w:val="none" w:sz="0" w:space="0" w:color="auto"/>
      </w:divBdr>
    </w:div>
    <w:div w:id="1889299719">
      <w:bodyDiv w:val="1"/>
      <w:marLeft w:val="0"/>
      <w:marRight w:val="0"/>
      <w:marTop w:val="0"/>
      <w:marBottom w:val="0"/>
      <w:divBdr>
        <w:top w:val="none" w:sz="0" w:space="0" w:color="auto"/>
        <w:left w:val="none" w:sz="0" w:space="0" w:color="auto"/>
        <w:bottom w:val="none" w:sz="0" w:space="0" w:color="auto"/>
        <w:right w:val="none" w:sz="0" w:space="0" w:color="auto"/>
      </w:divBdr>
    </w:div>
    <w:div w:id="1945989039">
      <w:bodyDiv w:val="1"/>
      <w:marLeft w:val="0"/>
      <w:marRight w:val="0"/>
      <w:marTop w:val="0"/>
      <w:marBottom w:val="0"/>
      <w:divBdr>
        <w:top w:val="none" w:sz="0" w:space="0" w:color="auto"/>
        <w:left w:val="none" w:sz="0" w:space="0" w:color="auto"/>
        <w:bottom w:val="none" w:sz="0" w:space="0" w:color="auto"/>
        <w:right w:val="none" w:sz="0" w:space="0" w:color="auto"/>
      </w:divBdr>
    </w:div>
    <w:div w:id="210209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1316</TotalTime>
  <Pages>1</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7194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jm383x</dc:creator>
  <cp:lastModifiedBy>jm383x</cp:lastModifiedBy>
  <cp:revision>8</cp:revision>
  <cp:lastPrinted>2015-05-28T10:06:00Z</cp:lastPrinted>
  <dcterms:created xsi:type="dcterms:W3CDTF">2015-04-23T10:01:00Z</dcterms:created>
  <dcterms:modified xsi:type="dcterms:W3CDTF">2015-05-28T10:13:00Z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nate.minton@gmail.com@www.mendeley.com</vt:lpwstr>
  </property>
</Properties>
</file>