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590" w:rsidRDefault="00F9192F">
      <w:r>
        <w:t xml:space="preserve">Mapping Scotland’s Sickening: Using Lexis Surface Visualisations to compare mortality patterns between populations </w:t>
      </w:r>
    </w:p>
    <w:p w:rsidR="00F9192F" w:rsidRDefault="00F9192F" w:rsidP="00F9192F">
      <w:pPr>
        <w:pStyle w:val="Heading1"/>
      </w:pPr>
      <w:r>
        <w:t xml:space="preserve">Abstract </w:t>
      </w:r>
    </w:p>
    <w:p w:rsidR="00F9192F" w:rsidRPr="00F9192F" w:rsidRDefault="00F9192F" w:rsidP="00F9192F"/>
    <w:p w:rsidR="00F9192F" w:rsidRDefault="00F9192F" w:rsidP="00F9192F">
      <w:pPr>
        <w:pStyle w:val="Heading1"/>
      </w:pPr>
      <w:r>
        <w:t xml:space="preserve">Introduction </w:t>
      </w:r>
    </w:p>
    <w:p w:rsidR="00981382" w:rsidRDefault="00981382" w:rsidP="00981382">
      <w:r>
        <w:t xml:space="preserve">This paper will present hundreds of thousands of mortality rates, recorded at over one hundred different ages and over more than sixty years, covering populations in Scotland and those of our nearest neighbours, and selected other populations from across the globe. However it will contain no statistical models, no tables, and very few numbers. It will do this by presenting a series of maps of demographic data, known as Lexis surfaces, which </w:t>
      </w:r>
      <w:r w:rsidR="002F4040">
        <w:t xml:space="preserve">show how something – mortality rates, in this case – varies by both age and by year. Conceptually, Lexis surfaces are to population data as spatial maps are to physical landscapes: in spatial maps, the height of a landscape is shown as a function of both its latitude and its longitude; the Lexis surfaces presented here show mortality as a function of both age and of year. Mortality hazards can be thought to vary continuously over both age and year, much as height varies continuously with </w:t>
      </w:r>
      <w:r w:rsidR="00476CD4">
        <w:t xml:space="preserve">both </w:t>
      </w:r>
      <w:r w:rsidR="002F4040">
        <w:t xml:space="preserve">latitude and longitude. And just as it usually makes little sense to try to understand the height of physical landscapes only as a function of their latitude or longitude alone, so this paper will argue that </w:t>
      </w:r>
      <w:r w:rsidR="00476CD4">
        <w:t xml:space="preserve">important patterns and features in mortality landscapes are often missed when public health research aims to understand population health, and differences between population, by looking only at how </w:t>
      </w:r>
      <w:r w:rsidR="00872B1B">
        <w:t xml:space="preserve">mortality </w:t>
      </w:r>
      <w:r w:rsidR="00476CD4">
        <w:t xml:space="preserve">risks vary as a function of age or time alone. </w:t>
      </w:r>
    </w:p>
    <w:p w:rsidR="008F2DCC" w:rsidRDefault="00872B1B" w:rsidP="008F2DCC">
      <w:pPr>
        <w:spacing w:after="200" w:line="276" w:lineRule="auto"/>
      </w:pPr>
      <w:r>
        <w:t xml:space="preserve">A life expectancy is a common way that many individual age-specific mortality risks are summarised as a function of year alone. Life expectancies are important summary statistics, and show that, on average, one population tends to live less long than another population in a given year. It is known, for example, that the general trend has been for life expectancies to have increased in richer countries for more than a century. </w:t>
      </w:r>
      <w:r>
        <w:fldChar w:fldCharType="begin" w:fldLock="1"/>
      </w:r>
      <w: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"(Leon, 2011)", "plainTextFormattedCitation" : "(Leon, 2011)", "previouslyFormattedCitation" : "(Leon, 2011)" }, "properties" : { "noteIndex" : 0 }, "schema" : "https://github.com/citation-style-language/schema/raw/master/csl-citation.json" }</w:instrText>
      </w:r>
      <w:r>
        <w:fldChar w:fldCharType="separate"/>
      </w:r>
      <w:r w:rsidRPr="00872B1B">
        <w:rPr>
          <w:noProof/>
        </w:rPr>
        <w:t>(Leon, 2011)</w:t>
      </w:r>
      <w:r>
        <w:fldChar w:fldCharType="end"/>
      </w:r>
      <w:r>
        <w:t xml:space="preserve"> Plotting life expectancies against time for many populations can also show how both relative and absolu</w:t>
      </w:r>
      <w:r w:rsidR="008F2DCC">
        <w:t xml:space="preserve">te inequalities can increase despite outcomes improving for everyone, but at a faster rate for some populations than others. For example, life expectancy at birth, for countries submitting data to the Human Mortality Database (HDM) tended to increase faster for females than males for much of the Twentieth Century, leading to a gap in life expectancy by sex opening up until the 1970s, before starting to narrow again in more recent decades, in large part due to falling rates of cardiovascular disease death </w:t>
      </w:r>
      <w:r w:rsidR="006E4E43">
        <w:t>in men over 60 years of age</w:t>
      </w:r>
      <w:r w:rsidR="008F2DCC">
        <w:t xml:space="preserve">. </w:t>
      </w:r>
      <w:r w:rsidR="006E4E43">
        <w:fldChar w:fldCharType="begin" w:fldLock="1"/>
      </w:r>
      <w:r w:rsidR="006E4E43">
        <w:instrText>ADDIN CSL_CITATION { "citationItems" : [ { "id" : "ITEM-1", "itemData" : { "DOI" : "10.1080/00324720701331433", "ISBN" : "0032-4728", "ISSN" : "0032-4728", "PMID" : "17558883", "abstract" : "Using data from the Human Mortality Database for 29 high-income national populations (1751-2004), we review trends in the sex differential in e(0). The widening of this gap during most of the 1900s was due largely to a slower mortality decline for males than females, which previous studies attributed to behavioural factors (e.g., smoking). More recently, the gap began to narrow in most countries, and researchers tried to explain this reversal with the same factors. However, our decomposition analysis reveals that, for the majority of countries, the recent narrowing is due primarily to sex differences in the age pattern of mortality rather than declining sex ratios in mortality: the same rate of mortality decline produces smaller gains in e(0) for women than for men because women's deaths are less dispersed across age (i.e., survivorship is more rectangular).", "author" : [ { "dropping-particle" : "", "family" : "Glei", "given" : "Dana a", "non-dropping-particle" : "", "parse-names" : false, "suffix" : "" }, { "dropping-particle" : "", "family" : "Horiuchi", "given" : "Shiro", "non-dropping-particle" : "", "parse-names" : false, "suffix" : "" } ], "container-title" : "Population studies", "id" : "ITEM-1", "issue" : "2", "issued" : { "date-parts" : [ [ "2007" ] ] }, "page" : "141-159", "title" : "The narrowing sex differential in life expectancy in high-income populations: effects of differences in the age pattern of mortality.", "type" : "article-journal", "volume" : "61" }, "uris" : [ "http://www.mendeley.com/documents/?uuid=dd0350ea-d954-498f-a8d2-45ee2f4901d3" ] }, { "id" : "ITEM-2", "itemData" : { "DOI" : "10.1093/eurpub/ckt076", "ISBN" : "1101-1262", "ISSN" : "1464-360X", "PMID" : "23794676", "abstract" : "BACKGROUND A feature of the health of men across Europe is their higher rates of premature mortality and shorter life expectancy at birth than women. Following the publication of the first State of Men's Health in Europe report, we sought to explore possible reasons. METHOD We analyzed trends in life expectancy at birth in 19 European Union member states (EU19) between 1999 and 2008 using mortality data obtained from Eurostat. We then used Pollard's decomposition method to identify the contribution of deaths from different causes and at different age groups to differences in life expectancy. RESULTS Between 1999 and 2008, life expectancy at birth in the EU19 increased by 2.74 years for men and by 2.09 years for women. Most of these improvements were due to reductions in mortality at ages &gt;60, with cardiovascular disease accounting for approximately half these improvements for men. In 2008, life expectancy of men in the EU19 was 5.92 years lower than that of women. Deaths from all major groups of causes, and at all ages, contributed to this gap, with external causes contributing 0.96 years, cardiovascular disease 1.80 years and neoplasms 1.61 years. CONCLUSION Improvements in the life expectancy at birth of men and women have mostly occurred at older ages. There has been little improvement in the high rate of premature death in younger men, suggesting a need for interventions to tackle their high death rate.", "author" : [ { "dropping-particle" : "", "family" : "White", "given" : "Alan", "non-dropping-particle" : "", "parse-names" : false, "suffix" : "" }, { "dropping-particle" : "", "family" : "McKee", "given" : "Martin", "non-dropping-particle" : "", "parse-names" : false, "suffix" : "" }, { "dropping-particle" : "", "family" : "Sousa", "given" : "Bruno", "non-dropping-particle" : "de", "parse-names" : false, "suffix" : "" }, { "dropping-particle" : "", "family" : "Visser", "given" : "Richard", "non-dropping-particle" : "de", "parse-names" : false, "suffix" : "" }, { "dropping-particle" : "", "family" : "Hogston", "given" : "Richard", "non-dropping-particle" : "", "parse-names" : false, "suffix" : "" }, { "dropping-particle" : "", "family" : "Madsen", "given" : "Svend Aage", "non-dropping-particle" : "", "parse-names" : false, "suffix" : "" }, { "dropping-particle" : "", "family" : "Makara", "given" : "P\u00e9ter", "non-dropping-particle" : "", "parse-names" : false, "suffix" : "" }, { "dropping-particle" : "", "family" : "Richardson", "given" : "Noel", "non-dropping-particle" : "", "parse-names" : false, "suffix" : "" }, { "dropping-particle" : "", "family" : "Zato\u0144ski", "given" : "Witold", "non-dropping-particle" : "", "parse-names" : false, "suffix" : "" }, { "dropping-particle" : "", "family" : "Raine", "given" : "Gary", "non-dropping-particle" : "", "parse-names" : false, "suffix" : "" } ], "container-title" : "European journal of public health", "id" : "ITEM-2", "issue" : "4", "issued" : { "date-parts" : [ [ "2014", "8" ] ] }, "note" : "Uses Eurostat data to look at trends in male and female life expectancy from 1999 to 2008 using mortality data. Uses Pollard's decomposition method to identify the contribution of different causes of death to differences in life expectancy. Finds that life expectancy increased by around 2.7 years for male and 2.09 years for females, and that most of these differences were due to reduced mortality risks from age 60, about half of which was due to reduced CVD risk. Concludes that overall improvements in e0 for males have been from e60, meaning that differences between males and females q0 to q59 are now more important in determining overall health inequalities by sex than before.", "page" : "673-9", "title" : "An examination of the association between premature mortality and life expectancy among men in Europe.", "type" : "article-journal", "volume" : "24" }, "uris" : [ "http://www.mendeley.com/documents/?uuid=e3c450ad-3ae1-40de-94e0-582e97a743cd" ] } ], "mendeley" : { "formattedCitation" : "(Glei &amp; Horiuchi, 2007; White et al., 2014)", "plainTextFormattedCitation" : "(Glei &amp; Horiuchi, 2007; White et al., 2014)", "previouslyFormattedCitation" : "(Glei &amp; Horiuchi, 2007; White et al., 2014)" }, "properties" : { "noteIndex" : 0 }, "schema" : "https://github.com/citation-style-language/schema/raw/master/csl-citation.json" }</w:instrText>
      </w:r>
      <w:r w:rsidR="006E4E43">
        <w:fldChar w:fldCharType="separate"/>
      </w:r>
      <w:r w:rsidR="006E4E43" w:rsidRPr="006E4E43">
        <w:rPr>
          <w:noProof/>
        </w:rPr>
        <w:t>(Glei &amp; Horiuchi, 2007; White et al., 2014)</w:t>
      </w:r>
      <w:r w:rsidR="006E4E43">
        <w:fldChar w:fldCharType="end"/>
      </w:r>
      <w:r w:rsidR="006E4E43">
        <w:t xml:space="preserve"> Similarly, much of Scotland’s partly deserved status as ‘Sick Man of Europe’ is due to its life expectancy trends improving more slowly than those of European neighbours, rather than falling in absolute terms. </w:t>
      </w:r>
      <w:r w:rsidR="006E4E43">
        <w:t xml:space="preserve"> </w:t>
      </w:r>
      <w:r w:rsidR="000812E0">
        <w:fldChar w:fldCharType="begin" w:fldLock="1"/>
      </w:r>
      <w:r w:rsidR="000812E0">
        <w:instrText>ADDIN CSL_CITATION { "citationItems" : [ { "id" : "ITEM-1", "itemData" : { "DOI" : "10.1093/eurpub/ckr136", "ISSN" : "1464-360X", "PMID" : "22021374", "abstract" : "BACKGROUND: Scotland has been dubbed 'the sick man of Europe' on account of its higher mortality rates compared with other western European countries. It is not clear the length of time for which Scotland has had higher mortality rates. The root causes of the higher mortality in Scotland remain elusive. METHODS: Life expectancy data from the Human Mortality Database were tabulated and graphed for a selection of wealthy, mainly European countries from around 1850 onwards. RESULTS: Scotland had a life expectancy in the mid-range of countries included in the Human Mortality Database from the mid-19th century until around 1950. After 1950, Scottish life expectancy improved at a slower rate than in comparably wealthy nations before further faltering during the last 30 years. Scottish life expectancy now lies between that of western European and eastern European nations. The USA also displays a marked faltering in its life expectancy trend after 1981. There is an inverse association between life expectancy and the Index of Economic Freedom such that greater neoliberalism is associated with a smaller increase, or a decrease, in life expectancy. CONCLUSION: Life expectancy in Scotland has only been relatively low since around 1950. From 1980, life expectancy in Scotland, the USA and, to a greater extent, the former USSR displays a further relative faltering. It has been suggested that Scotland suffered disproportionately from the adoption of neoliberalism across the nations of the UK, and the evidence here both supports this suggestion and highlights other countries which may have suffered similarly.", "author" : [ { "dropping-particle" : "", "family" : "McCartney", "given" : "Gerry", "non-dropping-particle" : "", "parse-names" : false, "suffix" : "" }, { "dropping-particle" : "", "family" : "Walsh", "given" : "David", "non-dropping-particle" : "", "parse-names" : false, "suffix" : "" }, { "dropping-particle" : "", "family" : "Whyte", "given" : "Bruce", "non-dropping-particle" : "", "parse-names" : false, "suffix" : "" }, { "dropping-particle" : "", "family" : "Collins", "given" : "Chik", "non-dropping-particle" : "", "parse-names" : false, "suffix" : "" } ], "container-title" : "European journal of public health", "id" : "ITEM-1", "issue" : "6", "issued" : { "date-parts" : [ [ "2012", "12" ] ] }, "page" : "756-60", "title" : "Has Scotland always been the 'sick man' of Europe? An observational study from 1855 to 2006.", "type" : "article-journal", "volume" : "22" }, "uris" : [ "http://www.mendeley.com/documents/?uuid=1249217b-b94c-4172-b315-670ae8f498db" ] }, { "id" : "ITEM-2", "itemData" : { "author" : [ { "dropping-particle" : "", "family" : "Whyte", "given" : "B", "non-dropping-particle" : "", "parse-names" : false, "suffix" : "" }, { "dropping-particle" : "", "family" : "Ajetunmobi", "given" : "T", "non-dropping-particle" : "", "parse-names" : false, "suffix" : "" } ], "id" : "ITEM-2", "issued" : { "date-parts" : [ [ "2012" ] ] }, "publisher-place" : "Glasgow", "title" : "Still 'The sick man of Europe'? Scottish Mortality in A European Context 1950-2010. An analysis of comparative mortality trends", "type" : "report" }, "uris" : [ "http://www.mendeley.com/documents/?uuid=d40c13d8-4f63-4f54-8cd6-717f70556b80" ] } ], "mendeley" : { "formattedCitation" : "(McCartney, Walsh, Whyte, &amp; Collins, 2012; Whyte &amp; Ajetunmobi, 2012)", "plainTextFormattedCitation" : "(McCartney, Walsh, Whyte, &amp; Collins, 2012; Whyte &amp; Ajetunmobi, 2012)" }, "properties" : { "noteIndex" : 0 }, "schema" : "https://github.com/citation-style-language/schema/raw/master/csl-citation.json" }</w:instrText>
      </w:r>
      <w:r w:rsidR="000812E0">
        <w:fldChar w:fldCharType="separate"/>
      </w:r>
      <w:r w:rsidR="000812E0" w:rsidRPr="000812E0">
        <w:rPr>
          <w:noProof/>
        </w:rPr>
        <w:t>(McCartney, Walsh, Whyte, &amp; Collins, 2012; Whyte &amp; Ajetunmobi, 2012)</w:t>
      </w:r>
      <w:r w:rsidR="000812E0">
        <w:fldChar w:fldCharType="end"/>
      </w:r>
      <w:bookmarkStart w:id="0" w:name="_GoBack"/>
      <w:bookmarkEnd w:id="0"/>
    </w:p>
    <w:p w:rsidR="00476CD4" w:rsidRDefault="00476CD4" w:rsidP="00981382"/>
    <w:p w:rsidR="00D80BE9" w:rsidRDefault="00D80BE9" w:rsidP="00F9192F">
      <w:pPr>
        <w:pStyle w:val="Heading2"/>
      </w:pPr>
      <w:r>
        <w:lastRenderedPageBreak/>
        <w:t>Scottish Disadvantage</w:t>
      </w:r>
    </w:p>
    <w:p w:rsidR="00557F8F" w:rsidRDefault="00557F8F" w:rsidP="00D80BE9">
      <w:pPr>
        <w:pStyle w:val="Heading3"/>
      </w:pPr>
      <w:r>
        <w:t>Age groups</w:t>
      </w:r>
    </w:p>
    <w:p w:rsidR="00D80BE9" w:rsidRDefault="00D80BE9" w:rsidP="00557F8F">
      <w:pPr>
        <w:pStyle w:val="Heading4"/>
      </w:pPr>
      <w:r>
        <w:t>Older Age</w:t>
      </w:r>
    </w:p>
    <w:p w:rsidR="00D80BE9" w:rsidRDefault="00D80BE9" w:rsidP="00557F8F">
      <w:pPr>
        <w:pStyle w:val="Heading4"/>
      </w:pPr>
      <w:r>
        <w:t>Younger Age</w:t>
      </w:r>
    </w:p>
    <w:p w:rsidR="00F9192F" w:rsidRDefault="00F9192F" w:rsidP="00F9192F">
      <w:pPr>
        <w:pStyle w:val="Heading2"/>
      </w:pPr>
      <w:r>
        <w:t xml:space="preserve">Healthy ageing </w:t>
      </w:r>
    </w:p>
    <w:p w:rsidR="00557F8F" w:rsidRDefault="00557F8F" w:rsidP="00557F8F">
      <w:pPr>
        <w:pStyle w:val="Heading3"/>
      </w:pPr>
      <w:r>
        <w:t>Compression of Mortality</w:t>
      </w:r>
    </w:p>
    <w:p w:rsidR="00557F8F" w:rsidRDefault="00557F8F" w:rsidP="00557F8F">
      <w:pPr>
        <w:pStyle w:val="Heading3"/>
      </w:pPr>
      <w:r>
        <w:t>Compression of Morbidity</w:t>
      </w:r>
    </w:p>
    <w:p w:rsidR="00F9192F" w:rsidRDefault="00F9192F" w:rsidP="00F9192F">
      <w:pPr>
        <w:pStyle w:val="Heading2"/>
      </w:pPr>
      <w:r>
        <w:t xml:space="preserve">Life course </w:t>
      </w:r>
    </w:p>
    <w:p w:rsidR="00557F8F" w:rsidRDefault="00557F8F" w:rsidP="00557F8F">
      <w:pPr>
        <w:pStyle w:val="Heading3"/>
      </w:pPr>
      <w:r>
        <w:t>Life course stages</w:t>
      </w:r>
    </w:p>
    <w:p w:rsidR="00557F8F" w:rsidRDefault="00557F8F" w:rsidP="00557F8F">
      <w:pPr>
        <w:pStyle w:val="Heading4"/>
      </w:pPr>
      <w:r>
        <w:t>Infancy</w:t>
      </w:r>
    </w:p>
    <w:p w:rsidR="00557F8F" w:rsidRDefault="00557F8F" w:rsidP="00557F8F">
      <w:pPr>
        <w:pStyle w:val="Heading4"/>
      </w:pPr>
      <w:r>
        <w:t>Adulthood</w:t>
      </w:r>
    </w:p>
    <w:p w:rsidR="00557F8F" w:rsidRDefault="00557F8F" w:rsidP="00557F8F">
      <w:pPr>
        <w:pStyle w:val="Heading4"/>
      </w:pPr>
      <w:r>
        <w:t>Senescence</w:t>
      </w:r>
    </w:p>
    <w:p w:rsidR="00F9192F" w:rsidRDefault="00F9192F" w:rsidP="00F9192F">
      <w:pPr>
        <w:pStyle w:val="Heading3"/>
      </w:pPr>
      <w:r>
        <w:t>Barker &amp; Critical Period</w:t>
      </w:r>
    </w:p>
    <w:p w:rsidR="00F9192F" w:rsidRDefault="00F9192F" w:rsidP="00F9192F">
      <w:pPr>
        <w:pStyle w:val="Heading2"/>
      </w:pPr>
      <w:r>
        <w:t xml:space="preserve">Different model types </w:t>
      </w:r>
    </w:p>
    <w:p w:rsidR="00D80BE9" w:rsidRDefault="00D80BE9" w:rsidP="00F9192F">
      <w:pPr>
        <w:pStyle w:val="Heading3"/>
      </w:pPr>
      <w:r>
        <w:t>Life Expectancies</w:t>
      </w:r>
    </w:p>
    <w:p w:rsidR="00D80BE9" w:rsidRDefault="00D80BE9" w:rsidP="00D80BE9">
      <w:pPr>
        <w:pStyle w:val="Heading4"/>
      </w:pPr>
      <w:r>
        <w:t>Conditional and Unconditional</w:t>
      </w:r>
    </w:p>
    <w:p w:rsidR="00D80BE9" w:rsidRDefault="00D80BE9" w:rsidP="00D80BE9">
      <w:pPr>
        <w:pStyle w:val="Heading4"/>
      </w:pPr>
      <w:r>
        <w:t>Period or Cohort</w:t>
      </w:r>
    </w:p>
    <w:p w:rsidR="00D80BE9" w:rsidRDefault="00D80BE9" w:rsidP="00D80BE9">
      <w:pPr>
        <w:pStyle w:val="Heading4"/>
      </w:pPr>
      <w:r>
        <w:t>Extrapolation if Cohort</w:t>
      </w:r>
    </w:p>
    <w:p w:rsidR="00F9192F" w:rsidRDefault="00F9192F" w:rsidP="00F9192F">
      <w:pPr>
        <w:pStyle w:val="Heading3"/>
      </w:pPr>
      <w:r>
        <w:t>Life course structures</w:t>
      </w:r>
    </w:p>
    <w:p w:rsidR="00F9192F" w:rsidRDefault="00F9192F" w:rsidP="00F9192F">
      <w:pPr>
        <w:pStyle w:val="Heading4"/>
      </w:pPr>
      <w:proofErr w:type="spellStart"/>
      <w:r>
        <w:t>Gompertz</w:t>
      </w:r>
      <w:proofErr w:type="spellEnd"/>
    </w:p>
    <w:p w:rsidR="00F9192F" w:rsidRDefault="00F9192F" w:rsidP="00F9192F">
      <w:pPr>
        <w:pStyle w:val="Heading4"/>
      </w:pPr>
      <w:proofErr w:type="spellStart"/>
      <w:r>
        <w:t>Gompertz-Makeham</w:t>
      </w:r>
      <w:proofErr w:type="spellEnd"/>
    </w:p>
    <w:p w:rsidR="00F9192F" w:rsidRDefault="00F9192F" w:rsidP="00F9192F">
      <w:pPr>
        <w:pStyle w:val="Heading4"/>
      </w:pPr>
      <w:r>
        <w:t>Siler</w:t>
      </w:r>
    </w:p>
    <w:p w:rsidR="00557F8F" w:rsidRDefault="00557F8F" w:rsidP="00F9192F">
      <w:pPr>
        <w:pStyle w:val="Heading4"/>
      </w:pPr>
      <w:r>
        <w:t>Non-Parametric</w:t>
      </w:r>
    </w:p>
    <w:p w:rsidR="00F9192F" w:rsidRDefault="00F9192F" w:rsidP="00F9192F">
      <w:pPr>
        <w:pStyle w:val="Heading4"/>
      </w:pPr>
      <w:proofErr w:type="spellStart"/>
      <w:r>
        <w:t>Heligman</w:t>
      </w:r>
      <w:proofErr w:type="spellEnd"/>
      <w:r>
        <w:t xml:space="preserve"> Pollard</w:t>
      </w:r>
    </w:p>
    <w:p w:rsidR="00D80BE9" w:rsidRDefault="00F9192F" w:rsidP="00F9192F">
      <w:pPr>
        <w:pStyle w:val="Heading3"/>
      </w:pPr>
      <w:r>
        <w:t xml:space="preserve">Drift Models: </w:t>
      </w:r>
    </w:p>
    <w:p w:rsidR="00F9192F" w:rsidRDefault="00F9192F" w:rsidP="00D80BE9">
      <w:pPr>
        <w:pStyle w:val="Heading4"/>
      </w:pPr>
      <w:r>
        <w:t xml:space="preserve">Lee-Carter </w:t>
      </w:r>
    </w:p>
    <w:p w:rsidR="00D80BE9" w:rsidRDefault="00D80BE9" w:rsidP="00D80BE9">
      <w:pPr>
        <w:pStyle w:val="Heading4"/>
      </w:pPr>
      <w:r>
        <w:t>Quasi-Spatial</w:t>
      </w:r>
      <w:r w:rsidR="00557F8F">
        <w:t xml:space="preserve"> (</w:t>
      </w:r>
      <w:proofErr w:type="spellStart"/>
      <w:r w:rsidR="00557F8F">
        <w:t>Girosi</w:t>
      </w:r>
      <w:proofErr w:type="spellEnd"/>
      <w:r w:rsidR="00557F8F">
        <w:t xml:space="preserve"> &amp; King)</w:t>
      </w:r>
    </w:p>
    <w:p w:rsidR="00F9192F" w:rsidRDefault="00D80BE9" w:rsidP="00F9192F">
      <w:pPr>
        <w:pStyle w:val="Heading2"/>
      </w:pPr>
      <w:r>
        <w:t xml:space="preserve">Lexis surfaces </w:t>
      </w:r>
    </w:p>
    <w:p w:rsidR="00D80BE9" w:rsidRDefault="00D80BE9" w:rsidP="00D80BE9">
      <w:pPr>
        <w:pStyle w:val="Heading3"/>
      </w:pPr>
      <w:r>
        <w:t>Concept</w:t>
      </w:r>
    </w:p>
    <w:p w:rsidR="00D80BE9" w:rsidRDefault="00D80BE9" w:rsidP="00D80BE9">
      <w:pPr>
        <w:pStyle w:val="Heading3"/>
      </w:pPr>
      <w:r>
        <w:t>Origins</w:t>
      </w:r>
    </w:p>
    <w:p w:rsidR="00D80BE9" w:rsidRDefault="00D80BE9" w:rsidP="00D80BE9">
      <w:pPr>
        <w:pStyle w:val="Heading3"/>
      </w:pPr>
      <w:r>
        <w:t>Applications</w:t>
      </w:r>
    </w:p>
    <w:p w:rsidR="00D80BE9" w:rsidRDefault="00D80BE9" w:rsidP="00D80BE9">
      <w:pPr>
        <w:pStyle w:val="Heading3"/>
      </w:pPr>
      <w:r>
        <w:t>Variants</w:t>
      </w:r>
    </w:p>
    <w:p w:rsidR="00D80BE9" w:rsidRDefault="00D80BE9" w:rsidP="00D80BE9">
      <w:pPr>
        <w:pStyle w:val="Heading2"/>
      </w:pPr>
      <w:r>
        <w:t>Ways of Reasoning about data</w:t>
      </w:r>
    </w:p>
    <w:p w:rsidR="00D80BE9" w:rsidRDefault="00D80BE9" w:rsidP="00D80BE9">
      <w:pPr>
        <w:pStyle w:val="Heading3"/>
      </w:pPr>
      <w:r>
        <w:t>Reasoning: Inductive, Deductive, Abductive</w:t>
      </w:r>
    </w:p>
    <w:p w:rsidR="00D80BE9" w:rsidRDefault="00D80BE9" w:rsidP="00D80BE9">
      <w:pPr>
        <w:pStyle w:val="Heading3"/>
      </w:pPr>
      <w:r>
        <w:t>Case-based and variable-based</w:t>
      </w:r>
    </w:p>
    <w:p w:rsidR="00D80BE9" w:rsidRDefault="00D80BE9" w:rsidP="00D80BE9">
      <w:pPr>
        <w:pStyle w:val="Heading3"/>
      </w:pPr>
      <w:r>
        <w:t>Lexis surfaces as case-based approach</w:t>
      </w:r>
    </w:p>
    <w:p w:rsidR="00D80BE9" w:rsidRDefault="00D80BE9" w:rsidP="00D80BE9">
      <w:pPr>
        <w:pStyle w:val="Heading2"/>
      </w:pPr>
      <w:r>
        <w:t>Aim</w:t>
      </w:r>
    </w:p>
    <w:p w:rsidR="00D80BE9" w:rsidRDefault="00D80BE9" w:rsidP="00D80BE9">
      <w:pPr>
        <w:pStyle w:val="Heading3"/>
      </w:pPr>
      <w:r>
        <w:t>Use Lexis surfaces to apply case-based reasoning to populations, and population comparisons</w:t>
      </w:r>
    </w:p>
    <w:p w:rsidR="00D80BE9" w:rsidRDefault="00D80BE9" w:rsidP="00D80BE9">
      <w:pPr>
        <w:pStyle w:val="Heading3"/>
      </w:pPr>
      <w:r>
        <w:t>To understand accumulation of Scottish disadvantage over the life course</w:t>
      </w:r>
    </w:p>
    <w:p w:rsidR="00D80BE9" w:rsidRDefault="00D80BE9" w:rsidP="00D80BE9">
      <w:pPr>
        <w:pStyle w:val="Heading3"/>
      </w:pPr>
      <w:r>
        <w:lastRenderedPageBreak/>
        <w:t>To understand additional selected phenomena</w:t>
      </w:r>
    </w:p>
    <w:p w:rsidR="00F9192F" w:rsidRDefault="00F9192F" w:rsidP="00F9192F">
      <w:pPr>
        <w:pStyle w:val="Heading1"/>
      </w:pPr>
      <w:r>
        <w:t>Methods</w:t>
      </w:r>
    </w:p>
    <w:p w:rsidR="00F9192F" w:rsidRDefault="00F9192F" w:rsidP="00F9192F">
      <w:pPr>
        <w:pStyle w:val="Heading2"/>
      </w:pPr>
      <w:r>
        <w:t xml:space="preserve">Source of data </w:t>
      </w:r>
    </w:p>
    <w:p w:rsidR="00F9192F" w:rsidRDefault="00F9192F" w:rsidP="00F9192F">
      <w:pPr>
        <w:pStyle w:val="Heading2"/>
      </w:pPr>
      <w:r>
        <w:t xml:space="preserve">Preparation of Data </w:t>
      </w:r>
    </w:p>
    <w:p w:rsidR="00D80BE9" w:rsidRDefault="00D80BE9" w:rsidP="00D80BE9">
      <w:pPr>
        <w:pStyle w:val="Heading3"/>
      </w:pPr>
      <w:r>
        <w:t>Unsmoothed</w:t>
      </w:r>
    </w:p>
    <w:p w:rsidR="00F9192F" w:rsidRDefault="00D80BE9" w:rsidP="00F9192F">
      <w:pPr>
        <w:pStyle w:val="Heading2"/>
      </w:pPr>
      <w:r>
        <w:t>Choice of Colour Schemes</w:t>
      </w:r>
    </w:p>
    <w:p w:rsidR="00D80BE9" w:rsidRDefault="00D80BE9" w:rsidP="00D80BE9">
      <w:pPr>
        <w:pStyle w:val="Heading3"/>
      </w:pPr>
      <w:r>
        <w:t>SLP</w:t>
      </w:r>
    </w:p>
    <w:p w:rsidR="00D80BE9" w:rsidRDefault="00D80BE9" w:rsidP="00D80BE9">
      <w:pPr>
        <w:pStyle w:val="Heading4"/>
      </w:pPr>
      <w:r>
        <w:t>Paired Colour scheme</w:t>
      </w:r>
    </w:p>
    <w:p w:rsidR="00D80BE9" w:rsidRDefault="00D80BE9" w:rsidP="00D80BE9">
      <w:pPr>
        <w:pStyle w:val="Heading3"/>
      </w:pPr>
      <w:r>
        <w:t>CLP</w:t>
      </w:r>
    </w:p>
    <w:p w:rsidR="00D80BE9" w:rsidRPr="00F9192F" w:rsidRDefault="00D80BE9" w:rsidP="00D80BE9">
      <w:pPr>
        <w:pStyle w:val="Heading4"/>
      </w:pPr>
      <w:r>
        <w:t>Balanced Colour: Magnitude and Colour</w:t>
      </w:r>
    </w:p>
    <w:p w:rsidR="00F9192F" w:rsidRDefault="00F9192F" w:rsidP="00F9192F">
      <w:pPr>
        <w:pStyle w:val="Heading1"/>
      </w:pPr>
      <w:r>
        <w:t>Results</w:t>
      </w:r>
    </w:p>
    <w:p w:rsidR="00F9192F" w:rsidRDefault="00F9192F" w:rsidP="00F9192F">
      <w:pPr>
        <w:pStyle w:val="Heading2"/>
      </w:pPr>
      <w:r>
        <w:t>Lexis Plots of the British Isles</w:t>
      </w:r>
    </w:p>
    <w:p w:rsidR="00F9192F" w:rsidRDefault="00F9192F" w:rsidP="00F9192F">
      <w:pPr>
        <w:pStyle w:val="Heading2"/>
      </w:pPr>
      <w:r>
        <w:t>Comparative Level Plot: Scotland and its Neighbours</w:t>
      </w:r>
    </w:p>
    <w:p w:rsidR="00F9192F" w:rsidRDefault="00F9192F" w:rsidP="00F9192F">
      <w:pPr>
        <w:pStyle w:val="Heading2"/>
      </w:pPr>
      <w:r>
        <w:t>Lexis Plots of other populations</w:t>
      </w:r>
    </w:p>
    <w:p w:rsidR="00F9192F" w:rsidRDefault="00F9192F" w:rsidP="00F9192F">
      <w:pPr>
        <w:pStyle w:val="Heading2"/>
      </w:pPr>
      <w:r>
        <w:t xml:space="preserve">Comparative Level Plots: Selected Other Populations </w:t>
      </w:r>
    </w:p>
    <w:p w:rsidR="00F9192F" w:rsidRDefault="00F9192F" w:rsidP="00F9192F">
      <w:pPr>
        <w:pStyle w:val="Heading1"/>
      </w:pPr>
      <w:r>
        <w:t>Discussion</w:t>
      </w:r>
    </w:p>
    <w:p w:rsidR="00D80BE9" w:rsidRDefault="00D80BE9" w:rsidP="00D80BE9">
      <w:pPr>
        <w:pStyle w:val="Heading2"/>
      </w:pPr>
      <w:r>
        <w:t>Implications for Practice</w:t>
      </w:r>
    </w:p>
    <w:p w:rsidR="00D80BE9" w:rsidRDefault="00D80BE9" w:rsidP="00D80BE9">
      <w:pPr>
        <w:pStyle w:val="Heading3"/>
      </w:pPr>
      <w:r>
        <w:t>Conclusions regarding Scotland</w:t>
      </w:r>
    </w:p>
    <w:p w:rsidR="00D80BE9" w:rsidRDefault="00D80BE9" w:rsidP="00D80BE9">
      <w:pPr>
        <w:pStyle w:val="Heading3"/>
      </w:pPr>
      <w:r>
        <w:t>Conclusions regarding other countries</w:t>
      </w:r>
    </w:p>
    <w:p w:rsidR="00D80BE9" w:rsidRDefault="00D80BE9" w:rsidP="00D80BE9">
      <w:pPr>
        <w:pStyle w:val="Heading2"/>
      </w:pPr>
      <w:r>
        <w:t>Implications for Research</w:t>
      </w:r>
    </w:p>
    <w:p w:rsidR="00D80BE9" w:rsidRDefault="00D80BE9" w:rsidP="00D80BE9">
      <w:pPr>
        <w:pStyle w:val="Heading3"/>
      </w:pPr>
      <w:r>
        <w:t>Case-based reasoning</w:t>
      </w:r>
    </w:p>
    <w:p w:rsidR="00D80BE9" w:rsidRDefault="00D80BE9" w:rsidP="00D80BE9">
      <w:pPr>
        <w:pStyle w:val="Heading3"/>
      </w:pPr>
      <w:r>
        <w:t>Modelling approaches</w:t>
      </w:r>
    </w:p>
    <w:p w:rsidR="00D80BE9" w:rsidRDefault="00557F8F" w:rsidP="00D80BE9">
      <w:pPr>
        <w:pStyle w:val="Heading3"/>
      </w:pPr>
      <w:r>
        <w:t>Lexis surfaces in an abductive research workflow</w:t>
      </w:r>
    </w:p>
    <w:p w:rsidR="00557F8F" w:rsidRDefault="00557F8F" w:rsidP="00D80BE9">
      <w:pPr>
        <w:pStyle w:val="Heading3"/>
      </w:pPr>
      <w:r>
        <w:t>Interactive Lexis surfaces</w:t>
      </w:r>
    </w:p>
    <w:p w:rsidR="00557F8F" w:rsidRDefault="00557F8F" w:rsidP="00557F8F">
      <w:pPr>
        <w:pStyle w:val="Heading2"/>
      </w:pPr>
      <w:r>
        <w:t>Final summary</w:t>
      </w:r>
    </w:p>
    <w:sectPr w:rsidR="00557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C8"/>
    <w:rsid w:val="000812E0"/>
    <w:rsid w:val="002E108B"/>
    <w:rsid w:val="002F4040"/>
    <w:rsid w:val="00327D17"/>
    <w:rsid w:val="00476CD4"/>
    <w:rsid w:val="00557F8F"/>
    <w:rsid w:val="006E4E43"/>
    <w:rsid w:val="00872B1B"/>
    <w:rsid w:val="008F2DCC"/>
    <w:rsid w:val="00981382"/>
    <w:rsid w:val="00B22FC8"/>
    <w:rsid w:val="00D80BE9"/>
    <w:rsid w:val="00F91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6A529-AA04-4BC9-8597-7BA5E69E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9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9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92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19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19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19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92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954B2-CE96-4C1B-8911-28D857CB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dcterms:created xsi:type="dcterms:W3CDTF">2017-11-13T11:18:00Z</dcterms:created>
  <dcterms:modified xsi:type="dcterms:W3CDTF">2017-11-15T18:04:00Z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http://www.zotero.org/styles/european-journal-of-epidemiology</vt:lpwstr>
  </property>
  <property fmtid="{D5CDD505-2E9C-101B-9397-08002B2CF9AE}" pid="11" name="Mendeley Recent Style Name 4_1">
    <vt:lpwstr>European Journal of Epidemiology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http://www.zotero.org/styles/journal-of-epidemiology-and-community-health</vt:lpwstr>
  </property>
  <property fmtid="{D5CDD505-2E9C-101B-9397-08002B2CF9AE}" pid="17" name="Mendeley Recent Style Name 7_1">
    <vt:lpwstr>Journal of Epidemiology and Community Health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http://www.zotero.org/styles/apa</vt:lpwstr>
  </property>
</Properties>
</file>