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4D793" w14:textId="77777777" w:rsidR="009379EA" w:rsidRDefault="004F19C8" w:rsidP="009379EA">
      <w:pPr>
        <w:pStyle w:val="Heading1"/>
      </w:pPr>
      <w:r>
        <w:t>Were</w:t>
      </w:r>
      <w:r w:rsidR="00784E3E" w:rsidRPr="002A0D6B">
        <w:t xml:space="preserve"> the fall</w:t>
      </w:r>
      <w:r>
        <w:t>s</w:t>
      </w:r>
      <w:r w:rsidR="00293F60">
        <w:t xml:space="preserve"> in life expectancy</w:t>
      </w:r>
      <w:r w:rsidR="003F3642">
        <w:t xml:space="preserve"> in </w:t>
      </w:r>
      <w:r w:rsidR="004C4B1D">
        <w:t>Scotland</w:t>
      </w:r>
      <w:r>
        <w:t xml:space="preserve"> and other UK countries</w:t>
      </w:r>
      <w:r w:rsidR="0019477D">
        <w:t xml:space="preserve"> in 2015</w:t>
      </w:r>
      <w:r w:rsidR="00293F60">
        <w:t xml:space="preserve"> </w:t>
      </w:r>
      <w:r w:rsidR="003F3642">
        <w:t>due to chance?</w:t>
      </w:r>
    </w:p>
    <w:p w14:paraId="0E3EFC2B" w14:textId="77777777" w:rsidR="0019477D" w:rsidRPr="0019477D" w:rsidRDefault="0019477D" w:rsidP="0019477D">
      <w:pPr>
        <w:rPr>
          <w:i/>
        </w:rPr>
      </w:pPr>
      <w:r w:rsidRPr="0019477D">
        <w:rPr>
          <w:i/>
        </w:rPr>
        <w:t>Authors: add later</w:t>
      </w:r>
      <w:r>
        <w:rPr>
          <w:i/>
        </w:rPr>
        <w:t xml:space="preserve"> (HS/NRS)</w:t>
      </w:r>
    </w:p>
    <w:p w14:paraId="215CC854" w14:textId="77777777" w:rsidR="008F39DB" w:rsidRDefault="00537DD7" w:rsidP="009379EA">
      <w:pPr>
        <w:pStyle w:val="Heading2"/>
      </w:pPr>
      <w:r>
        <w:t>Introduction</w:t>
      </w:r>
    </w:p>
    <w:p w14:paraId="7F7DF5A9" w14:textId="77777777" w:rsidR="00AD0AF3" w:rsidRDefault="00AD0AF3" w:rsidP="00AD0AF3">
      <w:pPr>
        <w:pStyle w:val="Heading3"/>
      </w:pPr>
      <w:r>
        <w:t>Recent concerns of falling</w:t>
      </w:r>
      <w:r w:rsidR="006300FF">
        <w:t>/stalling</w:t>
      </w:r>
      <w:r>
        <w:t xml:space="preserve"> life expectancy</w:t>
      </w:r>
    </w:p>
    <w:p w14:paraId="1E46489C" w14:textId="77777777" w:rsidR="00AD0AF3" w:rsidRDefault="00AD0AF3" w:rsidP="009B208D">
      <w:r>
        <w:t>Life expectancy across all the c</w:t>
      </w:r>
      <w:r w:rsidR="00C43E79">
        <w:t>ountries of the UK fell in 2015</w:t>
      </w:r>
      <w:r w:rsidR="004F7C2F">
        <w:t xml:space="preserve"> </w:t>
      </w:r>
      <w:r>
        <w:t xml:space="preserve">with falls of </w:t>
      </w:r>
      <w:r w:rsidR="004A7115">
        <w:t>a</w:t>
      </w:r>
      <w:r>
        <w:t xml:space="preserve"> scale that had not been observed in </w:t>
      </w:r>
      <w:r w:rsidR="004A7115">
        <w:t>over half a c</w:t>
      </w:r>
      <w:r>
        <w:t xml:space="preserve">entury </w:t>
      </w:r>
      <w:r w:rsidRPr="00AD0AF3">
        <w:rPr>
          <w:color w:val="BFBFBF" w:themeColor="background1" w:themeShade="BF"/>
        </w:rPr>
        <w:t>[Ref]</w:t>
      </w:r>
      <w:r>
        <w:t xml:space="preserve">. </w:t>
      </w:r>
      <w:r w:rsidR="004F7C2F">
        <w:t xml:space="preserve">Combined with </w:t>
      </w:r>
      <w:r>
        <w:t xml:space="preserve">recent concerns of a slowdown in the growth of life expectancy, observed across many other international countries </w:t>
      </w:r>
      <w:r w:rsidRPr="00AD0AF3">
        <w:rPr>
          <w:color w:val="BFBFBF" w:themeColor="background1" w:themeShade="BF"/>
        </w:rPr>
        <w:t>[Ref]</w:t>
      </w:r>
      <w:r>
        <w:t>, the stalling of life expectancy</w:t>
      </w:r>
      <w:r w:rsidR="004F7C2F">
        <w:t xml:space="preserve"> in Scotland and the rest of the UK</w:t>
      </w:r>
      <w:r>
        <w:t xml:space="preserve"> has become a major public health issue.</w:t>
      </w:r>
    </w:p>
    <w:p w14:paraId="095C5806" w14:textId="77777777" w:rsidR="00AD0AF3" w:rsidRPr="00AD0AF3" w:rsidRDefault="00585436" w:rsidP="00AD0AF3">
      <w:pPr>
        <w:pStyle w:val="Heading3"/>
      </w:pPr>
      <w:r>
        <w:t xml:space="preserve">What </w:t>
      </w:r>
      <w:r w:rsidR="00C43E79">
        <w:t>explanations</w:t>
      </w:r>
      <w:r>
        <w:t xml:space="preserve"> are being offered?</w:t>
      </w:r>
    </w:p>
    <w:p w14:paraId="36A99F5E" w14:textId="77777777" w:rsidR="008D112C" w:rsidRPr="008D112C" w:rsidRDefault="009B208D" w:rsidP="00452FB2">
      <w:r>
        <w:t>A</w:t>
      </w:r>
      <w:r w:rsidR="00AD0AF3">
        <w:t xml:space="preserve">s </w:t>
      </w:r>
      <w:r w:rsidR="004A7115">
        <w:t>the</w:t>
      </w:r>
      <w:r w:rsidR="00AD0AF3">
        <w:t xml:space="preserve"> </w:t>
      </w:r>
      <w:r w:rsidR="004F7C2F">
        <w:t>timing and scale of the fall</w:t>
      </w:r>
      <w:r w:rsidR="00AD0AF3">
        <w:t xml:space="preserve"> is comparable with </w:t>
      </w:r>
      <w:r>
        <w:t>other international countries</w:t>
      </w:r>
      <w:r w:rsidR="0019477D">
        <w:t xml:space="preserve"> </w:t>
      </w:r>
      <w:r w:rsidR="0019477D" w:rsidRPr="00AD0AF3">
        <w:rPr>
          <w:color w:val="BFBFBF" w:themeColor="background1" w:themeShade="BF"/>
        </w:rPr>
        <w:t>[Ref]</w:t>
      </w:r>
      <w:r w:rsidR="00C43E79">
        <w:t>, there have</w:t>
      </w:r>
      <w:r w:rsidR="004A7115">
        <w:t xml:space="preserve"> been suggestions</w:t>
      </w:r>
      <w:r w:rsidR="00AD0AF3">
        <w:t xml:space="preserve"> whethe</w:t>
      </w:r>
      <w:r w:rsidR="004F7C2F">
        <w:t xml:space="preserve">r the </w:t>
      </w:r>
      <w:r w:rsidR="006300FF">
        <w:t xml:space="preserve">fall </w:t>
      </w:r>
      <w:r w:rsidR="004F7C2F">
        <w:t>and recent underlying trends, were</w:t>
      </w:r>
      <w:r w:rsidR="004A7115">
        <w:t xml:space="preserve"> influenced by one or more</w:t>
      </w:r>
      <w:r w:rsidR="004F7C2F">
        <w:t xml:space="preserve"> underlying</w:t>
      </w:r>
      <w:r w:rsidR="00AD0AF3">
        <w:t xml:space="preserve"> mechanism</w:t>
      </w:r>
      <w:r w:rsidR="004F7C2F">
        <w:t>s</w:t>
      </w:r>
      <w:r>
        <w:t xml:space="preserve">. Several </w:t>
      </w:r>
      <w:r w:rsidR="00452FB2">
        <w:t>explanations have been proposed, ranging from focusin</w:t>
      </w:r>
      <w:r w:rsidR="00AD0AF3">
        <w:t>g on the effects of bad winters</w:t>
      </w:r>
      <w:r w:rsidR="00452FB2">
        <w:t xml:space="preserve"> </w:t>
      </w:r>
      <w:r w:rsidR="00AD0AF3">
        <w:t>and</w:t>
      </w:r>
      <w:r w:rsidR="00452FB2">
        <w:t xml:space="preserve"> influenza</w:t>
      </w:r>
      <w:r w:rsidR="0019477D">
        <w:t xml:space="preserve"> </w:t>
      </w:r>
      <w:r w:rsidR="0019477D" w:rsidRPr="00AD0AF3">
        <w:rPr>
          <w:color w:val="BFBFBF" w:themeColor="background1" w:themeShade="BF"/>
        </w:rPr>
        <w:t>[Ref]</w:t>
      </w:r>
      <w:r w:rsidR="00452FB2">
        <w:t>, the effects on health</w:t>
      </w:r>
      <w:r w:rsidR="00AD0AF3">
        <w:t xml:space="preserve"> and mortality</w:t>
      </w:r>
      <w:r w:rsidR="00452FB2">
        <w:t xml:space="preserve"> due to </w:t>
      </w:r>
      <w:r w:rsidR="00C43E79">
        <w:t xml:space="preserve">the introduction of </w:t>
      </w:r>
      <w:r w:rsidR="00452FB2">
        <w:t>austerity</w:t>
      </w:r>
      <w:r w:rsidR="00C43E79">
        <w:t xml:space="preserve"> policies following the global financial crash of 2008</w:t>
      </w:r>
      <w:r w:rsidR="0019477D">
        <w:t xml:space="preserve"> </w:t>
      </w:r>
      <w:r w:rsidR="0019477D" w:rsidRPr="00AD0AF3">
        <w:rPr>
          <w:color w:val="BFBFBF" w:themeColor="background1" w:themeShade="BF"/>
        </w:rPr>
        <w:t>[Ref]</w:t>
      </w:r>
      <w:r w:rsidR="00AD0AF3">
        <w:t xml:space="preserve">, to focusing on the worrying rise in the prevalence of </w:t>
      </w:r>
      <w:r w:rsidR="00452FB2">
        <w:t>obesity</w:t>
      </w:r>
      <w:r w:rsidR="0019477D">
        <w:t xml:space="preserve"> </w:t>
      </w:r>
      <w:r w:rsidR="00AD0AF3">
        <w:t xml:space="preserve">and overweight </w:t>
      </w:r>
      <w:r w:rsidR="0019477D" w:rsidRPr="00AD0AF3">
        <w:rPr>
          <w:color w:val="BFBFBF" w:themeColor="background1" w:themeShade="BF"/>
        </w:rPr>
        <w:t>[Ref]</w:t>
      </w:r>
      <w:r w:rsidR="00452FB2">
        <w:t xml:space="preserve">. </w:t>
      </w:r>
      <w:r w:rsidR="00C43E79">
        <w:rPr>
          <w:color w:val="BFBFBF" w:themeColor="background1" w:themeShade="BF"/>
        </w:rPr>
        <w:t>[Al</w:t>
      </w:r>
      <w:r w:rsidR="00A53862" w:rsidRPr="004A7115">
        <w:rPr>
          <w:color w:val="BFBFBF" w:themeColor="background1" w:themeShade="BF"/>
        </w:rPr>
        <w:t>so add in something about mortality displacement/harvesting].</w:t>
      </w:r>
    </w:p>
    <w:p w14:paraId="2453B40A" w14:textId="77777777" w:rsidR="00A77566" w:rsidRDefault="00A77566" w:rsidP="00A77566">
      <w:pPr>
        <w:pStyle w:val="Heading3"/>
      </w:pPr>
      <w:r>
        <w:t>A</w:t>
      </w:r>
      <w:r w:rsidR="00585436">
        <w:t>n a</w:t>
      </w:r>
      <w:r>
        <w:t xml:space="preserve">lternative </w:t>
      </w:r>
      <w:r w:rsidR="00585436">
        <w:t>way of interpreting the drop</w:t>
      </w:r>
    </w:p>
    <w:p w14:paraId="3A2EA3C6" w14:textId="77777777" w:rsidR="00452FB2" w:rsidRDefault="004F7C2F" w:rsidP="006300FF">
      <w:r>
        <w:t>Whilst</w:t>
      </w:r>
      <w:r w:rsidR="00C43E79">
        <w:t xml:space="preserve"> these explanations seem </w:t>
      </w:r>
      <w:r w:rsidR="00B60658">
        <w:t>conceivable</w:t>
      </w:r>
      <w:r w:rsidR="00B60658" w:rsidRPr="00B60658">
        <w:rPr>
          <w:color w:val="BFBFBF" w:themeColor="background1" w:themeShade="BF"/>
        </w:rPr>
        <w:t xml:space="preserve"> </w:t>
      </w:r>
      <w:r w:rsidR="00B60658">
        <w:rPr>
          <w:color w:val="BFBFBF" w:themeColor="background1" w:themeShade="BF"/>
        </w:rPr>
        <w:t>[</w:t>
      </w:r>
      <w:r w:rsidR="00B60658" w:rsidRPr="00AD0AF3">
        <w:rPr>
          <w:color w:val="BFBFBF" w:themeColor="background1" w:themeShade="BF"/>
        </w:rPr>
        <w:t>Ref</w:t>
      </w:r>
      <w:r w:rsidR="00B60658">
        <w:rPr>
          <w:color w:val="BFBFBF" w:themeColor="background1" w:themeShade="BF"/>
        </w:rPr>
        <w:t xml:space="preserve"> – firm up wording before this reference</w:t>
      </w:r>
      <w:r w:rsidR="00B60658" w:rsidRPr="00AD0AF3">
        <w:rPr>
          <w:color w:val="BFBFBF" w:themeColor="background1" w:themeShade="BF"/>
        </w:rPr>
        <w:t>]</w:t>
      </w:r>
      <w:r w:rsidR="00C43E79">
        <w:t xml:space="preserve">, they fail </w:t>
      </w:r>
      <w:r w:rsidR="008E5D28">
        <w:t>to address the position</w:t>
      </w:r>
      <w:r w:rsidR="00C43E79">
        <w:t xml:space="preserve"> that there was no relationship between the fall in 2015 and the explanations being proposed</w:t>
      </w:r>
      <w:r w:rsidR="00B60658">
        <w:t>,</w:t>
      </w:r>
      <w:r w:rsidR="006300FF">
        <w:t xml:space="preserve"> and that</w:t>
      </w:r>
      <w:r w:rsidR="008E5D28">
        <w:t xml:space="preserve"> the observed</w:t>
      </w:r>
      <w:r w:rsidR="006300FF">
        <w:t xml:space="preserve"> fall was driven by chance</w:t>
      </w:r>
      <w:r w:rsidR="004A7115">
        <w:t xml:space="preserve">. Likening the </w:t>
      </w:r>
      <w:r w:rsidR="008E5D28">
        <w:t xml:space="preserve">2015 fall in life expectancy </w:t>
      </w:r>
      <w:r w:rsidR="004A7115">
        <w:t>to other rare ecological events, for example a 100-year-flood, it is possible that rare outcomes can recur in s</w:t>
      </w:r>
      <w:r>
        <w:t>hort time-periods due to chance</w:t>
      </w:r>
      <w:r w:rsidR="006300FF">
        <w:t>.</w:t>
      </w:r>
      <w:r>
        <w:t xml:space="preserve"> </w:t>
      </w:r>
      <w:r w:rsidR="006300FF">
        <w:t>F</w:t>
      </w:r>
      <w:r>
        <w:t xml:space="preserve">or example </w:t>
      </w:r>
      <w:r w:rsidR="006300FF">
        <w:t>multiple 100-year-floods can still occur over short time periods and the presence of a 100-year-storm does not always cause a flood event to happen</w:t>
      </w:r>
      <w:r w:rsidR="004A7115">
        <w:t xml:space="preserve">. </w:t>
      </w:r>
      <w:r>
        <w:t>The</w:t>
      </w:r>
      <w:r w:rsidR="00A64072">
        <w:t xml:space="preserve"> risk models</w:t>
      </w:r>
      <w:r>
        <w:t xml:space="preserve"> used to predict the likelihood of these types of rare events</w:t>
      </w:r>
      <w:r w:rsidR="00A64072">
        <w:t xml:space="preserve"> depend entirely on the past, assuming that it is reliable in being able to predict future risk </w:t>
      </w:r>
      <w:r w:rsidR="00A64072" w:rsidRPr="00AD0AF3">
        <w:rPr>
          <w:color w:val="BFBFBF" w:themeColor="background1" w:themeShade="BF"/>
        </w:rPr>
        <w:t>[Ref]</w:t>
      </w:r>
      <w:r w:rsidR="00A64072">
        <w:t xml:space="preserve">. Over the last three decades, Scotland has seen large gains in life expectancy. The counter argument </w:t>
      </w:r>
      <w:r w:rsidR="006300FF">
        <w:t>to th</w:t>
      </w:r>
      <w:r w:rsidR="00A64072">
        <w:t>is</w:t>
      </w:r>
      <w:r w:rsidR="006300FF">
        <w:t xml:space="preserve"> is</w:t>
      </w:r>
      <w:r w:rsidR="00A64072">
        <w:t xml:space="preserve"> </w:t>
      </w:r>
      <w:r w:rsidR="006300FF">
        <w:t>that it</w:t>
      </w:r>
      <w:r w:rsidR="00A64072">
        <w:t xml:space="preserve"> indic</w:t>
      </w:r>
      <w:r w:rsidR="00933013">
        <w:t>ates a fundamental shift</w:t>
      </w:r>
      <w:r w:rsidR="00A64072">
        <w:t xml:space="preserve"> and that </w:t>
      </w:r>
      <w:r w:rsidR="004A7115">
        <w:t>the</w:t>
      </w:r>
      <w:r w:rsidR="00AD0AF3">
        <w:t xml:space="preserve"> past is a less reliable guide to</w:t>
      </w:r>
      <w:r>
        <w:t xml:space="preserve"> the future than it used to be. </w:t>
      </w:r>
      <w:r w:rsidR="00933013">
        <w:t xml:space="preserve">Alternatively this may simply be down to the false sense of security </w:t>
      </w:r>
      <w:r>
        <w:t xml:space="preserve">provided by perceptions of average risk in a single time period and how it leads to short- and long-term risk being misunderstood. </w:t>
      </w:r>
    </w:p>
    <w:p w14:paraId="2A4DA8FD" w14:textId="77777777" w:rsidR="00537DD7" w:rsidRDefault="008D112C" w:rsidP="009379EA">
      <w:pPr>
        <w:pStyle w:val="Heading3"/>
      </w:pPr>
      <w:r>
        <w:t>Aim</w:t>
      </w:r>
    </w:p>
    <w:p w14:paraId="0058C562" w14:textId="77777777" w:rsidR="00A53862" w:rsidRPr="006300FF" w:rsidRDefault="00452FB2">
      <w:r>
        <w:t>The aim is to explore</w:t>
      </w:r>
      <w:r w:rsidR="006300FF">
        <w:t xml:space="preserve"> the default scenario of</w:t>
      </w:r>
      <w:r>
        <w:t xml:space="preserve"> how likely it was that the fall in S</w:t>
      </w:r>
      <w:r w:rsidR="004A7115">
        <w:t>cottish life expectancy in 20</w:t>
      </w:r>
      <w:r>
        <w:t xml:space="preserve">15 </w:t>
      </w:r>
      <w:r w:rsidR="004A7115">
        <w:t>was due to chance. The risk</w:t>
      </w:r>
      <w:r>
        <w:t xml:space="preserve"> of </w:t>
      </w:r>
      <w:r w:rsidR="004F7C2F">
        <w:t>the fall</w:t>
      </w:r>
      <w:r w:rsidR="008E5D28">
        <w:t xml:space="preserve"> in 20</w:t>
      </w:r>
      <w:r w:rsidR="00AC53BC">
        <w:t xml:space="preserve">15 in England &amp; Wales </w:t>
      </w:r>
      <w:r w:rsidR="0025655D">
        <w:t>w</w:t>
      </w:r>
      <w:r w:rsidR="004F7C2F">
        <w:t>ill</w:t>
      </w:r>
      <w:r w:rsidR="00AC53BC">
        <w:t xml:space="preserve"> also </w:t>
      </w:r>
      <w:r w:rsidR="004F7C2F">
        <w:t xml:space="preserve">be </w:t>
      </w:r>
      <w:r w:rsidR="0025655D">
        <w:t>assessed to indicate whether</w:t>
      </w:r>
      <w:r w:rsidR="004F7C2F">
        <w:t xml:space="preserve"> it</w:t>
      </w:r>
      <w:r w:rsidR="00AC53BC">
        <w:t xml:space="preserve"> followed a similar pattern.  A</w:t>
      </w:r>
      <w:r w:rsidR="006300FF">
        <w:t xml:space="preserve"> secondary aim is to introduce the</w:t>
      </w:r>
      <w:r w:rsidR="00AC53BC">
        <w:t xml:space="preserve"> idea that</w:t>
      </w:r>
      <w:r w:rsidR="006300FF">
        <w:t xml:space="preserve"> changes in annual life expectancy are related to each other, by focusing on the scenario of whether there were an association between annual fluctuations and what happened in previous years’. </w:t>
      </w:r>
      <w:r w:rsidR="00A53862">
        <w:br w:type="page"/>
      </w:r>
    </w:p>
    <w:p w14:paraId="6899016A" w14:textId="77777777" w:rsidR="00537DD7" w:rsidRDefault="00537DD7" w:rsidP="009379EA">
      <w:pPr>
        <w:pStyle w:val="Heading2"/>
      </w:pPr>
      <w:r>
        <w:lastRenderedPageBreak/>
        <w:t>Methods</w:t>
      </w:r>
    </w:p>
    <w:p w14:paraId="50D81DEB" w14:textId="77777777" w:rsidR="00784E3E" w:rsidRDefault="009379EA" w:rsidP="00784E3E">
      <w:pPr>
        <w:pStyle w:val="Heading3"/>
      </w:pPr>
      <w:r>
        <w:t xml:space="preserve">Life Expectancy </w:t>
      </w:r>
      <w:r w:rsidR="002A0D6B">
        <w:t>d</w:t>
      </w:r>
      <w:r w:rsidR="00537DD7">
        <w:t>ata</w:t>
      </w:r>
    </w:p>
    <w:p w14:paraId="0E00A381" w14:textId="77777777" w:rsidR="00A53862" w:rsidRDefault="002A0D6B" w:rsidP="009379EA">
      <w:r>
        <w:t>Data pertaining to period</w:t>
      </w:r>
      <w:r w:rsidR="003F3642">
        <w:t xml:space="preserve"> life expectancy at birth for the countries of the </w:t>
      </w:r>
      <w:r w:rsidR="004A7115">
        <w:t>UK</w:t>
      </w:r>
      <w:r w:rsidR="003F3642">
        <w:t xml:space="preserve"> (</w:t>
      </w:r>
      <w:r w:rsidR="009379EA">
        <w:t>Scotland</w:t>
      </w:r>
      <w:r w:rsidR="003F3642">
        <w:t>, England &amp; Wales and Northern Ireland)</w:t>
      </w:r>
      <w:r w:rsidR="009379EA">
        <w:t xml:space="preserve"> were extracted from the Human Mortality Database (HMD)</w:t>
      </w:r>
      <w:r w:rsidR="0019477D">
        <w:t xml:space="preserve"> </w:t>
      </w:r>
      <w:r w:rsidR="0019477D" w:rsidRPr="00AD0AF3">
        <w:rPr>
          <w:color w:val="BFBFBF" w:themeColor="background1" w:themeShade="BF"/>
        </w:rPr>
        <w:t>[Ref]</w:t>
      </w:r>
      <w:r w:rsidR="009379EA">
        <w:t xml:space="preserve"> fo</w:t>
      </w:r>
      <w:r w:rsidR="007B22FE">
        <w:t>r all available years (</w:t>
      </w:r>
      <w:r w:rsidR="00AC53BC">
        <w:t xml:space="preserve">Scotland: </w:t>
      </w:r>
      <w:r w:rsidR="007B22FE">
        <w:t>1855-2016</w:t>
      </w:r>
      <w:r w:rsidR="00AC53BC">
        <w:t xml:space="preserve">; </w:t>
      </w:r>
      <w:r w:rsidR="0019477D">
        <w:t>England &amp; Wales: 1841-2016; Northern Ireland: 1922</w:t>
      </w:r>
      <w:r w:rsidR="00AC53BC">
        <w:t>-2016</w:t>
      </w:r>
      <w:r w:rsidR="009379EA">
        <w:t>)</w:t>
      </w:r>
      <w:r>
        <w:t xml:space="preserve"> for females and males</w:t>
      </w:r>
      <w:r w:rsidR="009379EA">
        <w:t xml:space="preserve">. </w:t>
      </w:r>
      <w:r w:rsidR="005A0EB5">
        <w:t>Life expectancy</w:t>
      </w:r>
      <w:r w:rsidR="00AD0AF3">
        <w:t xml:space="preserve"> in Scotland</w:t>
      </w:r>
      <w:r w:rsidR="005A0EB5">
        <w:t xml:space="preserve"> for 2017 was calculated using published data from National Records of Scotland</w:t>
      </w:r>
      <w:r w:rsidR="0019477D">
        <w:t xml:space="preserve"> </w:t>
      </w:r>
      <w:r w:rsidR="00AD0AF3" w:rsidRPr="00AD0AF3">
        <w:rPr>
          <w:color w:val="BFBFBF" w:themeColor="background1" w:themeShade="BF"/>
        </w:rPr>
        <w:t>[Ref]</w:t>
      </w:r>
      <w:r w:rsidR="00AD0AF3">
        <w:rPr>
          <w:color w:val="BFBFBF" w:themeColor="background1" w:themeShade="BF"/>
        </w:rPr>
        <w:t xml:space="preserve"> </w:t>
      </w:r>
      <w:r w:rsidR="005A0EB5">
        <w:t>to</w:t>
      </w:r>
      <w:r>
        <w:t xml:space="preserve"> </w:t>
      </w:r>
      <w:r w:rsidR="00A53862">
        <w:t>provide a fuller context of what has happened to life expectancy in Scotland post 2015.</w:t>
      </w:r>
    </w:p>
    <w:p w14:paraId="498D4B41" w14:textId="77777777" w:rsidR="00A77566" w:rsidRDefault="00A77566" w:rsidP="00A77566">
      <w:pPr>
        <w:pStyle w:val="Heading3"/>
      </w:pPr>
      <w:r>
        <w:t>Analyses</w:t>
      </w:r>
    </w:p>
    <w:p w14:paraId="4C8CC9B7" w14:textId="77777777" w:rsidR="00AD0AF3" w:rsidRDefault="002A0D6B" w:rsidP="002A0D6B">
      <w:r>
        <w:t>Temporal trends in the annual change in life expectancy were visually inspected</w:t>
      </w:r>
      <w:r w:rsidR="0019477D">
        <w:t xml:space="preserve"> to determine a suitable time period where the </w:t>
      </w:r>
      <w:r w:rsidR="00AD0AF3">
        <w:t xml:space="preserve">scale of </w:t>
      </w:r>
      <w:r w:rsidR="0019477D">
        <w:t>changes w</w:t>
      </w:r>
      <w:r w:rsidR="00AD0AF3">
        <w:t>ere constant</w:t>
      </w:r>
      <w:r w:rsidR="004A7115">
        <w:t xml:space="preserve"> over time. This was </w:t>
      </w:r>
      <w:r w:rsidR="0019477D">
        <w:t xml:space="preserve">to establish a </w:t>
      </w:r>
      <w:r w:rsidR="004A7115">
        <w:t xml:space="preserve">period of time </w:t>
      </w:r>
      <w:r w:rsidR="0019477D">
        <w:t>sufficient</w:t>
      </w:r>
      <w:r w:rsidR="00AD0AF3">
        <w:t>ly long in</w:t>
      </w:r>
      <w:r w:rsidR="0019477D">
        <w:t xml:space="preserve"> length to allow the risk of a rare event to be calculated.</w:t>
      </w:r>
      <w:r>
        <w:t xml:space="preserve"> Records were restricted to</w:t>
      </w:r>
      <w:r w:rsidR="0019477D">
        <w:t xml:space="preserve"> the 60-year period</w:t>
      </w:r>
      <w:r>
        <w:t xml:space="preserve"> </w:t>
      </w:r>
      <w:r w:rsidR="0019477D">
        <w:t xml:space="preserve">of </w:t>
      </w:r>
      <w:r>
        <w:t xml:space="preserve">annual changes </w:t>
      </w:r>
      <w:r w:rsidR="0019477D">
        <w:t>observed before the 2015 fall in life expectancy happened (1955 to 2014)</w:t>
      </w:r>
      <w:r>
        <w:t xml:space="preserve">. </w:t>
      </w:r>
      <w:r w:rsidR="00E7726E">
        <w:t>A sensitivity analysis was carried out that included data for the full period</w:t>
      </w:r>
      <w:r w:rsidR="0019477D">
        <w:t xml:space="preserve"> </w:t>
      </w:r>
      <w:r w:rsidR="00E7726E">
        <w:t>of annual ch</w:t>
      </w:r>
      <w:r w:rsidR="0019477D">
        <w:t>anges available</w:t>
      </w:r>
      <w:r w:rsidR="004E1A1E">
        <w:t xml:space="preserve"> before the 2015 fall</w:t>
      </w:r>
      <w:r w:rsidR="0019477D">
        <w:t xml:space="preserve"> (1856 to 2014</w:t>
      </w:r>
      <w:r w:rsidR="00E7726E">
        <w:t xml:space="preserve">) (Appendix A). </w:t>
      </w:r>
      <w:r>
        <w:t>All analyses were carried out for females and males</w:t>
      </w:r>
      <w:r w:rsidR="003F3642">
        <w:t xml:space="preserve"> for</w:t>
      </w:r>
      <w:r w:rsidR="0019477D">
        <w:t xml:space="preserve"> both Scotland and England &amp; Wales. Northern Ireland was excluded from further analysis</w:t>
      </w:r>
      <w:r w:rsidR="00AD0AF3">
        <w:t xml:space="preserve"> as</w:t>
      </w:r>
      <w:r w:rsidR="0019477D">
        <w:t xml:space="preserve"> annual changes in life expectancy remained volatile</w:t>
      </w:r>
      <w:r w:rsidR="00AD0AF3">
        <w:t xml:space="preserve"> in scale</w:t>
      </w:r>
      <w:r w:rsidR="0019477D">
        <w:t xml:space="preserve"> until later in the time series, meaning a consistent denominator could not be used </w:t>
      </w:r>
      <w:r w:rsidR="00AD0AF3">
        <w:t xml:space="preserve">across countries to facilitate </w:t>
      </w:r>
      <w:r w:rsidR="004A7115">
        <w:t>risk calculations for comparison</w:t>
      </w:r>
      <w:r w:rsidR="00AD0AF3">
        <w:t>.</w:t>
      </w:r>
    </w:p>
    <w:p w14:paraId="502347CC" w14:textId="77777777" w:rsidR="00A53862" w:rsidRDefault="007B1FD5" w:rsidP="002F363A">
      <w:r>
        <w:t xml:space="preserve">The </w:t>
      </w:r>
      <w:r w:rsidR="005618CF">
        <w:t xml:space="preserve">study </w:t>
      </w:r>
      <w:r w:rsidR="002A0D6B">
        <w:t>outcome was defined as a</w:t>
      </w:r>
      <w:r>
        <w:t xml:space="preserve"> </w:t>
      </w:r>
      <w:r w:rsidR="005618CF">
        <w:t>fall</w:t>
      </w:r>
      <w:r>
        <w:t xml:space="preserve"> in life expectancy that was greater t</w:t>
      </w:r>
      <w:r w:rsidR="005618CF">
        <w:t>ha</w:t>
      </w:r>
      <w:r w:rsidR="002A0D6B">
        <w:t>n or equal to that observed in</w:t>
      </w:r>
      <w:r>
        <w:t xml:space="preserve"> </w:t>
      </w:r>
      <w:r w:rsidR="0019477D">
        <w:t>20</w:t>
      </w:r>
      <w:r>
        <w:t xml:space="preserve">15. The annual exceedance probability (AEP) was </w:t>
      </w:r>
      <w:r w:rsidR="002A0D6B">
        <w:t>calculated</w:t>
      </w:r>
      <w:r>
        <w:t xml:space="preserve"> by observing how many times the </w:t>
      </w:r>
      <w:r w:rsidR="00FE1539">
        <w:t xml:space="preserve">fall </w:t>
      </w:r>
      <w:r>
        <w:t xml:space="preserve">outcome </w:t>
      </w:r>
      <w:r w:rsidR="005618CF">
        <w:t>was observed over the 60</w:t>
      </w:r>
      <w:r>
        <w:t>-yea</w:t>
      </w:r>
      <w:r w:rsidR="0019477D">
        <w:t xml:space="preserve">r period of annual changes. </w:t>
      </w:r>
      <w:r w:rsidR="002A0D6B">
        <w:t>AEPs</w:t>
      </w:r>
      <w:r>
        <w:t xml:space="preserve"> were used to </w:t>
      </w:r>
      <w:r w:rsidR="005618CF">
        <w:t xml:space="preserve">estimate </w:t>
      </w:r>
      <w:r>
        <w:t xml:space="preserve">the probability of observing </w:t>
      </w:r>
      <w:r w:rsidR="005618CF">
        <w:t>occurrence</w:t>
      </w:r>
      <w:r w:rsidR="002A0D6B">
        <w:t>s</w:t>
      </w:r>
      <w:r>
        <w:t xml:space="preserve"> of the </w:t>
      </w:r>
      <w:r w:rsidR="00FE1539">
        <w:t xml:space="preserve">fall </w:t>
      </w:r>
      <w:r>
        <w:t xml:space="preserve">outcome in </w:t>
      </w:r>
      <w:r w:rsidR="004A7115">
        <w:t>four</w:t>
      </w:r>
      <w:r w:rsidR="002A0D6B">
        <w:t xml:space="preserve"> scenarios: 5, 10, </w:t>
      </w:r>
      <w:r w:rsidR="00AD0AF3">
        <w:t>20 and</w:t>
      </w:r>
      <w:r w:rsidR="0019477D">
        <w:t xml:space="preserve"> 60</w:t>
      </w:r>
      <w:r w:rsidR="005618CF">
        <w:t xml:space="preserve"> years.</w:t>
      </w:r>
      <w:r w:rsidR="0019477D">
        <w:t xml:space="preserve"> </w:t>
      </w:r>
      <w:r w:rsidR="004E1A1E">
        <w:t>These scenarios were</w:t>
      </w:r>
      <w:r w:rsidR="004A7115">
        <w:t xml:space="preserve"> contrived to address the misconceptions around modelling a one-year risk over longer time periods. </w:t>
      </w:r>
      <w:r w:rsidR="00DF1787">
        <w:t>The</w:t>
      </w:r>
      <w:r w:rsidR="004E1A1E">
        <w:t xml:space="preserve"> assumption underlying the entire risk analysis i</w:t>
      </w:r>
      <w:r w:rsidR="00DF1787">
        <w:t>s that ann</w:t>
      </w:r>
      <w:r w:rsidR="00E7726E">
        <w:t>ual changes in life expectancy we</w:t>
      </w:r>
      <w:r w:rsidR="00DF1787">
        <w:t xml:space="preserve">re independent of each other. </w:t>
      </w:r>
    </w:p>
    <w:p w14:paraId="74864089" w14:textId="1FE74B2D" w:rsidR="00DF1787" w:rsidRDefault="00DF1787" w:rsidP="00A53862">
      <w:r>
        <w:t xml:space="preserve">An alternative approach was also considered </w:t>
      </w:r>
      <w:r w:rsidR="00A53862">
        <w:t xml:space="preserve">to test whether there was an association between annual </w:t>
      </w:r>
      <w:r w:rsidR="0031384D">
        <w:t>change</w:t>
      </w:r>
      <w:r w:rsidR="00E7726E">
        <w:t xml:space="preserve"> in life </w:t>
      </w:r>
      <w:r w:rsidR="004C4B1D">
        <w:t>expectancy</w:t>
      </w:r>
      <w:r w:rsidR="0031384D">
        <w:t xml:space="preserve"> </w:t>
      </w:r>
      <w:r w:rsidR="00A53862">
        <w:t xml:space="preserve">and the preceding annual change.  This was done by creating two models, the first of which used previous annual change as a predicting factor for annual change. The </w:t>
      </w:r>
      <w:r w:rsidR="00B07CE7">
        <w:t>comparator model was set with no predicting factors</w:t>
      </w:r>
      <w:r w:rsidR="00A53862">
        <w:t>. A one-way ANOVA was used to test whether the more complex model was better at capturing the data than the simpler model. The significance level was set at 0.05.</w:t>
      </w:r>
      <w:r w:rsidR="0031384D">
        <w:t xml:space="preserve"> This</w:t>
      </w:r>
      <w:r w:rsidR="00B07CE7">
        <w:t xml:space="preserve"> was to</w:t>
      </w:r>
      <w:r w:rsidR="0031384D">
        <w:t xml:space="preserve"> </w:t>
      </w:r>
      <w:r w:rsidR="00B07CE7">
        <w:t>investigate</w:t>
      </w:r>
      <w:r w:rsidR="0031384D">
        <w:t xml:space="preserve"> whether annual changes in life expectancy </w:t>
      </w:r>
      <w:r w:rsidR="00B07CE7">
        <w:t>were associated to previous changes in annual life expectancy. I</w:t>
      </w:r>
      <w:r w:rsidR="00A53862">
        <w:t xml:space="preserve">n particular if they were negatively </w:t>
      </w:r>
      <w:r w:rsidR="00B07CE7">
        <w:t>related</w:t>
      </w:r>
      <w:r w:rsidR="00A53862">
        <w:t xml:space="preserve"> it would</w:t>
      </w:r>
      <w:r w:rsidR="004C4B1D">
        <w:t xml:space="preserve"> supp</w:t>
      </w:r>
      <w:r w:rsidR="00A53862">
        <w:t xml:space="preserve">orting the idea that there may be an element of mortality displacement </w:t>
      </w:r>
      <w:r w:rsidR="004A7115">
        <w:t>associated with changes in life expectancy.</w:t>
      </w:r>
    </w:p>
    <w:p w14:paraId="5D66C965" w14:textId="77777777" w:rsidR="00A53862" w:rsidRDefault="00A53862">
      <w:pPr>
        <w:rPr>
          <w:rFonts w:eastAsiaTheme="majorEastAsia" w:cstheme="majorBidi"/>
          <w:b/>
          <w:color w:val="000000" w:themeColor="text1"/>
          <w:sz w:val="26"/>
          <w:szCs w:val="26"/>
        </w:rPr>
      </w:pPr>
      <w:r>
        <w:br w:type="page"/>
      </w:r>
    </w:p>
    <w:p w14:paraId="4B490AD2" w14:textId="77777777" w:rsidR="00537DD7" w:rsidRDefault="00537DD7" w:rsidP="009379EA">
      <w:pPr>
        <w:pStyle w:val="Heading2"/>
      </w:pPr>
      <w:r>
        <w:lastRenderedPageBreak/>
        <w:t>Results</w:t>
      </w:r>
    </w:p>
    <w:p w14:paraId="4C31000B" w14:textId="77777777" w:rsidR="00784E3E" w:rsidRDefault="00AF603E" w:rsidP="00784E3E">
      <w:pPr>
        <w:pStyle w:val="Heading3"/>
      </w:pPr>
      <w:r>
        <w:t>Annual changes in life expectancy</w:t>
      </w:r>
    </w:p>
    <w:p w14:paraId="0EDB731A" w14:textId="77777777" w:rsidR="001F0D7D" w:rsidRPr="001F0D7D" w:rsidRDefault="002078FD" w:rsidP="002F363A">
      <w:r w:rsidRPr="00784E3E">
        <w:t xml:space="preserve">Throughout </w:t>
      </w:r>
      <w:r w:rsidR="00AF603E">
        <w:t>the latter half of 19th century</w:t>
      </w:r>
      <w:r w:rsidRPr="00784E3E">
        <w:t xml:space="preserve"> and first half of the 20th century, there were much greater swings in annual changes in life expectancy than in the latter half of the 20th century and start of 21st century</w:t>
      </w:r>
      <w:r>
        <w:t xml:space="preserve"> (Figure 1)</w:t>
      </w:r>
      <w:r w:rsidRPr="00784E3E">
        <w:t>.</w:t>
      </w:r>
      <w:r w:rsidR="00A54BFF">
        <w:t xml:space="preserve"> </w:t>
      </w:r>
      <w:r w:rsidR="00AD0AF3">
        <w:t xml:space="preserve">The scale of annual changes </w:t>
      </w:r>
      <w:r w:rsidR="004A7115">
        <w:t>were</w:t>
      </w:r>
      <w:r w:rsidR="00156110">
        <w:t xml:space="preserve"> much</w:t>
      </w:r>
      <w:r w:rsidR="00AD0AF3">
        <w:t xml:space="preserve"> smaller</w:t>
      </w:r>
      <w:r w:rsidR="00A54BFF">
        <w:t xml:space="preserve"> since around 1955</w:t>
      </w:r>
      <w:r>
        <w:t xml:space="preserve">, with drops in life expectancy </w:t>
      </w:r>
      <w:r w:rsidR="00AF603E">
        <w:t>becoming a</w:t>
      </w:r>
      <w:r>
        <w:t xml:space="preserve"> less common event. </w:t>
      </w:r>
      <w:r w:rsidR="0019477D">
        <w:t>These</w:t>
      </w:r>
      <w:r w:rsidR="004A7115">
        <w:t xml:space="preserve"> general</w:t>
      </w:r>
      <w:r w:rsidR="0019477D">
        <w:t xml:space="preserve"> trends were mirrored in England &amp;</w:t>
      </w:r>
      <w:r w:rsidR="00AD0AF3">
        <w:t xml:space="preserve"> Wales, but in Northern Ireland</w:t>
      </w:r>
      <w:r w:rsidR="0019477D">
        <w:t xml:space="preserve"> the </w:t>
      </w:r>
      <w:r w:rsidR="00AD0AF3">
        <w:t xml:space="preserve">scale of </w:t>
      </w:r>
      <w:r w:rsidR="00156110">
        <w:t>change</w:t>
      </w:r>
      <w:r w:rsidR="00984E01">
        <w:t xml:space="preserve"> did</w:t>
      </w:r>
      <w:r w:rsidR="0019477D">
        <w:t xml:space="preserve">n’t start to reduce until around 1970. </w:t>
      </w:r>
      <w:r w:rsidR="002F363A">
        <w:t>Fo</w:t>
      </w:r>
      <w:r>
        <w:t>r males</w:t>
      </w:r>
      <w:r w:rsidR="00AD0AF3">
        <w:t xml:space="preserve"> i</w:t>
      </w:r>
      <w:r w:rsidR="004A7115">
        <w:t>n Scotland, only one year (196</w:t>
      </w:r>
      <w:r>
        <w:t>8)</w:t>
      </w:r>
      <w:r w:rsidR="002F363A">
        <w:t xml:space="preserve"> has seen a sharper </w:t>
      </w:r>
      <w:r w:rsidR="0086124B">
        <w:t>fall</w:t>
      </w:r>
      <w:r w:rsidR="002F363A">
        <w:t xml:space="preserve"> in life exp</w:t>
      </w:r>
      <w:r w:rsidR="004A7115">
        <w:t>ectancy than the change in 20</w:t>
      </w:r>
      <w:r w:rsidR="002F363A">
        <w:t xml:space="preserve">15. </w:t>
      </w:r>
      <w:r w:rsidR="00AD0AF3">
        <w:t>This</w:t>
      </w:r>
      <w:r w:rsidR="002F363A">
        <w:t xml:space="preserve"> was </w:t>
      </w:r>
      <w:r w:rsidR="00977CA6">
        <w:t>preceded</w:t>
      </w:r>
      <w:r w:rsidR="002F363A">
        <w:t xml:space="preserve"> by an especially high rate o</w:t>
      </w:r>
      <w:r>
        <w:t>f improvement the previous year</w:t>
      </w:r>
      <w:r w:rsidR="00156110">
        <w:t>. F</w:t>
      </w:r>
      <w:r w:rsidR="002F363A">
        <w:t>or females four years saw greater annual</w:t>
      </w:r>
      <w:r w:rsidR="004A7115">
        <w:t xml:space="preserve"> declines than occurred in 20</w:t>
      </w:r>
      <w:r w:rsidR="002F363A">
        <w:t>15 (</w:t>
      </w:r>
      <w:r w:rsidR="004A7115">
        <w:t>1968, 1978, 1990 and 19</w:t>
      </w:r>
      <w:r w:rsidR="00156110">
        <w:t>94).</w:t>
      </w:r>
    </w:p>
    <w:p w14:paraId="13DB5C67" w14:textId="77777777" w:rsidR="005618CF" w:rsidRDefault="00156110" w:rsidP="002F363A">
      <w:r>
        <w:t>Since t</w:t>
      </w:r>
      <w:r w:rsidR="004A7115">
        <w:t>he 20</w:t>
      </w:r>
      <w:r>
        <w:t>15 life expectancy drop in Scotland,</w:t>
      </w:r>
      <w:r w:rsidR="005618CF">
        <w:t xml:space="preserve"> </w:t>
      </w:r>
      <w:r w:rsidR="0086124B">
        <w:t xml:space="preserve">female </w:t>
      </w:r>
      <w:r w:rsidR="005618CF">
        <w:t>life expectancy increased from 81.03 to 81.06 in 2016 and increased once ag</w:t>
      </w:r>
      <w:r w:rsidR="0086124B">
        <w:t>ain in 2017 to 81.15. M</w:t>
      </w:r>
      <w:r w:rsidR="005618CF">
        <w:t>ale life expectancy fell slightly from 76.95 to 79.63</w:t>
      </w:r>
      <w:r w:rsidR="0086124B">
        <w:t xml:space="preserve"> in 2016,</w:t>
      </w:r>
      <w:r w:rsidR="005618CF">
        <w:t xml:space="preserve"> before risin</w:t>
      </w:r>
      <w:r w:rsidR="0086124B">
        <w:t xml:space="preserve">g to 77.14 in 2017. The </w:t>
      </w:r>
      <w:r w:rsidR="005618CF">
        <w:t>l</w:t>
      </w:r>
      <w:r>
        <w:t xml:space="preserve">ife </w:t>
      </w:r>
      <w:r w:rsidR="005618CF">
        <w:t>expectancy</w:t>
      </w:r>
      <w:r w:rsidR="0086124B">
        <w:t xml:space="preserve"> achieved in 2014</w:t>
      </w:r>
      <w:r w:rsidR="005618CF">
        <w:t xml:space="preserve"> i</w:t>
      </w:r>
      <w:r w:rsidR="0086124B">
        <w:t xml:space="preserve">n Scotland remains the highest ever recorded </w:t>
      </w:r>
      <w:r w:rsidR="005618CF">
        <w:t xml:space="preserve">for both females and males. </w:t>
      </w:r>
    </w:p>
    <w:p w14:paraId="6174987C" w14:textId="77777777" w:rsidR="00AF603E" w:rsidRDefault="00AF603E" w:rsidP="00AF603E">
      <w:pPr>
        <w:pStyle w:val="Heading3"/>
      </w:pPr>
      <w:commentRangeStart w:id="0"/>
      <w:r>
        <w:t>Probability of observing a fall in lif</w:t>
      </w:r>
      <w:r w:rsidR="00937415">
        <w:t>e expectancy as extreme as 20</w:t>
      </w:r>
      <w:r>
        <w:t>15</w:t>
      </w:r>
      <w:commentRangeEnd w:id="0"/>
      <w:r w:rsidR="004A7115">
        <w:rPr>
          <w:rStyle w:val="CommentReference"/>
          <w:rFonts w:asciiTheme="minorHAnsi" w:eastAsiaTheme="minorHAnsi" w:hAnsiTheme="minorHAnsi" w:cstheme="minorBidi"/>
          <w:b w:val="0"/>
          <w:color w:val="auto"/>
        </w:rPr>
        <w:commentReference w:id="0"/>
      </w:r>
    </w:p>
    <w:p w14:paraId="510AA84F" w14:textId="77777777" w:rsidR="00414879" w:rsidRDefault="002078FD" w:rsidP="004A7115">
      <w:r>
        <w:t xml:space="preserve">The AEP for </w:t>
      </w:r>
      <w:r w:rsidR="00632C2A">
        <w:t>fe</w:t>
      </w:r>
      <w:r>
        <w:t>males was</w:t>
      </w:r>
      <w:r w:rsidR="00632C2A">
        <w:t xml:space="preserve"> 6.7% (1-in-15) </w:t>
      </w:r>
      <w:r>
        <w:t xml:space="preserve">and </w:t>
      </w:r>
      <w:r w:rsidR="00632C2A">
        <w:t>1.7% (1-in-60</w:t>
      </w:r>
      <w:r>
        <w:t>)</w:t>
      </w:r>
      <w:r w:rsidR="004A7115">
        <w:t xml:space="preserve"> for males in Scotland (Table 1).</w:t>
      </w:r>
      <w:r>
        <w:t xml:space="preserve"> </w:t>
      </w:r>
      <w:r w:rsidR="004A7115">
        <w:t>In England &amp; Wales, the AEP was</w:t>
      </w:r>
      <w:r w:rsidR="0019477D">
        <w:t xml:space="preserve"> 3.3% (1-in-30) for both females and males. </w:t>
      </w:r>
      <w:r w:rsidR="00414879">
        <w:t>Over the last 5-, 10- and 20-years</w:t>
      </w:r>
      <w:r w:rsidR="00D55BCD">
        <w:t xml:space="preserve"> preceding 2016</w:t>
      </w:r>
      <w:r w:rsidR="00414879">
        <w:t xml:space="preserve">, there was one single </w:t>
      </w:r>
      <w:r w:rsidR="00821424">
        <w:t xml:space="preserve">fall </w:t>
      </w:r>
      <w:r w:rsidR="00F43D96">
        <w:t>outcome</w:t>
      </w:r>
      <w:r w:rsidR="00821424">
        <w:t xml:space="preserve"> observed for females</w:t>
      </w:r>
      <w:r w:rsidR="006F7907">
        <w:t xml:space="preserve"> in Scotland</w:t>
      </w:r>
      <w:r w:rsidR="00D55BCD">
        <w:t xml:space="preserve"> and in England &amp; Wales</w:t>
      </w:r>
      <w:r w:rsidR="00821424">
        <w:t>.</w:t>
      </w:r>
      <w:r w:rsidR="00414879">
        <w:t xml:space="preserve"> </w:t>
      </w:r>
      <w:r w:rsidR="00D55BCD">
        <w:t>In Scotland, t</w:t>
      </w:r>
      <w:r w:rsidR="00941349">
        <w:t xml:space="preserve">he </w:t>
      </w:r>
      <w:r w:rsidR="004A7115">
        <w:t>risk</w:t>
      </w:r>
      <w:r w:rsidR="00941349">
        <w:t xml:space="preserve"> of observing at least one fall outcome was 29.2</w:t>
      </w:r>
      <w:r w:rsidR="00414879">
        <w:t xml:space="preserve">%, </w:t>
      </w:r>
      <w:r w:rsidR="00941349">
        <w:t>49</w:t>
      </w:r>
      <w:r w:rsidR="00414879">
        <w:t xml:space="preserve">.8% and </w:t>
      </w:r>
      <w:r w:rsidR="00941349">
        <w:t>74.8</w:t>
      </w:r>
      <w:r w:rsidR="00414879">
        <w:t xml:space="preserve">% </w:t>
      </w:r>
      <w:r w:rsidR="00F43D96">
        <w:t>in 5</w:t>
      </w:r>
      <w:r w:rsidR="00414879">
        <w:t>-, 10- and 20-year period</w:t>
      </w:r>
      <w:r w:rsidR="00F43D96">
        <w:t>s</w:t>
      </w:r>
      <w:r w:rsidR="00821424">
        <w:t xml:space="preserve"> respectively</w:t>
      </w:r>
      <w:r w:rsidR="00414879">
        <w:t xml:space="preserve">. </w:t>
      </w:r>
      <w:r w:rsidR="00D55BCD">
        <w:t xml:space="preserve">The 5-, 10- and 20-year risk in females in England &amp; Wales was 15.6%, 28.8% and 49.2%, which were much lower than Scotland. </w:t>
      </w:r>
      <w:r w:rsidR="004A7115">
        <w:t>Four fall outcomes were observed in the 60-year period preceding 2016 in Scotland, the risk of experiencing at least these four fall outcomes was 57.3%</w:t>
      </w:r>
      <w:r w:rsidR="00821424">
        <w:t xml:space="preserve">. </w:t>
      </w:r>
      <w:r w:rsidR="00D55BCD">
        <w:t xml:space="preserve">In England &amp; Wales, two falls in life expectancy were observed over </w:t>
      </w:r>
      <w:r w:rsidR="004A7115">
        <w:t xml:space="preserve">the most recent 60-year period. Observing at least two falls had a risk </w:t>
      </w:r>
      <w:r w:rsidR="00D55BCD">
        <w:t xml:space="preserve">of 59.9% of occurring. Whilst these </w:t>
      </w:r>
      <w:r w:rsidR="004A7115">
        <w:t>risk</w:t>
      </w:r>
      <w:r w:rsidR="00D55BCD">
        <w:t xml:space="preserve"> indicate that the fall event experienced was far from certain, the risk was </w:t>
      </w:r>
      <w:r w:rsidR="00941349">
        <w:t xml:space="preserve">substantially </w:t>
      </w:r>
      <w:r w:rsidR="00821424">
        <w:t xml:space="preserve">high enough to suggest the </w:t>
      </w:r>
      <w:r w:rsidR="004A7115">
        <w:t>fall in life expectancy in 20</w:t>
      </w:r>
      <w:r w:rsidR="00821424">
        <w:t>15 for females could have been influenced by chance</w:t>
      </w:r>
      <w:r w:rsidR="00D55BCD">
        <w:t xml:space="preserve"> in both Scotland and England &amp; Wales</w:t>
      </w:r>
      <w:r w:rsidR="00821424">
        <w:t>.</w:t>
      </w:r>
    </w:p>
    <w:p w14:paraId="20E7C1AF" w14:textId="77777777" w:rsidR="00156110" w:rsidRDefault="00821424" w:rsidP="002F363A">
      <w:r>
        <w:t>There was one fall outcome observed over the last 5-, 10-, 2</w:t>
      </w:r>
      <w:r w:rsidR="00156110">
        <w:t>0- and 6</w:t>
      </w:r>
      <w:r>
        <w:t>0- years for males. T</w:t>
      </w:r>
      <w:r w:rsidR="00941349">
        <w:t xml:space="preserve">he </w:t>
      </w:r>
      <w:r w:rsidR="004A7115">
        <w:t>risk</w:t>
      </w:r>
      <w:r w:rsidR="00941349">
        <w:t xml:space="preserve"> of observing at least one fall outcome</w:t>
      </w:r>
      <w:r>
        <w:t xml:space="preserve">, was </w:t>
      </w:r>
      <w:r w:rsidR="00156110">
        <w:t>8.1%, 15.4</w:t>
      </w:r>
      <w:r w:rsidR="00941349">
        <w:t xml:space="preserve">%, 28.5% and </w:t>
      </w:r>
      <w:r w:rsidR="00156110">
        <w:t>63.5% in a 5-, 10-, 20- and 6</w:t>
      </w:r>
      <w:r w:rsidR="00941349">
        <w:t xml:space="preserve">0-year period respectively. </w:t>
      </w:r>
      <w:r w:rsidR="00156110">
        <w:t xml:space="preserve">In England &amp; Wales, a single fall outcome was observed over the last 5-, 10- and 20-year period with respective </w:t>
      </w:r>
      <w:r w:rsidR="004A7115">
        <w:t>risks of observing at least one fall outcome</w:t>
      </w:r>
      <w:r w:rsidR="00156110">
        <w:t xml:space="preserve"> of 15.6%, 28.8% and 49.2%. Two fall outcomes were observed in the last 60-year period </w:t>
      </w:r>
      <w:r w:rsidR="004A7115">
        <w:t>in England &amp; Wales. The risk of observing at least two fall outcomes over a 60-year period was</w:t>
      </w:r>
      <w:r w:rsidR="00156110">
        <w:t xml:space="preserve"> 59.9%. Similar to females, these probabilities indicate that whilst the risk was uncertain, the </w:t>
      </w:r>
      <w:r w:rsidR="004A7115">
        <w:t>risks</w:t>
      </w:r>
      <w:r w:rsidR="00156110">
        <w:t xml:space="preserve"> were high enough to suggest it would not have been unprecedented.</w:t>
      </w:r>
    </w:p>
    <w:p w14:paraId="75FE0806" w14:textId="77777777" w:rsidR="00537DD7" w:rsidRDefault="00632C2A" w:rsidP="009379EA">
      <w:pPr>
        <w:pStyle w:val="Heading3"/>
      </w:pPr>
      <w:r>
        <w:t xml:space="preserve">Relationship between </w:t>
      </w:r>
      <w:r w:rsidR="00A52925">
        <w:t xml:space="preserve">annual </w:t>
      </w:r>
      <w:r>
        <w:t>life expectancy cha</w:t>
      </w:r>
      <w:r w:rsidR="00982CE0">
        <w:t>nge and change in previous year</w:t>
      </w:r>
    </w:p>
    <w:p w14:paraId="2D86C9E3" w14:textId="11C8FD11" w:rsidR="00E01328" w:rsidRDefault="00982CE0" w:rsidP="00E01328">
      <w:r>
        <w:t xml:space="preserve">The </w:t>
      </w:r>
      <w:r w:rsidR="00B07CE7">
        <w:t xml:space="preserve">model including </w:t>
      </w:r>
      <w:r>
        <w:t xml:space="preserve">previous annual change in life expectancy </w:t>
      </w:r>
      <w:r w:rsidR="00B07CE7">
        <w:t>as a predictor for annual change in life expectancy provided a more improved fit than the model whereby previous annual change had no predicting factors. For males, t</w:t>
      </w:r>
      <w:r w:rsidR="00E01328">
        <w:t>he coefficient term for females was -0.47 [95% CI: -0.X to -0.X</w:t>
      </w:r>
      <w:r w:rsidR="00B07CE7">
        <w:t>, p&lt;0.001</w:t>
      </w:r>
      <w:r w:rsidR="00E01328">
        <w:t>] indicating that the annual change was negatively associated with the previous year. For males</w:t>
      </w:r>
      <w:r w:rsidR="00B07CE7">
        <w:t xml:space="preserve"> the association was weaker with a</w:t>
      </w:r>
      <w:r w:rsidR="00E01328">
        <w:t xml:space="preserve"> coefficient </w:t>
      </w:r>
      <w:r w:rsidR="00B07CE7">
        <w:t xml:space="preserve">term of </w:t>
      </w:r>
      <w:r w:rsidR="00E01328">
        <w:t>-0.29 [95% CI: -0.X to -0.X</w:t>
      </w:r>
      <w:r w:rsidR="00B07CE7">
        <w:t xml:space="preserve">, </w:t>
      </w:r>
      <w:r w:rsidR="00B07CE7">
        <w:t>p=0.027</w:t>
      </w:r>
      <w:r w:rsidR="00E01328">
        <w:t>]. Both results are evidence that large annual changes in life expectancy are usually followed up by smaller changes in the following year.</w:t>
      </w:r>
    </w:p>
    <w:p w14:paraId="26FBDF1C" w14:textId="77777777" w:rsidR="00784E3E" w:rsidRDefault="00537DD7" w:rsidP="009379EA">
      <w:pPr>
        <w:pStyle w:val="Heading2"/>
      </w:pPr>
      <w:r>
        <w:lastRenderedPageBreak/>
        <w:t>Discussion</w:t>
      </w:r>
    </w:p>
    <w:p w14:paraId="27AB0040" w14:textId="77777777" w:rsidR="0034208C" w:rsidRDefault="0034208C" w:rsidP="0034208C">
      <w:pPr>
        <w:pStyle w:val="Heading3"/>
      </w:pPr>
      <w:r>
        <w:t>Summary of findings</w:t>
      </w:r>
    </w:p>
    <w:p w14:paraId="6635713D" w14:textId="77777777" w:rsidR="00A53862" w:rsidRPr="00A53862" w:rsidRDefault="00A53862" w:rsidP="00A53862">
      <w:pPr>
        <w:rPr>
          <w:color w:val="000000" w:themeColor="text1"/>
        </w:rPr>
      </w:pPr>
      <w:r>
        <w:t>[Pasted from Jon’s Markdown report, need to rearticulate given results section changes]</w:t>
      </w:r>
    </w:p>
    <w:p w14:paraId="2B4610C5" w14:textId="77777777" w:rsidR="000D3388" w:rsidRPr="00A53862" w:rsidRDefault="000D3388" w:rsidP="000D3388">
      <w:pPr>
        <w:rPr>
          <w:color w:val="BFBFBF" w:themeColor="background1" w:themeShade="BF"/>
        </w:rPr>
      </w:pPr>
      <w:r w:rsidRPr="00A53862">
        <w:rPr>
          <w:color w:val="BFBFBF" w:themeColor="background1" w:themeShade="BF"/>
        </w:rPr>
        <w:t>The findings suggest that the fall in life expectancy in Scotland from 2014-15 was rare but not unprecedented. It was a rare event for both sexes, but more so for males than females. Considering the ups and downs in life expectancy changes in Scotland from 1955-2014, a fall in life expectancy as or more severe than that seen in 2014-15 could be expected to occur once every 15 years on average for females, and once every 60 years on average for males.</w:t>
      </w:r>
    </w:p>
    <w:p w14:paraId="39FE26B7" w14:textId="77777777" w:rsidR="000D3388" w:rsidRPr="00A53862" w:rsidRDefault="000D3388" w:rsidP="000D3388">
      <w:pPr>
        <w:rPr>
          <w:color w:val="BFBFBF" w:themeColor="background1" w:themeShade="BF"/>
        </w:rPr>
      </w:pPr>
      <w:r w:rsidRPr="00A53862">
        <w:rPr>
          <w:color w:val="BFBFBF" w:themeColor="background1" w:themeShade="BF"/>
        </w:rPr>
        <w:t>This result might be taken to suggest that the possibility that the 2014-15 was simply a ‘chance event’, rather than the start of a long-term slowdown or stagnation in improving life expectancy, cannot be ruled out. Variation in mortality rates from one year to the next can occur due to random seasonal variation in temperature and infectious diseases, especially influenza. [REFS]</w:t>
      </w:r>
    </w:p>
    <w:p w14:paraId="66200974" w14:textId="77777777" w:rsidR="000D3388" w:rsidRPr="00A53862" w:rsidRDefault="000D3388" w:rsidP="000D3388">
      <w:pPr>
        <w:rPr>
          <w:color w:val="BFBFBF" w:themeColor="background1" w:themeShade="BF"/>
        </w:rPr>
      </w:pPr>
      <w:r w:rsidRPr="00A53862">
        <w:rPr>
          <w:color w:val="BFBFBF" w:themeColor="background1" w:themeShade="BF"/>
        </w:rPr>
        <w:t>However, perhaps more unusual and concerning than the fall in life expectancy from 2014-15 was the lack of any substantial increase in life expectancy which occurred in the following year. This should be concerning because, unlike the very simple modelling approach used for illustration and estimation above, changes in life expectancy over a year are likely to be negatively correlated (rather than uncorrelated) with changes in the previous year.</w:t>
      </w:r>
    </w:p>
    <w:p w14:paraId="76179236" w14:textId="77777777" w:rsidR="000D3388" w:rsidRPr="00A53862" w:rsidRDefault="000D3388" w:rsidP="000D3388">
      <w:pPr>
        <w:rPr>
          <w:color w:val="BFBFBF" w:themeColor="background1" w:themeShade="BF"/>
        </w:rPr>
      </w:pPr>
      <w:r w:rsidRPr="00A53862">
        <w:rPr>
          <w:color w:val="BFBFBF" w:themeColor="background1" w:themeShade="BF"/>
        </w:rPr>
        <w:t>Analysis of annual mortality changes does suggest that the data for Scotland exhibits this negative correlation pattern. (See appendix?) This means the lack of improvement in life expectancy from 2015-16, after the substantial fall in life expectancy in 2014-15, is particularly unusual, and that recent trends in changes in life expectancy should be monitored and analysed very carefully to determine whether 2014-15 represents a change in the ‘population climate’, a chance event, or a combination of both.</w:t>
      </w:r>
    </w:p>
    <w:p w14:paraId="0151111D" w14:textId="77777777" w:rsidR="00A53862" w:rsidRPr="00A53862" w:rsidRDefault="0034208C" w:rsidP="00A53862">
      <w:pPr>
        <w:pStyle w:val="Heading3"/>
      </w:pPr>
      <w:r>
        <w:t>How does this fit with the literature</w:t>
      </w:r>
    </w:p>
    <w:p w14:paraId="1E0A43CE" w14:textId="77777777" w:rsidR="0034208C" w:rsidRDefault="0034208C" w:rsidP="0034208C">
      <w:pPr>
        <w:pStyle w:val="Heading3"/>
      </w:pPr>
      <w:r>
        <w:t>Strengths and limitations</w:t>
      </w:r>
    </w:p>
    <w:p w14:paraId="0AD7E725" w14:textId="77777777" w:rsidR="00A53862" w:rsidRDefault="005A7D93" w:rsidP="00A53862">
      <w:pPr>
        <w:pStyle w:val="ListParagraph"/>
        <w:numPr>
          <w:ilvl w:val="0"/>
          <w:numId w:val="3"/>
        </w:numPr>
      </w:pPr>
      <w:r>
        <w:t>Considers risk</w:t>
      </w:r>
      <w:r w:rsidR="00A53862">
        <w:t xml:space="preserve"> over larger periods of time, tests perceptions of risk over time. Misalignment of people thinking something is due, versus people thinking because an event hasn’t happened in a long time, the risk has changed</w:t>
      </w:r>
    </w:p>
    <w:p w14:paraId="17CB22FD" w14:textId="77777777" w:rsidR="00A53862" w:rsidRDefault="00A53862" w:rsidP="00A53862">
      <w:pPr>
        <w:pStyle w:val="ListParagraph"/>
        <w:numPr>
          <w:ilvl w:val="0"/>
          <w:numId w:val="3"/>
        </w:numPr>
      </w:pPr>
      <w:r>
        <w:t>Rare event, small numbers, risk becomes increasingly larger for each rare event that occurs</w:t>
      </w:r>
    </w:p>
    <w:p w14:paraId="670A0A01" w14:textId="77777777" w:rsidR="00A53862" w:rsidRDefault="00A53862" w:rsidP="00A53862">
      <w:pPr>
        <w:pStyle w:val="ListParagraph"/>
        <w:numPr>
          <w:ilvl w:val="0"/>
          <w:numId w:val="3"/>
        </w:numPr>
      </w:pPr>
      <w:r>
        <w:t>Assumptions over risk being constant over time, we addresses naysayers on both sides, autocorrelation results carried out to balance argument, alternative viewpoint to support underlying mechanisms</w:t>
      </w:r>
    </w:p>
    <w:p w14:paraId="2582AA79" w14:textId="77777777" w:rsidR="00A53862" w:rsidRPr="00A53862" w:rsidRDefault="0034208C" w:rsidP="00A53862">
      <w:pPr>
        <w:pStyle w:val="Heading3"/>
      </w:pPr>
      <w:r>
        <w:t>Implications for policy and future research</w:t>
      </w:r>
    </w:p>
    <w:p w14:paraId="20D2B2DC" w14:textId="77777777" w:rsidR="004A7115" w:rsidRDefault="004A7115">
      <w:pPr>
        <w:rPr>
          <w:rFonts w:eastAsiaTheme="majorEastAsia" w:cstheme="majorBidi"/>
          <w:b/>
          <w:color w:val="000000" w:themeColor="text1"/>
          <w:sz w:val="26"/>
          <w:szCs w:val="26"/>
        </w:rPr>
      </w:pPr>
      <w:r>
        <w:br w:type="page"/>
      </w:r>
    </w:p>
    <w:p w14:paraId="4E245FAA" w14:textId="10E7313C" w:rsidR="004A7115" w:rsidRDefault="004A7115" w:rsidP="004A7115">
      <w:pPr>
        <w:spacing w:after="200" w:line="276" w:lineRule="auto"/>
        <w:jc w:val="both"/>
        <w:rPr>
          <w:b/>
        </w:rPr>
      </w:pPr>
      <w:commentRangeStart w:id="1"/>
      <w:r>
        <w:rPr>
          <w:b/>
        </w:rPr>
        <w:lastRenderedPageBreak/>
        <w:t>Figure 1: T</w:t>
      </w:r>
      <w:bookmarkStart w:id="2" w:name="_GoBack"/>
      <w:bookmarkEnd w:id="2"/>
      <w:r>
        <w:rPr>
          <w:b/>
        </w:rPr>
        <w:t>emporal trends in annual changes in life e</w:t>
      </w:r>
      <w:r w:rsidR="00B07CE7">
        <w:rPr>
          <w:b/>
        </w:rPr>
        <w:t>xpectancy in Scotland, 1855-201</w:t>
      </w:r>
      <w:commentRangeEnd w:id="1"/>
      <w:r w:rsidR="00B07CE7">
        <w:rPr>
          <w:b/>
        </w:rPr>
        <w:t>7</w:t>
      </w:r>
      <w:r w:rsidR="00B07CE7">
        <w:rPr>
          <w:rStyle w:val="CommentReference"/>
        </w:rPr>
        <w:commentReference w:id="1"/>
      </w:r>
    </w:p>
    <w:p w14:paraId="6476CA02" w14:textId="32C41BAA" w:rsidR="004A7115" w:rsidRDefault="00B07CE7" w:rsidP="004A7115">
      <w:pPr>
        <w:spacing w:after="200" w:line="276" w:lineRule="auto"/>
        <w:jc w:val="both"/>
        <w:rPr>
          <w:b/>
        </w:rPr>
      </w:pPr>
      <w:r>
        <w:rPr>
          <w:noProof/>
          <w:lang w:eastAsia="en-GB"/>
        </w:rPr>
        <w:drawing>
          <wp:inline distT="0" distB="0" distL="0" distR="0" wp14:anchorId="28660D18" wp14:editId="3EDC6B20">
            <wp:extent cx="5018846" cy="297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094" t="42298" r="38677" b="18082"/>
                    <a:stretch/>
                  </pic:blipFill>
                  <pic:spPr bwMode="auto">
                    <a:xfrm>
                      <a:off x="0" y="0"/>
                      <a:ext cx="5036434" cy="2983489"/>
                    </a:xfrm>
                    <a:prstGeom prst="rect">
                      <a:avLst/>
                    </a:prstGeom>
                    <a:ln>
                      <a:noFill/>
                    </a:ln>
                    <a:extLst>
                      <a:ext uri="{53640926-AAD7-44D8-BBD7-CCE9431645EC}">
                        <a14:shadowObscured xmlns:a14="http://schemas.microsoft.com/office/drawing/2010/main"/>
                      </a:ext>
                    </a:extLst>
                  </pic:spPr>
                </pic:pic>
              </a:graphicData>
            </a:graphic>
          </wp:inline>
        </w:drawing>
      </w:r>
    </w:p>
    <w:p w14:paraId="3C3092FB" w14:textId="77777777" w:rsidR="004A7115" w:rsidRDefault="004A7115" w:rsidP="004A7115">
      <w:pPr>
        <w:spacing w:after="200" w:line="276" w:lineRule="auto"/>
        <w:rPr>
          <w:b/>
        </w:rPr>
      </w:pPr>
      <w:r>
        <w:rPr>
          <w:b/>
        </w:rPr>
        <w:br w:type="page"/>
      </w:r>
    </w:p>
    <w:p w14:paraId="2E83825F" w14:textId="77777777" w:rsidR="004A7115" w:rsidRPr="00FE1539" w:rsidRDefault="004A7115" w:rsidP="004A7115">
      <w:pPr>
        <w:spacing w:after="200" w:line="276" w:lineRule="auto"/>
        <w:jc w:val="both"/>
        <w:rPr>
          <w:b/>
        </w:rPr>
      </w:pPr>
      <w:r w:rsidRPr="00FE1539">
        <w:rPr>
          <w:b/>
        </w:rPr>
        <w:lastRenderedPageBreak/>
        <w:t>Table 1: Probability of a fall in lif</w:t>
      </w:r>
      <w:r>
        <w:rPr>
          <w:b/>
        </w:rPr>
        <w:t>e expectancy as extreme as 20</w:t>
      </w:r>
      <w:r w:rsidRPr="00FE1539">
        <w:rPr>
          <w:b/>
        </w:rPr>
        <w:t>15 o</w:t>
      </w:r>
      <w:r>
        <w:rPr>
          <w:b/>
        </w:rPr>
        <w:t>ccurring in a 5-, 10-, 20- and 60-year period by sex, Scotland and England &amp; Wales</w:t>
      </w:r>
    </w:p>
    <w:tbl>
      <w:tblPr>
        <w:tblW w:w="5000" w:type="pct"/>
        <w:tblLook w:val="04A0" w:firstRow="1" w:lastRow="0" w:firstColumn="1" w:lastColumn="0" w:noHBand="0" w:noVBand="1"/>
      </w:tblPr>
      <w:tblGrid>
        <w:gridCol w:w="1282"/>
        <w:gridCol w:w="2428"/>
        <w:gridCol w:w="1329"/>
        <w:gridCol w:w="1329"/>
        <w:gridCol w:w="1329"/>
        <w:gridCol w:w="1329"/>
      </w:tblGrid>
      <w:tr w:rsidR="004A7115" w:rsidRPr="00355D78" w14:paraId="4F1F83E0" w14:textId="77777777" w:rsidTr="00E258B4">
        <w:trPr>
          <w:trHeight w:val="315"/>
        </w:trPr>
        <w:tc>
          <w:tcPr>
            <w:tcW w:w="711" w:type="pct"/>
            <w:tcBorders>
              <w:top w:val="single" w:sz="8" w:space="0" w:color="auto"/>
              <w:left w:val="nil"/>
              <w:bottom w:val="nil"/>
              <w:right w:val="nil"/>
            </w:tcBorders>
            <w:shd w:val="clear" w:color="auto" w:fill="auto"/>
            <w:noWrap/>
            <w:hideMark/>
          </w:tcPr>
          <w:p w14:paraId="062D5287" w14:textId="77777777" w:rsidR="004A7115" w:rsidRPr="00355D78" w:rsidRDefault="004A7115" w:rsidP="00E258B4">
            <w:pPr>
              <w:spacing w:after="0" w:line="240" w:lineRule="auto"/>
              <w:rPr>
                <w:rFonts w:eastAsia="Times New Roman" w:cs="Arial"/>
                <w:b/>
                <w:bCs/>
                <w:color w:val="000000"/>
                <w:sz w:val="20"/>
                <w:szCs w:val="20"/>
                <w:lang w:eastAsia="en-GB"/>
              </w:rPr>
            </w:pPr>
            <w:r w:rsidRPr="00355D78">
              <w:rPr>
                <w:rFonts w:eastAsia="Times New Roman" w:cs="Arial"/>
                <w:b/>
                <w:bCs/>
                <w:color w:val="000000"/>
                <w:sz w:val="20"/>
                <w:szCs w:val="20"/>
                <w:lang w:eastAsia="en-GB"/>
              </w:rPr>
              <w:t>Time period</w:t>
            </w:r>
          </w:p>
        </w:tc>
        <w:tc>
          <w:tcPr>
            <w:tcW w:w="1345" w:type="pct"/>
            <w:tcBorders>
              <w:top w:val="single" w:sz="8" w:space="0" w:color="auto"/>
              <w:left w:val="nil"/>
              <w:bottom w:val="nil"/>
              <w:right w:val="nil"/>
            </w:tcBorders>
            <w:shd w:val="clear" w:color="auto" w:fill="auto"/>
            <w:noWrap/>
            <w:hideMark/>
          </w:tcPr>
          <w:p w14:paraId="13C3BA9F" w14:textId="77777777" w:rsidR="004A7115" w:rsidRPr="00355D78" w:rsidRDefault="004A7115" w:rsidP="00E258B4">
            <w:pPr>
              <w:spacing w:after="0" w:line="240" w:lineRule="auto"/>
              <w:rPr>
                <w:rFonts w:eastAsia="Times New Roman" w:cs="Arial"/>
                <w:b/>
                <w:bCs/>
                <w:color w:val="000000"/>
                <w:sz w:val="20"/>
                <w:szCs w:val="20"/>
                <w:lang w:eastAsia="en-GB"/>
              </w:rPr>
            </w:pPr>
            <w:r w:rsidRPr="00355D78">
              <w:rPr>
                <w:rFonts w:eastAsia="Times New Roman" w:cs="Arial"/>
                <w:b/>
                <w:bCs/>
                <w:color w:val="000000"/>
                <w:sz w:val="20"/>
                <w:szCs w:val="20"/>
                <w:lang w:eastAsia="en-GB"/>
              </w:rPr>
              <w:t>Number of fall outcomes</w:t>
            </w:r>
          </w:p>
        </w:tc>
        <w:tc>
          <w:tcPr>
            <w:tcW w:w="1472" w:type="pct"/>
            <w:gridSpan w:val="2"/>
            <w:tcBorders>
              <w:top w:val="single" w:sz="8" w:space="0" w:color="auto"/>
              <w:left w:val="nil"/>
              <w:bottom w:val="nil"/>
              <w:right w:val="nil"/>
            </w:tcBorders>
            <w:shd w:val="clear" w:color="auto" w:fill="auto"/>
            <w:noWrap/>
            <w:vAlign w:val="center"/>
            <w:hideMark/>
          </w:tcPr>
          <w:p w14:paraId="56DB145E" w14:textId="77777777" w:rsidR="004A7115" w:rsidRPr="00355D78" w:rsidRDefault="004A7115" w:rsidP="00E258B4">
            <w:pPr>
              <w:spacing w:after="0" w:line="240" w:lineRule="auto"/>
              <w:jc w:val="center"/>
              <w:rPr>
                <w:rFonts w:eastAsia="Times New Roman" w:cs="Arial"/>
                <w:b/>
                <w:bCs/>
                <w:color w:val="000000"/>
                <w:sz w:val="20"/>
                <w:szCs w:val="20"/>
                <w:lang w:eastAsia="en-GB"/>
              </w:rPr>
            </w:pPr>
            <w:r w:rsidRPr="00355D78">
              <w:rPr>
                <w:rFonts w:eastAsia="Times New Roman" w:cs="Arial"/>
                <w:b/>
                <w:bCs/>
                <w:color w:val="000000"/>
                <w:sz w:val="20"/>
                <w:szCs w:val="20"/>
                <w:lang w:eastAsia="en-GB"/>
              </w:rPr>
              <w:t>Scotland</w:t>
            </w:r>
          </w:p>
        </w:tc>
        <w:tc>
          <w:tcPr>
            <w:tcW w:w="1472" w:type="pct"/>
            <w:gridSpan w:val="2"/>
            <w:tcBorders>
              <w:top w:val="single" w:sz="8" w:space="0" w:color="auto"/>
              <w:left w:val="nil"/>
              <w:bottom w:val="nil"/>
              <w:right w:val="nil"/>
            </w:tcBorders>
            <w:shd w:val="clear" w:color="auto" w:fill="auto"/>
            <w:noWrap/>
            <w:vAlign w:val="center"/>
            <w:hideMark/>
          </w:tcPr>
          <w:p w14:paraId="2DA9333D" w14:textId="77777777" w:rsidR="004A7115" w:rsidRPr="00355D78" w:rsidRDefault="004A7115" w:rsidP="00E258B4">
            <w:pPr>
              <w:spacing w:after="0" w:line="240" w:lineRule="auto"/>
              <w:jc w:val="center"/>
              <w:rPr>
                <w:rFonts w:eastAsia="Times New Roman" w:cs="Arial"/>
                <w:b/>
                <w:bCs/>
                <w:color w:val="000000"/>
                <w:sz w:val="20"/>
                <w:szCs w:val="20"/>
                <w:lang w:eastAsia="en-GB"/>
              </w:rPr>
            </w:pPr>
            <w:r w:rsidRPr="00355D78">
              <w:rPr>
                <w:rFonts w:eastAsia="Times New Roman" w:cs="Arial"/>
                <w:b/>
                <w:bCs/>
                <w:color w:val="000000"/>
                <w:sz w:val="20"/>
                <w:szCs w:val="20"/>
                <w:lang w:eastAsia="en-GB"/>
              </w:rPr>
              <w:t>England &amp; Wales</w:t>
            </w:r>
          </w:p>
        </w:tc>
      </w:tr>
      <w:tr w:rsidR="004A7115" w:rsidRPr="00355D78" w14:paraId="1CC0F5AC" w14:textId="77777777" w:rsidTr="00E258B4">
        <w:trPr>
          <w:trHeight w:val="330"/>
        </w:trPr>
        <w:tc>
          <w:tcPr>
            <w:tcW w:w="711" w:type="pct"/>
            <w:tcBorders>
              <w:top w:val="nil"/>
              <w:left w:val="nil"/>
              <w:bottom w:val="single" w:sz="8" w:space="0" w:color="auto"/>
              <w:right w:val="nil"/>
            </w:tcBorders>
            <w:shd w:val="clear" w:color="auto" w:fill="auto"/>
            <w:noWrap/>
            <w:hideMark/>
          </w:tcPr>
          <w:p w14:paraId="0713049E" w14:textId="77777777" w:rsidR="004A7115" w:rsidRPr="00355D78" w:rsidRDefault="004A7115" w:rsidP="00E258B4">
            <w:pPr>
              <w:spacing w:after="0" w:line="240" w:lineRule="auto"/>
              <w:rPr>
                <w:rFonts w:eastAsia="Times New Roman" w:cs="Arial"/>
                <w:b/>
                <w:bCs/>
                <w:color w:val="000000"/>
                <w:sz w:val="20"/>
                <w:szCs w:val="20"/>
                <w:lang w:eastAsia="en-GB"/>
              </w:rPr>
            </w:pPr>
            <w:r w:rsidRPr="00355D78">
              <w:rPr>
                <w:rFonts w:eastAsia="Times New Roman" w:cs="Arial"/>
                <w:b/>
                <w:bCs/>
                <w:color w:val="000000"/>
                <w:sz w:val="20"/>
                <w:szCs w:val="20"/>
                <w:lang w:eastAsia="en-GB"/>
              </w:rPr>
              <w:t> </w:t>
            </w:r>
          </w:p>
        </w:tc>
        <w:tc>
          <w:tcPr>
            <w:tcW w:w="1345" w:type="pct"/>
            <w:tcBorders>
              <w:top w:val="nil"/>
              <w:left w:val="nil"/>
              <w:bottom w:val="single" w:sz="8" w:space="0" w:color="auto"/>
              <w:right w:val="nil"/>
            </w:tcBorders>
            <w:shd w:val="clear" w:color="auto" w:fill="auto"/>
            <w:noWrap/>
            <w:hideMark/>
          </w:tcPr>
          <w:p w14:paraId="7FA4C583" w14:textId="77777777" w:rsidR="004A7115" w:rsidRPr="00355D78" w:rsidRDefault="004A7115" w:rsidP="00E258B4">
            <w:pPr>
              <w:spacing w:after="0" w:line="240" w:lineRule="auto"/>
              <w:rPr>
                <w:rFonts w:eastAsia="Times New Roman" w:cs="Arial"/>
                <w:b/>
                <w:bCs/>
                <w:color w:val="000000"/>
                <w:sz w:val="20"/>
                <w:szCs w:val="20"/>
                <w:lang w:eastAsia="en-GB"/>
              </w:rPr>
            </w:pPr>
            <w:r w:rsidRPr="00355D78">
              <w:rPr>
                <w:rFonts w:eastAsia="Times New Roman" w:cs="Arial"/>
                <w:b/>
                <w:bCs/>
                <w:color w:val="000000"/>
                <w:sz w:val="20"/>
                <w:szCs w:val="20"/>
                <w:lang w:eastAsia="en-GB"/>
              </w:rPr>
              <w:t> </w:t>
            </w:r>
          </w:p>
        </w:tc>
        <w:tc>
          <w:tcPr>
            <w:tcW w:w="736" w:type="pct"/>
            <w:tcBorders>
              <w:top w:val="nil"/>
              <w:left w:val="nil"/>
              <w:bottom w:val="single" w:sz="8" w:space="0" w:color="auto"/>
              <w:right w:val="nil"/>
            </w:tcBorders>
            <w:shd w:val="clear" w:color="auto" w:fill="auto"/>
            <w:noWrap/>
            <w:vAlign w:val="center"/>
            <w:hideMark/>
          </w:tcPr>
          <w:p w14:paraId="6F3A218E" w14:textId="77777777" w:rsidR="004A7115" w:rsidRPr="00355D78" w:rsidRDefault="004A7115" w:rsidP="00E258B4">
            <w:pPr>
              <w:spacing w:after="0" w:line="240" w:lineRule="auto"/>
              <w:jc w:val="center"/>
              <w:rPr>
                <w:rFonts w:eastAsia="Times New Roman" w:cs="Arial"/>
                <w:b/>
                <w:bCs/>
                <w:color w:val="000000"/>
                <w:sz w:val="20"/>
                <w:szCs w:val="20"/>
                <w:lang w:eastAsia="en-GB"/>
              </w:rPr>
            </w:pPr>
            <w:r w:rsidRPr="00355D78">
              <w:rPr>
                <w:rFonts w:eastAsia="Times New Roman" w:cs="Arial"/>
                <w:b/>
                <w:bCs/>
                <w:color w:val="000000"/>
                <w:sz w:val="20"/>
                <w:szCs w:val="20"/>
                <w:lang w:eastAsia="en-GB"/>
              </w:rPr>
              <w:t>Females</w:t>
            </w:r>
          </w:p>
          <w:p w14:paraId="2426453D" w14:textId="77777777" w:rsidR="004A7115" w:rsidRPr="00355D78" w:rsidRDefault="004A7115" w:rsidP="00E258B4">
            <w:pPr>
              <w:spacing w:after="0" w:line="240" w:lineRule="auto"/>
              <w:jc w:val="center"/>
              <w:rPr>
                <w:rFonts w:eastAsia="Times New Roman" w:cs="Arial"/>
                <w:b/>
                <w:bCs/>
                <w:color w:val="000000"/>
                <w:sz w:val="20"/>
                <w:szCs w:val="20"/>
                <w:lang w:eastAsia="en-GB"/>
              </w:rPr>
            </w:pPr>
            <w:r w:rsidRPr="00355D78">
              <w:rPr>
                <w:rFonts w:eastAsia="Times New Roman" w:cs="Arial"/>
                <w:b/>
                <w:bCs/>
                <w:color w:val="000000"/>
                <w:sz w:val="20"/>
                <w:szCs w:val="20"/>
                <w:lang w:eastAsia="en-GB"/>
              </w:rPr>
              <w:t>(AEP = 6.7%)</w:t>
            </w:r>
          </w:p>
        </w:tc>
        <w:tc>
          <w:tcPr>
            <w:tcW w:w="736" w:type="pct"/>
            <w:tcBorders>
              <w:top w:val="nil"/>
              <w:left w:val="nil"/>
              <w:bottom w:val="single" w:sz="8" w:space="0" w:color="auto"/>
              <w:right w:val="nil"/>
            </w:tcBorders>
            <w:shd w:val="clear" w:color="auto" w:fill="auto"/>
            <w:noWrap/>
            <w:vAlign w:val="center"/>
            <w:hideMark/>
          </w:tcPr>
          <w:p w14:paraId="6B3B0A5A" w14:textId="77777777" w:rsidR="004A7115" w:rsidRPr="00355D78" w:rsidRDefault="004A7115" w:rsidP="00E258B4">
            <w:pPr>
              <w:spacing w:after="0" w:line="240" w:lineRule="auto"/>
              <w:jc w:val="center"/>
              <w:rPr>
                <w:rFonts w:eastAsia="Times New Roman" w:cs="Arial"/>
                <w:b/>
                <w:bCs/>
                <w:color w:val="000000"/>
                <w:sz w:val="20"/>
                <w:szCs w:val="20"/>
                <w:lang w:eastAsia="en-GB"/>
              </w:rPr>
            </w:pPr>
            <w:r w:rsidRPr="00355D78">
              <w:rPr>
                <w:rFonts w:eastAsia="Times New Roman" w:cs="Arial"/>
                <w:b/>
                <w:bCs/>
                <w:color w:val="000000"/>
                <w:sz w:val="20"/>
                <w:szCs w:val="20"/>
                <w:lang w:eastAsia="en-GB"/>
              </w:rPr>
              <w:t>Males</w:t>
            </w:r>
          </w:p>
          <w:p w14:paraId="53090CB0" w14:textId="77777777" w:rsidR="004A7115" w:rsidRPr="00355D78" w:rsidRDefault="004A7115" w:rsidP="00E258B4">
            <w:pPr>
              <w:spacing w:after="0" w:line="240" w:lineRule="auto"/>
              <w:jc w:val="center"/>
              <w:rPr>
                <w:rFonts w:eastAsia="Times New Roman" w:cs="Arial"/>
                <w:b/>
                <w:bCs/>
                <w:color w:val="000000"/>
                <w:sz w:val="20"/>
                <w:szCs w:val="20"/>
                <w:lang w:eastAsia="en-GB"/>
              </w:rPr>
            </w:pPr>
            <w:r w:rsidRPr="00355D78">
              <w:rPr>
                <w:rFonts w:eastAsia="Times New Roman" w:cs="Arial"/>
                <w:b/>
                <w:bCs/>
                <w:color w:val="000000"/>
                <w:sz w:val="20"/>
                <w:szCs w:val="20"/>
                <w:lang w:eastAsia="en-GB"/>
              </w:rPr>
              <w:t xml:space="preserve">(AEP = </w:t>
            </w:r>
            <w:r>
              <w:rPr>
                <w:rFonts w:eastAsia="Times New Roman" w:cs="Arial"/>
                <w:b/>
                <w:bCs/>
                <w:color w:val="000000"/>
                <w:sz w:val="20"/>
                <w:szCs w:val="20"/>
                <w:lang w:eastAsia="en-GB"/>
              </w:rPr>
              <w:t>1</w:t>
            </w:r>
            <w:r w:rsidRPr="00355D78">
              <w:rPr>
                <w:rFonts w:eastAsia="Times New Roman" w:cs="Arial"/>
                <w:b/>
                <w:bCs/>
                <w:color w:val="000000"/>
                <w:sz w:val="20"/>
                <w:szCs w:val="20"/>
                <w:lang w:eastAsia="en-GB"/>
              </w:rPr>
              <w:t>.7%)</w:t>
            </w:r>
          </w:p>
        </w:tc>
        <w:tc>
          <w:tcPr>
            <w:tcW w:w="736" w:type="pct"/>
            <w:tcBorders>
              <w:top w:val="nil"/>
              <w:left w:val="nil"/>
              <w:bottom w:val="single" w:sz="8" w:space="0" w:color="auto"/>
              <w:right w:val="nil"/>
            </w:tcBorders>
            <w:shd w:val="clear" w:color="auto" w:fill="auto"/>
            <w:noWrap/>
            <w:vAlign w:val="center"/>
            <w:hideMark/>
          </w:tcPr>
          <w:p w14:paraId="1D38AEA8" w14:textId="77777777" w:rsidR="004A7115" w:rsidRPr="00355D78" w:rsidRDefault="004A7115" w:rsidP="00E258B4">
            <w:pPr>
              <w:spacing w:after="0" w:line="240" w:lineRule="auto"/>
              <w:jc w:val="center"/>
              <w:rPr>
                <w:rFonts w:eastAsia="Times New Roman" w:cs="Arial"/>
                <w:b/>
                <w:bCs/>
                <w:color w:val="000000"/>
                <w:sz w:val="20"/>
                <w:szCs w:val="20"/>
                <w:lang w:eastAsia="en-GB"/>
              </w:rPr>
            </w:pPr>
            <w:r w:rsidRPr="00355D78">
              <w:rPr>
                <w:rFonts w:eastAsia="Times New Roman" w:cs="Arial"/>
                <w:b/>
                <w:bCs/>
                <w:color w:val="000000"/>
                <w:sz w:val="20"/>
                <w:szCs w:val="20"/>
                <w:lang w:eastAsia="en-GB"/>
              </w:rPr>
              <w:t>Females</w:t>
            </w:r>
          </w:p>
          <w:p w14:paraId="22911A08" w14:textId="77777777" w:rsidR="004A7115" w:rsidRPr="00355D78" w:rsidRDefault="004A7115" w:rsidP="00E258B4">
            <w:pPr>
              <w:spacing w:after="0" w:line="240" w:lineRule="auto"/>
              <w:jc w:val="center"/>
              <w:rPr>
                <w:rFonts w:eastAsia="Times New Roman" w:cs="Arial"/>
                <w:b/>
                <w:bCs/>
                <w:color w:val="000000"/>
                <w:sz w:val="20"/>
                <w:szCs w:val="20"/>
                <w:lang w:eastAsia="en-GB"/>
              </w:rPr>
            </w:pPr>
            <w:r w:rsidRPr="00355D78">
              <w:rPr>
                <w:rFonts w:eastAsia="Times New Roman" w:cs="Arial"/>
                <w:b/>
                <w:bCs/>
                <w:color w:val="000000"/>
                <w:sz w:val="20"/>
                <w:szCs w:val="20"/>
                <w:lang w:eastAsia="en-GB"/>
              </w:rPr>
              <w:t xml:space="preserve">(AEP = </w:t>
            </w:r>
            <w:r>
              <w:rPr>
                <w:rFonts w:eastAsia="Times New Roman" w:cs="Arial"/>
                <w:b/>
                <w:bCs/>
                <w:color w:val="000000"/>
                <w:sz w:val="20"/>
                <w:szCs w:val="20"/>
                <w:lang w:eastAsia="en-GB"/>
              </w:rPr>
              <w:t>3.3</w:t>
            </w:r>
            <w:r w:rsidRPr="00355D78">
              <w:rPr>
                <w:rFonts w:eastAsia="Times New Roman" w:cs="Arial"/>
                <w:b/>
                <w:bCs/>
                <w:color w:val="000000"/>
                <w:sz w:val="20"/>
                <w:szCs w:val="20"/>
                <w:lang w:eastAsia="en-GB"/>
              </w:rPr>
              <w:t>%)</w:t>
            </w:r>
          </w:p>
        </w:tc>
        <w:tc>
          <w:tcPr>
            <w:tcW w:w="736" w:type="pct"/>
            <w:tcBorders>
              <w:top w:val="nil"/>
              <w:left w:val="nil"/>
              <w:bottom w:val="single" w:sz="8" w:space="0" w:color="auto"/>
              <w:right w:val="nil"/>
            </w:tcBorders>
            <w:shd w:val="clear" w:color="auto" w:fill="auto"/>
            <w:noWrap/>
            <w:vAlign w:val="center"/>
            <w:hideMark/>
          </w:tcPr>
          <w:p w14:paraId="33A064D2" w14:textId="77777777" w:rsidR="004A7115" w:rsidRPr="00355D78" w:rsidRDefault="004A7115" w:rsidP="00E258B4">
            <w:pPr>
              <w:spacing w:after="0" w:line="240" w:lineRule="auto"/>
              <w:jc w:val="center"/>
              <w:rPr>
                <w:rFonts w:eastAsia="Times New Roman" w:cs="Arial"/>
                <w:b/>
                <w:bCs/>
                <w:color w:val="000000"/>
                <w:sz w:val="20"/>
                <w:szCs w:val="20"/>
                <w:lang w:eastAsia="en-GB"/>
              </w:rPr>
            </w:pPr>
            <w:r w:rsidRPr="00355D78">
              <w:rPr>
                <w:rFonts w:eastAsia="Times New Roman" w:cs="Arial"/>
                <w:b/>
                <w:bCs/>
                <w:color w:val="000000"/>
                <w:sz w:val="20"/>
                <w:szCs w:val="20"/>
                <w:lang w:eastAsia="en-GB"/>
              </w:rPr>
              <w:t>Males</w:t>
            </w:r>
          </w:p>
          <w:p w14:paraId="2B48A3CF" w14:textId="77777777" w:rsidR="004A7115" w:rsidRPr="00355D78" w:rsidRDefault="004A7115" w:rsidP="00E258B4">
            <w:pPr>
              <w:spacing w:after="0" w:line="240" w:lineRule="auto"/>
              <w:jc w:val="center"/>
              <w:rPr>
                <w:rFonts w:eastAsia="Times New Roman" w:cs="Arial"/>
                <w:b/>
                <w:bCs/>
                <w:color w:val="000000"/>
                <w:sz w:val="20"/>
                <w:szCs w:val="20"/>
                <w:lang w:eastAsia="en-GB"/>
              </w:rPr>
            </w:pPr>
            <w:r w:rsidRPr="00355D78">
              <w:rPr>
                <w:rFonts w:eastAsia="Times New Roman" w:cs="Arial"/>
                <w:b/>
                <w:bCs/>
                <w:color w:val="000000"/>
                <w:sz w:val="20"/>
                <w:szCs w:val="20"/>
                <w:lang w:eastAsia="en-GB"/>
              </w:rPr>
              <w:t xml:space="preserve">(AEP = </w:t>
            </w:r>
            <w:r>
              <w:rPr>
                <w:rFonts w:eastAsia="Times New Roman" w:cs="Arial"/>
                <w:b/>
                <w:bCs/>
                <w:color w:val="000000"/>
                <w:sz w:val="20"/>
                <w:szCs w:val="20"/>
                <w:lang w:eastAsia="en-GB"/>
              </w:rPr>
              <w:t>3.3</w:t>
            </w:r>
            <w:r w:rsidRPr="00355D78">
              <w:rPr>
                <w:rFonts w:eastAsia="Times New Roman" w:cs="Arial"/>
                <w:b/>
                <w:bCs/>
                <w:color w:val="000000"/>
                <w:sz w:val="20"/>
                <w:szCs w:val="20"/>
                <w:lang w:eastAsia="en-GB"/>
              </w:rPr>
              <w:t>%)</w:t>
            </w:r>
          </w:p>
        </w:tc>
      </w:tr>
      <w:tr w:rsidR="004A7115" w:rsidRPr="00355D78" w14:paraId="40204372" w14:textId="77777777" w:rsidTr="00E258B4">
        <w:trPr>
          <w:trHeight w:val="116"/>
        </w:trPr>
        <w:tc>
          <w:tcPr>
            <w:tcW w:w="711" w:type="pct"/>
            <w:tcBorders>
              <w:top w:val="nil"/>
              <w:left w:val="nil"/>
              <w:bottom w:val="nil"/>
              <w:right w:val="nil"/>
            </w:tcBorders>
            <w:shd w:val="clear" w:color="auto" w:fill="auto"/>
            <w:noWrap/>
            <w:hideMark/>
          </w:tcPr>
          <w:p w14:paraId="319D872D"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5-year risk</w:t>
            </w:r>
          </w:p>
        </w:tc>
        <w:tc>
          <w:tcPr>
            <w:tcW w:w="1345" w:type="pct"/>
            <w:tcBorders>
              <w:top w:val="nil"/>
              <w:left w:val="nil"/>
              <w:bottom w:val="nil"/>
              <w:right w:val="nil"/>
            </w:tcBorders>
            <w:shd w:val="clear" w:color="auto" w:fill="auto"/>
            <w:noWrap/>
            <w:hideMark/>
          </w:tcPr>
          <w:p w14:paraId="03578BF7"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None</w:t>
            </w:r>
          </w:p>
        </w:tc>
        <w:tc>
          <w:tcPr>
            <w:tcW w:w="736" w:type="pct"/>
            <w:tcBorders>
              <w:top w:val="nil"/>
              <w:left w:val="nil"/>
              <w:bottom w:val="nil"/>
              <w:right w:val="nil"/>
            </w:tcBorders>
            <w:shd w:val="clear" w:color="auto" w:fill="auto"/>
            <w:noWrap/>
            <w:vAlign w:val="center"/>
            <w:hideMark/>
          </w:tcPr>
          <w:p w14:paraId="50A12233"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70.8%</w:t>
            </w:r>
          </w:p>
        </w:tc>
        <w:tc>
          <w:tcPr>
            <w:tcW w:w="736" w:type="pct"/>
            <w:tcBorders>
              <w:top w:val="nil"/>
              <w:left w:val="nil"/>
              <w:bottom w:val="nil"/>
              <w:right w:val="nil"/>
            </w:tcBorders>
            <w:shd w:val="clear" w:color="auto" w:fill="auto"/>
            <w:noWrap/>
            <w:vAlign w:val="center"/>
            <w:hideMark/>
          </w:tcPr>
          <w:p w14:paraId="50A9E374"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91.9%</w:t>
            </w:r>
          </w:p>
        </w:tc>
        <w:tc>
          <w:tcPr>
            <w:tcW w:w="736" w:type="pct"/>
            <w:tcBorders>
              <w:top w:val="nil"/>
              <w:left w:val="nil"/>
              <w:bottom w:val="nil"/>
              <w:right w:val="nil"/>
            </w:tcBorders>
            <w:shd w:val="clear" w:color="auto" w:fill="auto"/>
            <w:noWrap/>
            <w:vAlign w:val="center"/>
            <w:hideMark/>
          </w:tcPr>
          <w:p w14:paraId="2087CCAF"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84.4%</w:t>
            </w:r>
          </w:p>
        </w:tc>
        <w:tc>
          <w:tcPr>
            <w:tcW w:w="736" w:type="pct"/>
            <w:tcBorders>
              <w:top w:val="nil"/>
              <w:left w:val="nil"/>
              <w:bottom w:val="nil"/>
              <w:right w:val="nil"/>
            </w:tcBorders>
            <w:shd w:val="clear" w:color="auto" w:fill="auto"/>
            <w:noWrap/>
            <w:vAlign w:val="center"/>
            <w:hideMark/>
          </w:tcPr>
          <w:p w14:paraId="14C40C80"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84.4%</w:t>
            </w:r>
          </w:p>
        </w:tc>
      </w:tr>
      <w:tr w:rsidR="004A7115" w:rsidRPr="00355D78" w14:paraId="7E2DB84C" w14:textId="77777777" w:rsidTr="00E258B4">
        <w:trPr>
          <w:trHeight w:val="360"/>
        </w:trPr>
        <w:tc>
          <w:tcPr>
            <w:tcW w:w="711" w:type="pct"/>
            <w:tcBorders>
              <w:top w:val="nil"/>
              <w:left w:val="nil"/>
              <w:bottom w:val="nil"/>
              <w:right w:val="nil"/>
            </w:tcBorders>
            <w:shd w:val="clear" w:color="auto" w:fill="auto"/>
            <w:noWrap/>
            <w:hideMark/>
          </w:tcPr>
          <w:p w14:paraId="30C8480D"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0E80FA2F"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1</w:t>
            </w:r>
            <w:r w:rsidRPr="00355D78">
              <w:rPr>
                <w:rFonts w:eastAsia="Times New Roman" w:cs="Arial"/>
                <w:color w:val="000000"/>
                <w:sz w:val="20"/>
                <w:szCs w:val="20"/>
                <w:vertAlign w:val="superscript"/>
                <w:lang w:eastAsia="en-GB"/>
              </w:rPr>
              <w:t>a</w:t>
            </w:r>
          </w:p>
        </w:tc>
        <w:tc>
          <w:tcPr>
            <w:tcW w:w="736" w:type="pct"/>
            <w:tcBorders>
              <w:top w:val="nil"/>
              <w:left w:val="nil"/>
              <w:bottom w:val="nil"/>
              <w:right w:val="nil"/>
            </w:tcBorders>
            <w:shd w:val="clear" w:color="000000" w:fill="D9D9D9"/>
            <w:noWrap/>
            <w:vAlign w:val="center"/>
            <w:hideMark/>
          </w:tcPr>
          <w:p w14:paraId="050AA04A"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25.3%</w:t>
            </w:r>
          </w:p>
        </w:tc>
        <w:tc>
          <w:tcPr>
            <w:tcW w:w="736" w:type="pct"/>
            <w:tcBorders>
              <w:top w:val="nil"/>
              <w:left w:val="nil"/>
              <w:bottom w:val="nil"/>
              <w:right w:val="nil"/>
            </w:tcBorders>
            <w:shd w:val="clear" w:color="000000" w:fill="D9D9D9"/>
            <w:noWrap/>
            <w:vAlign w:val="center"/>
            <w:hideMark/>
          </w:tcPr>
          <w:p w14:paraId="03B3E7BD"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7.8%</w:t>
            </w:r>
          </w:p>
        </w:tc>
        <w:tc>
          <w:tcPr>
            <w:tcW w:w="736" w:type="pct"/>
            <w:tcBorders>
              <w:top w:val="nil"/>
              <w:left w:val="nil"/>
              <w:bottom w:val="nil"/>
              <w:right w:val="nil"/>
            </w:tcBorders>
            <w:shd w:val="clear" w:color="000000" w:fill="D9D9D9"/>
            <w:noWrap/>
            <w:vAlign w:val="center"/>
            <w:hideMark/>
          </w:tcPr>
          <w:p w14:paraId="27CE019F"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14.6%</w:t>
            </w:r>
          </w:p>
        </w:tc>
        <w:tc>
          <w:tcPr>
            <w:tcW w:w="736" w:type="pct"/>
            <w:tcBorders>
              <w:top w:val="nil"/>
              <w:left w:val="nil"/>
              <w:bottom w:val="nil"/>
              <w:right w:val="nil"/>
            </w:tcBorders>
            <w:shd w:val="clear" w:color="000000" w:fill="D9D9D9"/>
            <w:noWrap/>
            <w:vAlign w:val="center"/>
            <w:hideMark/>
          </w:tcPr>
          <w:p w14:paraId="252100F0"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14.6%</w:t>
            </w:r>
          </w:p>
        </w:tc>
      </w:tr>
      <w:tr w:rsidR="004A7115" w:rsidRPr="00355D78" w14:paraId="25C4FD40" w14:textId="77777777" w:rsidTr="00E258B4">
        <w:trPr>
          <w:trHeight w:val="300"/>
        </w:trPr>
        <w:tc>
          <w:tcPr>
            <w:tcW w:w="711" w:type="pct"/>
            <w:tcBorders>
              <w:top w:val="nil"/>
              <w:left w:val="nil"/>
              <w:bottom w:val="nil"/>
              <w:right w:val="nil"/>
            </w:tcBorders>
            <w:shd w:val="clear" w:color="auto" w:fill="auto"/>
            <w:noWrap/>
            <w:hideMark/>
          </w:tcPr>
          <w:p w14:paraId="3B0435E5"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2B945674"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2</w:t>
            </w:r>
          </w:p>
        </w:tc>
        <w:tc>
          <w:tcPr>
            <w:tcW w:w="736" w:type="pct"/>
            <w:tcBorders>
              <w:top w:val="nil"/>
              <w:left w:val="nil"/>
              <w:bottom w:val="nil"/>
              <w:right w:val="nil"/>
            </w:tcBorders>
            <w:shd w:val="clear" w:color="000000" w:fill="D9D9D9"/>
            <w:noWrap/>
            <w:vAlign w:val="center"/>
            <w:hideMark/>
          </w:tcPr>
          <w:p w14:paraId="74C565D2"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3.6%</w:t>
            </w:r>
          </w:p>
        </w:tc>
        <w:tc>
          <w:tcPr>
            <w:tcW w:w="736" w:type="pct"/>
            <w:tcBorders>
              <w:top w:val="nil"/>
              <w:left w:val="nil"/>
              <w:bottom w:val="nil"/>
              <w:right w:val="nil"/>
            </w:tcBorders>
            <w:shd w:val="clear" w:color="000000" w:fill="D9D9D9"/>
            <w:noWrap/>
            <w:vAlign w:val="center"/>
            <w:hideMark/>
          </w:tcPr>
          <w:p w14:paraId="53E026A5"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0.3%</w:t>
            </w:r>
          </w:p>
        </w:tc>
        <w:tc>
          <w:tcPr>
            <w:tcW w:w="736" w:type="pct"/>
            <w:tcBorders>
              <w:top w:val="nil"/>
              <w:left w:val="nil"/>
              <w:bottom w:val="nil"/>
              <w:right w:val="nil"/>
            </w:tcBorders>
            <w:shd w:val="clear" w:color="000000" w:fill="D9D9D9"/>
            <w:noWrap/>
            <w:vAlign w:val="center"/>
            <w:hideMark/>
          </w:tcPr>
          <w:p w14:paraId="59375D6F"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1.0%</w:t>
            </w:r>
          </w:p>
        </w:tc>
        <w:tc>
          <w:tcPr>
            <w:tcW w:w="736" w:type="pct"/>
            <w:tcBorders>
              <w:top w:val="nil"/>
              <w:left w:val="nil"/>
              <w:bottom w:val="nil"/>
              <w:right w:val="nil"/>
            </w:tcBorders>
            <w:shd w:val="clear" w:color="000000" w:fill="D9D9D9"/>
            <w:noWrap/>
            <w:vAlign w:val="center"/>
            <w:hideMark/>
          </w:tcPr>
          <w:p w14:paraId="3C084ED4"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1.0%</w:t>
            </w:r>
          </w:p>
        </w:tc>
      </w:tr>
      <w:tr w:rsidR="004A7115" w:rsidRPr="00355D78" w14:paraId="0049E9A7" w14:textId="77777777" w:rsidTr="00E258B4">
        <w:trPr>
          <w:trHeight w:val="300"/>
        </w:trPr>
        <w:tc>
          <w:tcPr>
            <w:tcW w:w="711" w:type="pct"/>
            <w:tcBorders>
              <w:top w:val="nil"/>
              <w:left w:val="nil"/>
              <w:bottom w:val="nil"/>
              <w:right w:val="nil"/>
            </w:tcBorders>
            <w:shd w:val="clear" w:color="auto" w:fill="auto"/>
            <w:noWrap/>
            <w:hideMark/>
          </w:tcPr>
          <w:p w14:paraId="113438C0"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1B71CF94"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3</w:t>
            </w:r>
          </w:p>
        </w:tc>
        <w:tc>
          <w:tcPr>
            <w:tcW w:w="736" w:type="pct"/>
            <w:tcBorders>
              <w:top w:val="nil"/>
              <w:left w:val="nil"/>
              <w:bottom w:val="nil"/>
              <w:right w:val="nil"/>
            </w:tcBorders>
            <w:shd w:val="clear" w:color="000000" w:fill="D9D9D9"/>
            <w:noWrap/>
            <w:vAlign w:val="center"/>
            <w:hideMark/>
          </w:tcPr>
          <w:p w14:paraId="78353296"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0.3%</w:t>
            </w:r>
          </w:p>
        </w:tc>
        <w:tc>
          <w:tcPr>
            <w:tcW w:w="736" w:type="pct"/>
            <w:tcBorders>
              <w:top w:val="nil"/>
              <w:left w:val="nil"/>
              <w:bottom w:val="nil"/>
              <w:right w:val="nil"/>
            </w:tcBorders>
            <w:shd w:val="clear" w:color="000000" w:fill="D9D9D9"/>
            <w:noWrap/>
            <w:vAlign w:val="center"/>
            <w:hideMark/>
          </w:tcPr>
          <w:p w14:paraId="2BE28BD2"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2D1ABD5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75DED2CD"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r>
      <w:tr w:rsidR="004A7115" w:rsidRPr="00355D78" w14:paraId="47987349" w14:textId="77777777" w:rsidTr="00E258B4">
        <w:trPr>
          <w:trHeight w:val="360"/>
        </w:trPr>
        <w:tc>
          <w:tcPr>
            <w:tcW w:w="711" w:type="pct"/>
            <w:tcBorders>
              <w:top w:val="nil"/>
              <w:left w:val="nil"/>
              <w:bottom w:val="nil"/>
              <w:right w:val="nil"/>
            </w:tcBorders>
            <w:shd w:val="clear" w:color="auto" w:fill="auto"/>
            <w:noWrap/>
            <w:hideMark/>
          </w:tcPr>
          <w:p w14:paraId="2E9563CA"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34221819"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4</w:t>
            </w:r>
            <w:r w:rsidRPr="00355D78">
              <w:rPr>
                <w:rFonts w:eastAsia="Times New Roman" w:cs="Arial"/>
                <w:color w:val="000000"/>
                <w:sz w:val="20"/>
                <w:szCs w:val="20"/>
                <w:vertAlign w:val="superscript"/>
                <w:lang w:eastAsia="en-GB"/>
              </w:rPr>
              <w:t>b</w:t>
            </w:r>
          </w:p>
        </w:tc>
        <w:tc>
          <w:tcPr>
            <w:tcW w:w="736" w:type="pct"/>
            <w:tcBorders>
              <w:top w:val="nil"/>
              <w:left w:val="nil"/>
              <w:bottom w:val="nil"/>
              <w:right w:val="nil"/>
            </w:tcBorders>
            <w:shd w:val="clear" w:color="000000" w:fill="D9D9D9"/>
            <w:noWrap/>
            <w:vAlign w:val="center"/>
            <w:hideMark/>
          </w:tcPr>
          <w:p w14:paraId="1B03458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678F5310"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007272CB"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41AA9164"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r>
      <w:tr w:rsidR="004A7115" w:rsidRPr="00355D78" w14:paraId="28DBB8BD" w14:textId="77777777" w:rsidTr="00E258B4">
        <w:trPr>
          <w:trHeight w:val="300"/>
        </w:trPr>
        <w:tc>
          <w:tcPr>
            <w:tcW w:w="711" w:type="pct"/>
            <w:tcBorders>
              <w:top w:val="nil"/>
              <w:left w:val="nil"/>
              <w:bottom w:val="nil"/>
              <w:right w:val="nil"/>
            </w:tcBorders>
            <w:shd w:val="clear" w:color="auto" w:fill="auto"/>
            <w:noWrap/>
            <w:hideMark/>
          </w:tcPr>
          <w:p w14:paraId="3E8B812D"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08E76408"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5 or more</w:t>
            </w:r>
          </w:p>
        </w:tc>
        <w:tc>
          <w:tcPr>
            <w:tcW w:w="736" w:type="pct"/>
            <w:tcBorders>
              <w:top w:val="nil"/>
              <w:left w:val="nil"/>
              <w:bottom w:val="nil"/>
              <w:right w:val="nil"/>
            </w:tcBorders>
            <w:shd w:val="clear" w:color="000000" w:fill="D9D9D9"/>
            <w:noWrap/>
            <w:vAlign w:val="center"/>
            <w:hideMark/>
          </w:tcPr>
          <w:p w14:paraId="2FF541BA"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6EE7469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398C471B"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5590A376"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r>
      <w:tr w:rsidR="004A7115" w:rsidRPr="00355D78" w14:paraId="16EDF068" w14:textId="77777777" w:rsidTr="00E258B4">
        <w:trPr>
          <w:trHeight w:val="300"/>
        </w:trPr>
        <w:tc>
          <w:tcPr>
            <w:tcW w:w="711" w:type="pct"/>
            <w:tcBorders>
              <w:top w:val="nil"/>
              <w:left w:val="nil"/>
              <w:bottom w:val="nil"/>
              <w:right w:val="nil"/>
            </w:tcBorders>
            <w:shd w:val="clear" w:color="auto" w:fill="auto"/>
            <w:noWrap/>
            <w:hideMark/>
          </w:tcPr>
          <w:p w14:paraId="104B0075"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285D3B28" w14:textId="77777777" w:rsidR="004A7115" w:rsidRPr="00355D78" w:rsidRDefault="004A7115" w:rsidP="00E258B4">
            <w:pPr>
              <w:spacing w:after="0" w:line="240" w:lineRule="auto"/>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1BB33F48" w14:textId="77777777" w:rsidR="004A7115" w:rsidRPr="00355D78" w:rsidRDefault="004A7115" w:rsidP="00E258B4">
            <w:pPr>
              <w:spacing w:after="0" w:line="240" w:lineRule="auto"/>
              <w:jc w:val="center"/>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468F6727" w14:textId="77777777" w:rsidR="004A7115" w:rsidRPr="00355D78" w:rsidRDefault="004A7115" w:rsidP="00E258B4">
            <w:pPr>
              <w:spacing w:after="0" w:line="240" w:lineRule="auto"/>
              <w:jc w:val="center"/>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06750D47" w14:textId="77777777" w:rsidR="004A7115" w:rsidRPr="00355D78" w:rsidRDefault="004A7115" w:rsidP="00E258B4">
            <w:pPr>
              <w:spacing w:after="0" w:line="240" w:lineRule="auto"/>
              <w:jc w:val="center"/>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538B028E" w14:textId="77777777" w:rsidR="004A7115" w:rsidRPr="00355D78" w:rsidRDefault="004A7115" w:rsidP="00E258B4">
            <w:pPr>
              <w:spacing w:after="0" w:line="240" w:lineRule="auto"/>
              <w:jc w:val="center"/>
              <w:rPr>
                <w:rFonts w:eastAsia="Times New Roman" w:cs="Times New Roman"/>
                <w:sz w:val="20"/>
                <w:szCs w:val="20"/>
                <w:lang w:eastAsia="en-GB"/>
              </w:rPr>
            </w:pPr>
          </w:p>
        </w:tc>
      </w:tr>
      <w:tr w:rsidR="004A7115" w:rsidRPr="00355D78" w14:paraId="66CEF2D0" w14:textId="77777777" w:rsidTr="00E258B4">
        <w:trPr>
          <w:trHeight w:val="300"/>
        </w:trPr>
        <w:tc>
          <w:tcPr>
            <w:tcW w:w="711" w:type="pct"/>
            <w:tcBorders>
              <w:top w:val="nil"/>
              <w:left w:val="nil"/>
              <w:bottom w:val="nil"/>
              <w:right w:val="nil"/>
            </w:tcBorders>
            <w:shd w:val="clear" w:color="auto" w:fill="auto"/>
            <w:noWrap/>
            <w:hideMark/>
          </w:tcPr>
          <w:p w14:paraId="412C920F"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10-year risk</w:t>
            </w:r>
          </w:p>
        </w:tc>
        <w:tc>
          <w:tcPr>
            <w:tcW w:w="1345" w:type="pct"/>
            <w:tcBorders>
              <w:top w:val="nil"/>
              <w:left w:val="nil"/>
              <w:bottom w:val="nil"/>
              <w:right w:val="nil"/>
            </w:tcBorders>
            <w:shd w:val="clear" w:color="auto" w:fill="auto"/>
            <w:noWrap/>
            <w:hideMark/>
          </w:tcPr>
          <w:p w14:paraId="65EC1FD7"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None</w:t>
            </w:r>
          </w:p>
        </w:tc>
        <w:tc>
          <w:tcPr>
            <w:tcW w:w="736" w:type="pct"/>
            <w:tcBorders>
              <w:top w:val="nil"/>
              <w:left w:val="nil"/>
              <w:bottom w:val="nil"/>
              <w:right w:val="nil"/>
            </w:tcBorders>
            <w:shd w:val="clear" w:color="auto" w:fill="auto"/>
            <w:noWrap/>
            <w:vAlign w:val="center"/>
            <w:hideMark/>
          </w:tcPr>
          <w:p w14:paraId="2E8E6581"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50.2%</w:t>
            </w:r>
          </w:p>
        </w:tc>
        <w:tc>
          <w:tcPr>
            <w:tcW w:w="736" w:type="pct"/>
            <w:tcBorders>
              <w:top w:val="nil"/>
              <w:left w:val="nil"/>
              <w:bottom w:val="nil"/>
              <w:right w:val="nil"/>
            </w:tcBorders>
            <w:shd w:val="clear" w:color="auto" w:fill="auto"/>
            <w:noWrap/>
            <w:vAlign w:val="center"/>
            <w:hideMark/>
          </w:tcPr>
          <w:p w14:paraId="27D8DD02"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84.5%</w:t>
            </w:r>
          </w:p>
        </w:tc>
        <w:tc>
          <w:tcPr>
            <w:tcW w:w="736" w:type="pct"/>
            <w:tcBorders>
              <w:top w:val="nil"/>
              <w:left w:val="nil"/>
              <w:bottom w:val="nil"/>
              <w:right w:val="nil"/>
            </w:tcBorders>
            <w:shd w:val="clear" w:color="auto" w:fill="auto"/>
            <w:noWrap/>
            <w:vAlign w:val="center"/>
            <w:hideMark/>
          </w:tcPr>
          <w:p w14:paraId="45A352B8"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71.2%</w:t>
            </w:r>
          </w:p>
        </w:tc>
        <w:tc>
          <w:tcPr>
            <w:tcW w:w="736" w:type="pct"/>
            <w:tcBorders>
              <w:top w:val="nil"/>
              <w:left w:val="nil"/>
              <w:bottom w:val="nil"/>
              <w:right w:val="nil"/>
            </w:tcBorders>
            <w:shd w:val="clear" w:color="auto" w:fill="auto"/>
            <w:noWrap/>
            <w:vAlign w:val="center"/>
            <w:hideMark/>
          </w:tcPr>
          <w:p w14:paraId="25A93124"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71.2%</w:t>
            </w:r>
          </w:p>
        </w:tc>
      </w:tr>
      <w:tr w:rsidR="004A7115" w:rsidRPr="00355D78" w14:paraId="0C966372" w14:textId="77777777" w:rsidTr="00E258B4">
        <w:trPr>
          <w:trHeight w:val="360"/>
        </w:trPr>
        <w:tc>
          <w:tcPr>
            <w:tcW w:w="711" w:type="pct"/>
            <w:tcBorders>
              <w:top w:val="nil"/>
              <w:left w:val="nil"/>
              <w:bottom w:val="nil"/>
              <w:right w:val="nil"/>
            </w:tcBorders>
            <w:shd w:val="clear" w:color="auto" w:fill="auto"/>
            <w:noWrap/>
            <w:hideMark/>
          </w:tcPr>
          <w:p w14:paraId="2C46135E"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1761D604"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1</w:t>
            </w:r>
            <w:r w:rsidRPr="00355D78">
              <w:rPr>
                <w:rFonts w:eastAsia="Times New Roman" w:cs="Arial"/>
                <w:color w:val="000000"/>
                <w:sz w:val="20"/>
                <w:szCs w:val="20"/>
                <w:vertAlign w:val="superscript"/>
                <w:lang w:eastAsia="en-GB"/>
              </w:rPr>
              <w:t>a</w:t>
            </w:r>
          </w:p>
        </w:tc>
        <w:tc>
          <w:tcPr>
            <w:tcW w:w="736" w:type="pct"/>
            <w:tcBorders>
              <w:top w:val="nil"/>
              <w:left w:val="nil"/>
              <w:bottom w:val="nil"/>
              <w:right w:val="nil"/>
            </w:tcBorders>
            <w:shd w:val="clear" w:color="000000" w:fill="D9D9D9"/>
            <w:noWrap/>
            <w:vAlign w:val="center"/>
            <w:hideMark/>
          </w:tcPr>
          <w:p w14:paraId="1F5C1B44"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35.8%</w:t>
            </w:r>
          </w:p>
        </w:tc>
        <w:tc>
          <w:tcPr>
            <w:tcW w:w="736" w:type="pct"/>
            <w:tcBorders>
              <w:top w:val="nil"/>
              <w:left w:val="nil"/>
              <w:bottom w:val="nil"/>
              <w:right w:val="nil"/>
            </w:tcBorders>
            <w:shd w:val="clear" w:color="000000" w:fill="D9D9D9"/>
            <w:noWrap/>
            <w:vAlign w:val="center"/>
            <w:hideMark/>
          </w:tcPr>
          <w:p w14:paraId="2B8EC1F1"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14.3%</w:t>
            </w:r>
          </w:p>
        </w:tc>
        <w:tc>
          <w:tcPr>
            <w:tcW w:w="736" w:type="pct"/>
            <w:tcBorders>
              <w:top w:val="nil"/>
              <w:left w:val="nil"/>
              <w:bottom w:val="nil"/>
              <w:right w:val="nil"/>
            </w:tcBorders>
            <w:shd w:val="clear" w:color="000000" w:fill="D9D9D9"/>
            <w:noWrap/>
            <w:vAlign w:val="center"/>
            <w:hideMark/>
          </w:tcPr>
          <w:p w14:paraId="1EB303E8"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24.6%</w:t>
            </w:r>
          </w:p>
        </w:tc>
        <w:tc>
          <w:tcPr>
            <w:tcW w:w="736" w:type="pct"/>
            <w:tcBorders>
              <w:top w:val="nil"/>
              <w:left w:val="nil"/>
              <w:bottom w:val="nil"/>
              <w:right w:val="nil"/>
            </w:tcBorders>
            <w:shd w:val="clear" w:color="000000" w:fill="D9D9D9"/>
            <w:noWrap/>
            <w:vAlign w:val="center"/>
            <w:hideMark/>
          </w:tcPr>
          <w:p w14:paraId="54A9AE73"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24.6%</w:t>
            </w:r>
          </w:p>
        </w:tc>
      </w:tr>
      <w:tr w:rsidR="004A7115" w:rsidRPr="00355D78" w14:paraId="0F783CFD" w14:textId="77777777" w:rsidTr="00E258B4">
        <w:trPr>
          <w:trHeight w:val="300"/>
        </w:trPr>
        <w:tc>
          <w:tcPr>
            <w:tcW w:w="711" w:type="pct"/>
            <w:tcBorders>
              <w:top w:val="nil"/>
              <w:left w:val="nil"/>
              <w:bottom w:val="nil"/>
              <w:right w:val="nil"/>
            </w:tcBorders>
            <w:shd w:val="clear" w:color="auto" w:fill="auto"/>
            <w:noWrap/>
            <w:hideMark/>
          </w:tcPr>
          <w:p w14:paraId="0071D4F3"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2A031B29"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2</w:t>
            </w:r>
          </w:p>
        </w:tc>
        <w:tc>
          <w:tcPr>
            <w:tcW w:w="736" w:type="pct"/>
            <w:tcBorders>
              <w:top w:val="nil"/>
              <w:left w:val="nil"/>
              <w:bottom w:val="nil"/>
              <w:right w:val="nil"/>
            </w:tcBorders>
            <w:shd w:val="clear" w:color="000000" w:fill="D9D9D9"/>
            <w:noWrap/>
            <w:vAlign w:val="center"/>
            <w:hideMark/>
          </w:tcPr>
          <w:p w14:paraId="5435C62B"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11.5%</w:t>
            </w:r>
          </w:p>
        </w:tc>
        <w:tc>
          <w:tcPr>
            <w:tcW w:w="736" w:type="pct"/>
            <w:tcBorders>
              <w:top w:val="nil"/>
              <w:left w:val="nil"/>
              <w:bottom w:val="nil"/>
              <w:right w:val="nil"/>
            </w:tcBorders>
            <w:shd w:val="clear" w:color="000000" w:fill="D9D9D9"/>
            <w:noWrap/>
            <w:vAlign w:val="center"/>
            <w:hideMark/>
          </w:tcPr>
          <w:p w14:paraId="2E002F8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1.1%</w:t>
            </w:r>
          </w:p>
        </w:tc>
        <w:tc>
          <w:tcPr>
            <w:tcW w:w="736" w:type="pct"/>
            <w:tcBorders>
              <w:top w:val="nil"/>
              <w:left w:val="nil"/>
              <w:bottom w:val="nil"/>
              <w:right w:val="nil"/>
            </w:tcBorders>
            <w:shd w:val="clear" w:color="000000" w:fill="D9D9D9"/>
            <w:noWrap/>
            <w:vAlign w:val="center"/>
            <w:hideMark/>
          </w:tcPr>
          <w:p w14:paraId="582C56B6"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3.8%</w:t>
            </w:r>
          </w:p>
        </w:tc>
        <w:tc>
          <w:tcPr>
            <w:tcW w:w="736" w:type="pct"/>
            <w:tcBorders>
              <w:top w:val="nil"/>
              <w:left w:val="nil"/>
              <w:bottom w:val="nil"/>
              <w:right w:val="nil"/>
            </w:tcBorders>
            <w:shd w:val="clear" w:color="000000" w:fill="D9D9D9"/>
            <w:noWrap/>
            <w:vAlign w:val="center"/>
            <w:hideMark/>
          </w:tcPr>
          <w:p w14:paraId="380769F2"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3.8%</w:t>
            </w:r>
          </w:p>
        </w:tc>
      </w:tr>
      <w:tr w:rsidR="004A7115" w:rsidRPr="00355D78" w14:paraId="71331307" w14:textId="77777777" w:rsidTr="00E258B4">
        <w:trPr>
          <w:trHeight w:val="300"/>
        </w:trPr>
        <w:tc>
          <w:tcPr>
            <w:tcW w:w="711" w:type="pct"/>
            <w:tcBorders>
              <w:top w:val="nil"/>
              <w:left w:val="nil"/>
              <w:bottom w:val="nil"/>
              <w:right w:val="nil"/>
            </w:tcBorders>
            <w:shd w:val="clear" w:color="auto" w:fill="auto"/>
            <w:noWrap/>
            <w:hideMark/>
          </w:tcPr>
          <w:p w14:paraId="12C861BF"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2C5A99D4"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3</w:t>
            </w:r>
          </w:p>
        </w:tc>
        <w:tc>
          <w:tcPr>
            <w:tcW w:w="736" w:type="pct"/>
            <w:tcBorders>
              <w:top w:val="nil"/>
              <w:left w:val="nil"/>
              <w:bottom w:val="nil"/>
              <w:right w:val="nil"/>
            </w:tcBorders>
            <w:shd w:val="clear" w:color="000000" w:fill="D9D9D9"/>
            <w:noWrap/>
            <w:vAlign w:val="center"/>
            <w:hideMark/>
          </w:tcPr>
          <w:p w14:paraId="2ACC31C2"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2.2%</w:t>
            </w:r>
          </w:p>
        </w:tc>
        <w:tc>
          <w:tcPr>
            <w:tcW w:w="736" w:type="pct"/>
            <w:tcBorders>
              <w:top w:val="nil"/>
              <w:left w:val="nil"/>
              <w:bottom w:val="nil"/>
              <w:right w:val="nil"/>
            </w:tcBorders>
            <w:shd w:val="clear" w:color="000000" w:fill="D9D9D9"/>
            <w:noWrap/>
            <w:vAlign w:val="center"/>
            <w:hideMark/>
          </w:tcPr>
          <w:p w14:paraId="769DADD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1A235DE3"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0.4%</w:t>
            </w:r>
          </w:p>
        </w:tc>
        <w:tc>
          <w:tcPr>
            <w:tcW w:w="736" w:type="pct"/>
            <w:tcBorders>
              <w:top w:val="nil"/>
              <w:left w:val="nil"/>
              <w:bottom w:val="nil"/>
              <w:right w:val="nil"/>
            </w:tcBorders>
            <w:shd w:val="clear" w:color="000000" w:fill="D9D9D9"/>
            <w:noWrap/>
            <w:vAlign w:val="center"/>
            <w:hideMark/>
          </w:tcPr>
          <w:p w14:paraId="59D59146"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0.4%</w:t>
            </w:r>
          </w:p>
        </w:tc>
      </w:tr>
      <w:tr w:rsidR="004A7115" w:rsidRPr="00355D78" w14:paraId="1C6726D4" w14:textId="77777777" w:rsidTr="00E258B4">
        <w:trPr>
          <w:trHeight w:val="360"/>
        </w:trPr>
        <w:tc>
          <w:tcPr>
            <w:tcW w:w="711" w:type="pct"/>
            <w:tcBorders>
              <w:top w:val="nil"/>
              <w:left w:val="nil"/>
              <w:bottom w:val="nil"/>
              <w:right w:val="nil"/>
            </w:tcBorders>
            <w:shd w:val="clear" w:color="auto" w:fill="auto"/>
            <w:noWrap/>
            <w:hideMark/>
          </w:tcPr>
          <w:p w14:paraId="4F6DE343"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45B45496"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4</w:t>
            </w:r>
            <w:r w:rsidRPr="00355D78">
              <w:rPr>
                <w:rFonts w:eastAsia="Times New Roman" w:cs="Arial"/>
                <w:color w:val="000000"/>
                <w:sz w:val="20"/>
                <w:szCs w:val="20"/>
                <w:vertAlign w:val="superscript"/>
                <w:lang w:eastAsia="en-GB"/>
              </w:rPr>
              <w:t>b</w:t>
            </w:r>
          </w:p>
        </w:tc>
        <w:tc>
          <w:tcPr>
            <w:tcW w:w="736" w:type="pct"/>
            <w:tcBorders>
              <w:top w:val="nil"/>
              <w:left w:val="nil"/>
              <w:bottom w:val="nil"/>
              <w:right w:val="nil"/>
            </w:tcBorders>
            <w:shd w:val="clear" w:color="000000" w:fill="D9D9D9"/>
            <w:noWrap/>
            <w:vAlign w:val="center"/>
            <w:hideMark/>
          </w:tcPr>
          <w:p w14:paraId="321DD0C4"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0.3%</w:t>
            </w:r>
          </w:p>
        </w:tc>
        <w:tc>
          <w:tcPr>
            <w:tcW w:w="736" w:type="pct"/>
            <w:tcBorders>
              <w:top w:val="nil"/>
              <w:left w:val="nil"/>
              <w:bottom w:val="nil"/>
              <w:right w:val="nil"/>
            </w:tcBorders>
            <w:shd w:val="clear" w:color="000000" w:fill="D9D9D9"/>
            <w:noWrap/>
            <w:vAlign w:val="center"/>
            <w:hideMark/>
          </w:tcPr>
          <w:p w14:paraId="3CDEB39D"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469D61A8"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1EB838C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r>
      <w:tr w:rsidR="004A7115" w:rsidRPr="00355D78" w14:paraId="3D03C198" w14:textId="77777777" w:rsidTr="00E258B4">
        <w:trPr>
          <w:trHeight w:val="300"/>
        </w:trPr>
        <w:tc>
          <w:tcPr>
            <w:tcW w:w="711" w:type="pct"/>
            <w:tcBorders>
              <w:top w:val="nil"/>
              <w:left w:val="nil"/>
              <w:bottom w:val="nil"/>
              <w:right w:val="nil"/>
            </w:tcBorders>
            <w:shd w:val="clear" w:color="auto" w:fill="auto"/>
            <w:noWrap/>
            <w:hideMark/>
          </w:tcPr>
          <w:p w14:paraId="3C494225"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617B68F2"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5 or more</w:t>
            </w:r>
          </w:p>
        </w:tc>
        <w:tc>
          <w:tcPr>
            <w:tcW w:w="736" w:type="pct"/>
            <w:tcBorders>
              <w:top w:val="nil"/>
              <w:left w:val="nil"/>
              <w:bottom w:val="nil"/>
              <w:right w:val="nil"/>
            </w:tcBorders>
            <w:shd w:val="clear" w:color="000000" w:fill="D9D9D9"/>
            <w:noWrap/>
            <w:vAlign w:val="center"/>
            <w:hideMark/>
          </w:tcPr>
          <w:p w14:paraId="5675EE25"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053DE04E"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31D2C22A"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7D6F9713"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r>
      <w:tr w:rsidR="004A7115" w:rsidRPr="00355D78" w14:paraId="226C9EF0" w14:textId="77777777" w:rsidTr="00E258B4">
        <w:trPr>
          <w:trHeight w:val="300"/>
        </w:trPr>
        <w:tc>
          <w:tcPr>
            <w:tcW w:w="711" w:type="pct"/>
            <w:tcBorders>
              <w:top w:val="nil"/>
              <w:left w:val="nil"/>
              <w:bottom w:val="nil"/>
              <w:right w:val="nil"/>
            </w:tcBorders>
            <w:shd w:val="clear" w:color="auto" w:fill="auto"/>
            <w:noWrap/>
            <w:hideMark/>
          </w:tcPr>
          <w:p w14:paraId="5426AA47"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6A5F3943" w14:textId="77777777" w:rsidR="004A7115" w:rsidRPr="00355D78" w:rsidRDefault="004A7115" w:rsidP="00E258B4">
            <w:pPr>
              <w:spacing w:after="0" w:line="240" w:lineRule="auto"/>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6224A684" w14:textId="77777777" w:rsidR="004A7115" w:rsidRPr="00355D78" w:rsidRDefault="004A7115" w:rsidP="00E258B4">
            <w:pPr>
              <w:spacing w:after="0" w:line="240" w:lineRule="auto"/>
              <w:jc w:val="center"/>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3314F45D" w14:textId="77777777" w:rsidR="004A7115" w:rsidRPr="00355D78" w:rsidRDefault="004A7115" w:rsidP="00E258B4">
            <w:pPr>
              <w:spacing w:after="0" w:line="240" w:lineRule="auto"/>
              <w:jc w:val="center"/>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45EF6887" w14:textId="77777777" w:rsidR="004A7115" w:rsidRPr="00355D78" w:rsidRDefault="004A7115" w:rsidP="00E258B4">
            <w:pPr>
              <w:spacing w:after="0" w:line="240" w:lineRule="auto"/>
              <w:jc w:val="center"/>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0C89ED98" w14:textId="77777777" w:rsidR="004A7115" w:rsidRPr="00355D78" w:rsidRDefault="004A7115" w:rsidP="00E258B4">
            <w:pPr>
              <w:spacing w:after="0" w:line="240" w:lineRule="auto"/>
              <w:jc w:val="center"/>
              <w:rPr>
                <w:rFonts w:eastAsia="Times New Roman" w:cs="Times New Roman"/>
                <w:sz w:val="20"/>
                <w:szCs w:val="20"/>
                <w:lang w:eastAsia="en-GB"/>
              </w:rPr>
            </w:pPr>
          </w:p>
        </w:tc>
      </w:tr>
      <w:tr w:rsidR="004A7115" w:rsidRPr="00355D78" w14:paraId="049B8B8D" w14:textId="77777777" w:rsidTr="00E258B4">
        <w:trPr>
          <w:trHeight w:val="300"/>
        </w:trPr>
        <w:tc>
          <w:tcPr>
            <w:tcW w:w="711" w:type="pct"/>
            <w:tcBorders>
              <w:top w:val="nil"/>
              <w:left w:val="nil"/>
              <w:bottom w:val="nil"/>
              <w:right w:val="nil"/>
            </w:tcBorders>
            <w:shd w:val="clear" w:color="auto" w:fill="auto"/>
            <w:noWrap/>
            <w:hideMark/>
          </w:tcPr>
          <w:p w14:paraId="3C1A11F0"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20-year risk</w:t>
            </w:r>
          </w:p>
        </w:tc>
        <w:tc>
          <w:tcPr>
            <w:tcW w:w="1345" w:type="pct"/>
            <w:tcBorders>
              <w:top w:val="nil"/>
              <w:left w:val="nil"/>
              <w:bottom w:val="nil"/>
              <w:right w:val="nil"/>
            </w:tcBorders>
            <w:shd w:val="clear" w:color="auto" w:fill="auto"/>
            <w:noWrap/>
            <w:hideMark/>
          </w:tcPr>
          <w:p w14:paraId="4F2EF93B"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None</w:t>
            </w:r>
          </w:p>
        </w:tc>
        <w:tc>
          <w:tcPr>
            <w:tcW w:w="736" w:type="pct"/>
            <w:tcBorders>
              <w:top w:val="nil"/>
              <w:left w:val="nil"/>
              <w:bottom w:val="nil"/>
              <w:right w:val="nil"/>
            </w:tcBorders>
            <w:shd w:val="clear" w:color="auto" w:fill="auto"/>
            <w:noWrap/>
            <w:vAlign w:val="center"/>
            <w:hideMark/>
          </w:tcPr>
          <w:p w14:paraId="581C2C7E"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25.2%</w:t>
            </w:r>
          </w:p>
        </w:tc>
        <w:tc>
          <w:tcPr>
            <w:tcW w:w="736" w:type="pct"/>
            <w:tcBorders>
              <w:top w:val="nil"/>
              <w:left w:val="nil"/>
              <w:bottom w:val="nil"/>
              <w:right w:val="nil"/>
            </w:tcBorders>
            <w:shd w:val="clear" w:color="auto" w:fill="auto"/>
            <w:noWrap/>
            <w:vAlign w:val="center"/>
            <w:hideMark/>
          </w:tcPr>
          <w:p w14:paraId="4BE3B25E"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71.5%</w:t>
            </w:r>
          </w:p>
        </w:tc>
        <w:tc>
          <w:tcPr>
            <w:tcW w:w="736" w:type="pct"/>
            <w:tcBorders>
              <w:top w:val="nil"/>
              <w:left w:val="nil"/>
              <w:bottom w:val="nil"/>
              <w:right w:val="nil"/>
            </w:tcBorders>
            <w:shd w:val="clear" w:color="auto" w:fill="auto"/>
            <w:noWrap/>
            <w:vAlign w:val="center"/>
            <w:hideMark/>
          </w:tcPr>
          <w:p w14:paraId="793E9CC2"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50.8%</w:t>
            </w:r>
          </w:p>
        </w:tc>
        <w:tc>
          <w:tcPr>
            <w:tcW w:w="736" w:type="pct"/>
            <w:tcBorders>
              <w:top w:val="nil"/>
              <w:left w:val="nil"/>
              <w:bottom w:val="nil"/>
              <w:right w:val="nil"/>
            </w:tcBorders>
            <w:shd w:val="clear" w:color="auto" w:fill="auto"/>
            <w:noWrap/>
            <w:vAlign w:val="center"/>
            <w:hideMark/>
          </w:tcPr>
          <w:p w14:paraId="7210ABCB"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50.8%</w:t>
            </w:r>
          </w:p>
        </w:tc>
      </w:tr>
      <w:tr w:rsidR="004A7115" w:rsidRPr="00355D78" w14:paraId="72A5B7E0" w14:textId="77777777" w:rsidTr="00E258B4">
        <w:trPr>
          <w:trHeight w:val="360"/>
        </w:trPr>
        <w:tc>
          <w:tcPr>
            <w:tcW w:w="711" w:type="pct"/>
            <w:tcBorders>
              <w:top w:val="nil"/>
              <w:left w:val="nil"/>
              <w:bottom w:val="nil"/>
              <w:right w:val="nil"/>
            </w:tcBorders>
            <w:shd w:val="clear" w:color="auto" w:fill="auto"/>
            <w:noWrap/>
            <w:hideMark/>
          </w:tcPr>
          <w:p w14:paraId="5E455CFD"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260D3BAA"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1</w:t>
            </w:r>
            <w:r w:rsidRPr="00355D78">
              <w:rPr>
                <w:rFonts w:eastAsia="Times New Roman" w:cs="Arial"/>
                <w:color w:val="000000"/>
                <w:sz w:val="20"/>
                <w:szCs w:val="20"/>
                <w:vertAlign w:val="superscript"/>
                <w:lang w:eastAsia="en-GB"/>
              </w:rPr>
              <w:t>a</w:t>
            </w:r>
          </w:p>
        </w:tc>
        <w:tc>
          <w:tcPr>
            <w:tcW w:w="736" w:type="pct"/>
            <w:tcBorders>
              <w:top w:val="nil"/>
              <w:left w:val="nil"/>
              <w:bottom w:val="nil"/>
              <w:right w:val="nil"/>
            </w:tcBorders>
            <w:shd w:val="clear" w:color="000000" w:fill="D9D9D9"/>
            <w:noWrap/>
            <w:vAlign w:val="center"/>
            <w:hideMark/>
          </w:tcPr>
          <w:p w14:paraId="64B6B5DB"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35.9%</w:t>
            </w:r>
          </w:p>
        </w:tc>
        <w:tc>
          <w:tcPr>
            <w:tcW w:w="736" w:type="pct"/>
            <w:tcBorders>
              <w:top w:val="nil"/>
              <w:left w:val="nil"/>
              <w:bottom w:val="nil"/>
              <w:right w:val="nil"/>
            </w:tcBorders>
            <w:shd w:val="clear" w:color="000000" w:fill="D9D9D9"/>
            <w:noWrap/>
            <w:vAlign w:val="center"/>
            <w:hideMark/>
          </w:tcPr>
          <w:p w14:paraId="506B8F3D"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24.2%</w:t>
            </w:r>
          </w:p>
        </w:tc>
        <w:tc>
          <w:tcPr>
            <w:tcW w:w="736" w:type="pct"/>
            <w:tcBorders>
              <w:top w:val="nil"/>
              <w:left w:val="nil"/>
              <w:bottom w:val="nil"/>
              <w:right w:val="nil"/>
            </w:tcBorders>
            <w:shd w:val="clear" w:color="000000" w:fill="D9D9D9"/>
            <w:noWrap/>
            <w:vAlign w:val="center"/>
            <w:hideMark/>
          </w:tcPr>
          <w:p w14:paraId="4962FA97"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35.0%</w:t>
            </w:r>
          </w:p>
        </w:tc>
        <w:tc>
          <w:tcPr>
            <w:tcW w:w="736" w:type="pct"/>
            <w:tcBorders>
              <w:top w:val="nil"/>
              <w:left w:val="nil"/>
              <w:bottom w:val="nil"/>
              <w:right w:val="nil"/>
            </w:tcBorders>
            <w:shd w:val="clear" w:color="000000" w:fill="D9D9D9"/>
            <w:noWrap/>
            <w:vAlign w:val="center"/>
            <w:hideMark/>
          </w:tcPr>
          <w:p w14:paraId="75344E1D"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35.0%</w:t>
            </w:r>
          </w:p>
        </w:tc>
      </w:tr>
      <w:tr w:rsidR="004A7115" w:rsidRPr="00355D78" w14:paraId="0EED0169" w14:textId="77777777" w:rsidTr="00E258B4">
        <w:trPr>
          <w:trHeight w:val="300"/>
        </w:trPr>
        <w:tc>
          <w:tcPr>
            <w:tcW w:w="711" w:type="pct"/>
            <w:tcBorders>
              <w:top w:val="nil"/>
              <w:left w:val="nil"/>
              <w:bottom w:val="nil"/>
              <w:right w:val="nil"/>
            </w:tcBorders>
            <w:shd w:val="clear" w:color="auto" w:fill="auto"/>
            <w:noWrap/>
            <w:hideMark/>
          </w:tcPr>
          <w:p w14:paraId="5A8C0AA1"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49809EE0"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2</w:t>
            </w:r>
          </w:p>
        </w:tc>
        <w:tc>
          <w:tcPr>
            <w:tcW w:w="736" w:type="pct"/>
            <w:tcBorders>
              <w:top w:val="nil"/>
              <w:left w:val="nil"/>
              <w:bottom w:val="nil"/>
              <w:right w:val="nil"/>
            </w:tcBorders>
            <w:shd w:val="clear" w:color="000000" w:fill="D9D9D9"/>
            <w:noWrap/>
            <w:vAlign w:val="center"/>
            <w:hideMark/>
          </w:tcPr>
          <w:p w14:paraId="665BCFCA"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24.4%</w:t>
            </w:r>
          </w:p>
        </w:tc>
        <w:tc>
          <w:tcPr>
            <w:tcW w:w="736" w:type="pct"/>
            <w:tcBorders>
              <w:top w:val="nil"/>
              <w:left w:val="nil"/>
              <w:bottom w:val="nil"/>
              <w:right w:val="nil"/>
            </w:tcBorders>
            <w:shd w:val="clear" w:color="000000" w:fill="D9D9D9"/>
            <w:noWrap/>
            <w:vAlign w:val="center"/>
            <w:hideMark/>
          </w:tcPr>
          <w:p w14:paraId="6B3F5F1B"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3.9%</w:t>
            </w:r>
          </w:p>
        </w:tc>
        <w:tc>
          <w:tcPr>
            <w:tcW w:w="736" w:type="pct"/>
            <w:tcBorders>
              <w:top w:val="nil"/>
              <w:left w:val="nil"/>
              <w:bottom w:val="nil"/>
              <w:right w:val="nil"/>
            </w:tcBorders>
            <w:shd w:val="clear" w:color="000000" w:fill="D9D9D9"/>
            <w:noWrap/>
            <w:vAlign w:val="center"/>
            <w:hideMark/>
          </w:tcPr>
          <w:p w14:paraId="79309022"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11.5%</w:t>
            </w:r>
          </w:p>
        </w:tc>
        <w:tc>
          <w:tcPr>
            <w:tcW w:w="736" w:type="pct"/>
            <w:tcBorders>
              <w:top w:val="nil"/>
              <w:left w:val="nil"/>
              <w:bottom w:val="nil"/>
              <w:right w:val="nil"/>
            </w:tcBorders>
            <w:shd w:val="clear" w:color="000000" w:fill="D9D9D9"/>
            <w:noWrap/>
            <w:vAlign w:val="center"/>
            <w:hideMark/>
          </w:tcPr>
          <w:p w14:paraId="571655F8"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11.5%</w:t>
            </w:r>
          </w:p>
        </w:tc>
      </w:tr>
      <w:tr w:rsidR="004A7115" w:rsidRPr="00355D78" w14:paraId="4612AE8D" w14:textId="77777777" w:rsidTr="00E258B4">
        <w:trPr>
          <w:trHeight w:val="300"/>
        </w:trPr>
        <w:tc>
          <w:tcPr>
            <w:tcW w:w="711" w:type="pct"/>
            <w:tcBorders>
              <w:top w:val="nil"/>
              <w:left w:val="nil"/>
              <w:bottom w:val="nil"/>
              <w:right w:val="nil"/>
            </w:tcBorders>
            <w:shd w:val="clear" w:color="auto" w:fill="auto"/>
            <w:noWrap/>
            <w:hideMark/>
          </w:tcPr>
          <w:p w14:paraId="355BC55A"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1CAEEDFB"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3</w:t>
            </w:r>
          </w:p>
        </w:tc>
        <w:tc>
          <w:tcPr>
            <w:tcW w:w="736" w:type="pct"/>
            <w:tcBorders>
              <w:top w:val="nil"/>
              <w:left w:val="nil"/>
              <w:bottom w:val="nil"/>
              <w:right w:val="nil"/>
            </w:tcBorders>
            <w:shd w:val="clear" w:color="000000" w:fill="D9D9D9"/>
            <w:noWrap/>
            <w:vAlign w:val="center"/>
            <w:hideMark/>
          </w:tcPr>
          <w:p w14:paraId="7DEC7951"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10.5%</w:t>
            </w:r>
          </w:p>
        </w:tc>
        <w:tc>
          <w:tcPr>
            <w:tcW w:w="736" w:type="pct"/>
            <w:tcBorders>
              <w:top w:val="nil"/>
              <w:left w:val="nil"/>
              <w:bottom w:val="nil"/>
              <w:right w:val="nil"/>
            </w:tcBorders>
            <w:shd w:val="clear" w:color="000000" w:fill="D9D9D9"/>
            <w:noWrap/>
            <w:vAlign w:val="center"/>
            <w:hideMark/>
          </w:tcPr>
          <w:p w14:paraId="73F70F0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0.4%</w:t>
            </w:r>
          </w:p>
        </w:tc>
        <w:tc>
          <w:tcPr>
            <w:tcW w:w="736" w:type="pct"/>
            <w:tcBorders>
              <w:top w:val="nil"/>
              <w:left w:val="nil"/>
              <w:bottom w:val="nil"/>
              <w:right w:val="nil"/>
            </w:tcBorders>
            <w:shd w:val="clear" w:color="000000" w:fill="D9D9D9"/>
            <w:noWrap/>
            <w:vAlign w:val="center"/>
            <w:hideMark/>
          </w:tcPr>
          <w:p w14:paraId="6808BAC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2.4%</w:t>
            </w:r>
          </w:p>
        </w:tc>
        <w:tc>
          <w:tcPr>
            <w:tcW w:w="736" w:type="pct"/>
            <w:tcBorders>
              <w:top w:val="nil"/>
              <w:left w:val="nil"/>
              <w:bottom w:val="nil"/>
              <w:right w:val="nil"/>
            </w:tcBorders>
            <w:shd w:val="clear" w:color="000000" w:fill="D9D9D9"/>
            <w:noWrap/>
            <w:vAlign w:val="center"/>
            <w:hideMark/>
          </w:tcPr>
          <w:p w14:paraId="31F2AE3A"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2.4%</w:t>
            </w:r>
          </w:p>
        </w:tc>
      </w:tr>
      <w:tr w:rsidR="004A7115" w:rsidRPr="00355D78" w14:paraId="5284494E" w14:textId="77777777" w:rsidTr="00E258B4">
        <w:trPr>
          <w:trHeight w:val="360"/>
        </w:trPr>
        <w:tc>
          <w:tcPr>
            <w:tcW w:w="711" w:type="pct"/>
            <w:tcBorders>
              <w:top w:val="nil"/>
              <w:left w:val="nil"/>
              <w:bottom w:val="nil"/>
              <w:right w:val="nil"/>
            </w:tcBorders>
            <w:shd w:val="clear" w:color="auto" w:fill="auto"/>
            <w:noWrap/>
            <w:hideMark/>
          </w:tcPr>
          <w:p w14:paraId="55BF3C00"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246DB19B"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4</w:t>
            </w:r>
            <w:r w:rsidRPr="00355D78">
              <w:rPr>
                <w:rFonts w:eastAsia="Times New Roman" w:cs="Arial"/>
                <w:color w:val="000000"/>
                <w:sz w:val="20"/>
                <w:szCs w:val="20"/>
                <w:vertAlign w:val="superscript"/>
                <w:lang w:eastAsia="en-GB"/>
              </w:rPr>
              <w:t>b</w:t>
            </w:r>
          </w:p>
        </w:tc>
        <w:tc>
          <w:tcPr>
            <w:tcW w:w="736" w:type="pct"/>
            <w:tcBorders>
              <w:top w:val="nil"/>
              <w:left w:val="nil"/>
              <w:bottom w:val="nil"/>
              <w:right w:val="nil"/>
            </w:tcBorders>
            <w:shd w:val="clear" w:color="000000" w:fill="D9D9D9"/>
            <w:noWrap/>
            <w:vAlign w:val="center"/>
            <w:hideMark/>
          </w:tcPr>
          <w:p w14:paraId="1F43467A"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3.2%</w:t>
            </w:r>
          </w:p>
        </w:tc>
        <w:tc>
          <w:tcPr>
            <w:tcW w:w="736" w:type="pct"/>
            <w:tcBorders>
              <w:top w:val="nil"/>
              <w:left w:val="nil"/>
              <w:bottom w:val="nil"/>
              <w:right w:val="nil"/>
            </w:tcBorders>
            <w:shd w:val="clear" w:color="000000" w:fill="D9D9D9"/>
            <w:noWrap/>
            <w:vAlign w:val="center"/>
            <w:hideMark/>
          </w:tcPr>
          <w:p w14:paraId="72F36E84"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7FE3A0A1"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0.3%</w:t>
            </w:r>
          </w:p>
        </w:tc>
        <w:tc>
          <w:tcPr>
            <w:tcW w:w="736" w:type="pct"/>
            <w:tcBorders>
              <w:top w:val="nil"/>
              <w:left w:val="nil"/>
              <w:bottom w:val="nil"/>
              <w:right w:val="nil"/>
            </w:tcBorders>
            <w:shd w:val="clear" w:color="000000" w:fill="D9D9D9"/>
            <w:noWrap/>
            <w:vAlign w:val="center"/>
            <w:hideMark/>
          </w:tcPr>
          <w:p w14:paraId="5A96493B"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0.3%</w:t>
            </w:r>
          </w:p>
        </w:tc>
      </w:tr>
      <w:tr w:rsidR="004A7115" w:rsidRPr="00355D78" w14:paraId="6EBCE8DC" w14:textId="77777777" w:rsidTr="00E258B4">
        <w:trPr>
          <w:trHeight w:val="300"/>
        </w:trPr>
        <w:tc>
          <w:tcPr>
            <w:tcW w:w="711" w:type="pct"/>
            <w:tcBorders>
              <w:top w:val="nil"/>
              <w:left w:val="nil"/>
              <w:bottom w:val="nil"/>
              <w:right w:val="nil"/>
            </w:tcBorders>
            <w:shd w:val="clear" w:color="auto" w:fill="auto"/>
            <w:noWrap/>
            <w:hideMark/>
          </w:tcPr>
          <w:p w14:paraId="37FD0C41"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01CBE811"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5 or more</w:t>
            </w:r>
          </w:p>
        </w:tc>
        <w:tc>
          <w:tcPr>
            <w:tcW w:w="736" w:type="pct"/>
            <w:tcBorders>
              <w:top w:val="nil"/>
              <w:left w:val="nil"/>
              <w:bottom w:val="nil"/>
              <w:right w:val="nil"/>
            </w:tcBorders>
            <w:shd w:val="clear" w:color="000000" w:fill="D9D9D9"/>
            <w:noWrap/>
            <w:vAlign w:val="center"/>
            <w:hideMark/>
          </w:tcPr>
          <w:p w14:paraId="06928E7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0.8%</w:t>
            </w:r>
          </w:p>
        </w:tc>
        <w:tc>
          <w:tcPr>
            <w:tcW w:w="736" w:type="pct"/>
            <w:tcBorders>
              <w:top w:val="nil"/>
              <w:left w:val="nil"/>
              <w:bottom w:val="nil"/>
              <w:right w:val="nil"/>
            </w:tcBorders>
            <w:shd w:val="clear" w:color="000000" w:fill="D9D9D9"/>
            <w:noWrap/>
            <w:vAlign w:val="center"/>
            <w:hideMark/>
          </w:tcPr>
          <w:p w14:paraId="3F707793"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58A8150A"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c>
          <w:tcPr>
            <w:tcW w:w="736" w:type="pct"/>
            <w:tcBorders>
              <w:top w:val="nil"/>
              <w:left w:val="nil"/>
              <w:bottom w:val="nil"/>
              <w:right w:val="nil"/>
            </w:tcBorders>
            <w:shd w:val="clear" w:color="000000" w:fill="D9D9D9"/>
            <w:noWrap/>
            <w:vAlign w:val="center"/>
            <w:hideMark/>
          </w:tcPr>
          <w:p w14:paraId="433BF89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0.0%</w:t>
            </w:r>
          </w:p>
        </w:tc>
      </w:tr>
      <w:tr w:rsidR="004A7115" w:rsidRPr="00355D78" w14:paraId="2C17F194" w14:textId="77777777" w:rsidTr="00E258B4">
        <w:trPr>
          <w:trHeight w:val="300"/>
        </w:trPr>
        <w:tc>
          <w:tcPr>
            <w:tcW w:w="711" w:type="pct"/>
            <w:tcBorders>
              <w:top w:val="nil"/>
              <w:left w:val="nil"/>
              <w:bottom w:val="nil"/>
              <w:right w:val="nil"/>
            </w:tcBorders>
            <w:shd w:val="clear" w:color="auto" w:fill="auto"/>
            <w:noWrap/>
            <w:hideMark/>
          </w:tcPr>
          <w:p w14:paraId="603E339C"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4D4ED2E5" w14:textId="77777777" w:rsidR="004A7115" w:rsidRPr="00355D78" w:rsidRDefault="004A7115" w:rsidP="00E258B4">
            <w:pPr>
              <w:spacing w:after="0" w:line="240" w:lineRule="auto"/>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63FD7242" w14:textId="77777777" w:rsidR="004A7115" w:rsidRPr="00355D78" w:rsidRDefault="004A7115" w:rsidP="00E258B4">
            <w:pPr>
              <w:spacing w:after="0" w:line="240" w:lineRule="auto"/>
              <w:jc w:val="center"/>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0D152A5E" w14:textId="77777777" w:rsidR="004A7115" w:rsidRPr="00355D78" w:rsidRDefault="004A7115" w:rsidP="00E258B4">
            <w:pPr>
              <w:spacing w:after="0" w:line="240" w:lineRule="auto"/>
              <w:jc w:val="center"/>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00070A34" w14:textId="77777777" w:rsidR="004A7115" w:rsidRPr="00355D78" w:rsidRDefault="004A7115" w:rsidP="00E258B4">
            <w:pPr>
              <w:spacing w:after="0" w:line="240" w:lineRule="auto"/>
              <w:jc w:val="center"/>
              <w:rPr>
                <w:rFonts w:eastAsia="Times New Roman" w:cs="Times New Roman"/>
                <w:sz w:val="20"/>
                <w:szCs w:val="20"/>
                <w:lang w:eastAsia="en-GB"/>
              </w:rPr>
            </w:pPr>
          </w:p>
        </w:tc>
        <w:tc>
          <w:tcPr>
            <w:tcW w:w="736" w:type="pct"/>
            <w:tcBorders>
              <w:top w:val="nil"/>
              <w:left w:val="nil"/>
              <w:bottom w:val="nil"/>
              <w:right w:val="nil"/>
            </w:tcBorders>
            <w:shd w:val="clear" w:color="auto" w:fill="auto"/>
            <w:noWrap/>
            <w:vAlign w:val="center"/>
            <w:hideMark/>
          </w:tcPr>
          <w:p w14:paraId="291F2D41" w14:textId="77777777" w:rsidR="004A7115" w:rsidRPr="00355D78" w:rsidRDefault="004A7115" w:rsidP="00E258B4">
            <w:pPr>
              <w:spacing w:after="0" w:line="240" w:lineRule="auto"/>
              <w:jc w:val="center"/>
              <w:rPr>
                <w:rFonts w:eastAsia="Times New Roman" w:cs="Times New Roman"/>
                <w:sz w:val="20"/>
                <w:szCs w:val="20"/>
                <w:lang w:eastAsia="en-GB"/>
              </w:rPr>
            </w:pPr>
          </w:p>
        </w:tc>
      </w:tr>
      <w:tr w:rsidR="004A7115" w:rsidRPr="00355D78" w14:paraId="0FC670E2" w14:textId="77777777" w:rsidTr="00E258B4">
        <w:trPr>
          <w:trHeight w:val="300"/>
        </w:trPr>
        <w:tc>
          <w:tcPr>
            <w:tcW w:w="711" w:type="pct"/>
            <w:tcBorders>
              <w:top w:val="nil"/>
              <w:left w:val="nil"/>
              <w:bottom w:val="nil"/>
              <w:right w:val="nil"/>
            </w:tcBorders>
            <w:shd w:val="clear" w:color="auto" w:fill="auto"/>
            <w:noWrap/>
            <w:hideMark/>
          </w:tcPr>
          <w:p w14:paraId="2D9B8F83"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60-year risk</w:t>
            </w:r>
          </w:p>
        </w:tc>
        <w:tc>
          <w:tcPr>
            <w:tcW w:w="1345" w:type="pct"/>
            <w:tcBorders>
              <w:top w:val="nil"/>
              <w:left w:val="nil"/>
              <w:bottom w:val="nil"/>
              <w:right w:val="nil"/>
            </w:tcBorders>
            <w:shd w:val="clear" w:color="auto" w:fill="auto"/>
            <w:noWrap/>
            <w:hideMark/>
          </w:tcPr>
          <w:p w14:paraId="43DD58C6"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None</w:t>
            </w:r>
          </w:p>
        </w:tc>
        <w:tc>
          <w:tcPr>
            <w:tcW w:w="736" w:type="pct"/>
            <w:tcBorders>
              <w:top w:val="nil"/>
              <w:left w:val="nil"/>
              <w:bottom w:val="nil"/>
              <w:right w:val="nil"/>
            </w:tcBorders>
            <w:shd w:val="clear" w:color="auto" w:fill="auto"/>
            <w:noWrap/>
            <w:vAlign w:val="center"/>
            <w:hideMark/>
          </w:tcPr>
          <w:p w14:paraId="1DA38903"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1.6%</w:t>
            </w:r>
          </w:p>
        </w:tc>
        <w:tc>
          <w:tcPr>
            <w:tcW w:w="736" w:type="pct"/>
            <w:tcBorders>
              <w:top w:val="nil"/>
              <w:left w:val="nil"/>
              <w:bottom w:val="nil"/>
              <w:right w:val="nil"/>
            </w:tcBorders>
            <w:shd w:val="clear" w:color="auto" w:fill="auto"/>
            <w:noWrap/>
            <w:vAlign w:val="center"/>
            <w:hideMark/>
          </w:tcPr>
          <w:p w14:paraId="25CBECD7"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36.5%</w:t>
            </w:r>
          </w:p>
        </w:tc>
        <w:tc>
          <w:tcPr>
            <w:tcW w:w="736" w:type="pct"/>
            <w:tcBorders>
              <w:top w:val="nil"/>
              <w:left w:val="nil"/>
              <w:bottom w:val="nil"/>
              <w:right w:val="nil"/>
            </w:tcBorders>
            <w:shd w:val="clear" w:color="auto" w:fill="auto"/>
            <w:noWrap/>
            <w:vAlign w:val="center"/>
            <w:hideMark/>
          </w:tcPr>
          <w:p w14:paraId="1B49C927"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13.1%</w:t>
            </w:r>
          </w:p>
        </w:tc>
        <w:tc>
          <w:tcPr>
            <w:tcW w:w="736" w:type="pct"/>
            <w:tcBorders>
              <w:top w:val="nil"/>
              <w:left w:val="nil"/>
              <w:bottom w:val="nil"/>
              <w:right w:val="nil"/>
            </w:tcBorders>
            <w:shd w:val="clear" w:color="auto" w:fill="auto"/>
            <w:noWrap/>
            <w:vAlign w:val="center"/>
            <w:hideMark/>
          </w:tcPr>
          <w:p w14:paraId="78B696DC"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13.1%</w:t>
            </w:r>
          </w:p>
        </w:tc>
      </w:tr>
      <w:tr w:rsidR="004A7115" w:rsidRPr="00355D78" w14:paraId="08773592" w14:textId="77777777" w:rsidTr="00E258B4">
        <w:trPr>
          <w:trHeight w:val="360"/>
        </w:trPr>
        <w:tc>
          <w:tcPr>
            <w:tcW w:w="711" w:type="pct"/>
            <w:tcBorders>
              <w:top w:val="nil"/>
              <w:left w:val="nil"/>
              <w:bottom w:val="nil"/>
              <w:right w:val="nil"/>
            </w:tcBorders>
            <w:shd w:val="clear" w:color="auto" w:fill="auto"/>
            <w:noWrap/>
            <w:hideMark/>
          </w:tcPr>
          <w:p w14:paraId="4AE5446D"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587ED786"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1</w:t>
            </w:r>
            <w:r w:rsidRPr="00355D78">
              <w:rPr>
                <w:rFonts w:eastAsia="Times New Roman" w:cs="Arial"/>
                <w:color w:val="000000"/>
                <w:sz w:val="20"/>
                <w:szCs w:val="20"/>
                <w:vertAlign w:val="superscript"/>
                <w:lang w:eastAsia="en-GB"/>
              </w:rPr>
              <w:t>a</w:t>
            </w:r>
          </w:p>
        </w:tc>
        <w:tc>
          <w:tcPr>
            <w:tcW w:w="736" w:type="pct"/>
            <w:tcBorders>
              <w:top w:val="nil"/>
              <w:left w:val="nil"/>
              <w:bottom w:val="nil"/>
              <w:right w:val="nil"/>
            </w:tcBorders>
            <w:shd w:val="clear" w:color="auto" w:fill="auto"/>
            <w:noWrap/>
            <w:vAlign w:val="center"/>
            <w:hideMark/>
          </w:tcPr>
          <w:p w14:paraId="151F05ED"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6.8%</w:t>
            </w:r>
          </w:p>
        </w:tc>
        <w:tc>
          <w:tcPr>
            <w:tcW w:w="736" w:type="pct"/>
            <w:tcBorders>
              <w:top w:val="nil"/>
              <w:left w:val="nil"/>
              <w:bottom w:val="nil"/>
              <w:right w:val="nil"/>
            </w:tcBorders>
            <w:shd w:val="clear" w:color="000000" w:fill="D9D9D9"/>
            <w:noWrap/>
            <w:vAlign w:val="center"/>
            <w:hideMark/>
          </w:tcPr>
          <w:p w14:paraId="62330B32"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37.1%</w:t>
            </w:r>
          </w:p>
        </w:tc>
        <w:tc>
          <w:tcPr>
            <w:tcW w:w="736" w:type="pct"/>
            <w:tcBorders>
              <w:top w:val="nil"/>
              <w:left w:val="nil"/>
              <w:bottom w:val="nil"/>
              <w:right w:val="nil"/>
            </w:tcBorders>
            <w:shd w:val="clear" w:color="auto" w:fill="auto"/>
            <w:noWrap/>
            <w:vAlign w:val="center"/>
            <w:hideMark/>
          </w:tcPr>
          <w:p w14:paraId="5B415C8C"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27.1%</w:t>
            </w:r>
          </w:p>
        </w:tc>
        <w:tc>
          <w:tcPr>
            <w:tcW w:w="736" w:type="pct"/>
            <w:tcBorders>
              <w:top w:val="nil"/>
              <w:left w:val="nil"/>
              <w:bottom w:val="nil"/>
              <w:right w:val="nil"/>
            </w:tcBorders>
            <w:shd w:val="clear" w:color="auto" w:fill="auto"/>
            <w:noWrap/>
            <w:vAlign w:val="center"/>
            <w:hideMark/>
          </w:tcPr>
          <w:p w14:paraId="75884976"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27.1%</w:t>
            </w:r>
          </w:p>
        </w:tc>
      </w:tr>
      <w:tr w:rsidR="004A7115" w:rsidRPr="00355D78" w14:paraId="18174380" w14:textId="77777777" w:rsidTr="00E258B4">
        <w:trPr>
          <w:trHeight w:val="300"/>
        </w:trPr>
        <w:tc>
          <w:tcPr>
            <w:tcW w:w="711" w:type="pct"/>
            <w:tcBorders>
              <w:top w:val="nil"/>
              <w:left w:val="nil"/>
              <w:bottom w:val="nil"/>
              <w:right w:val="nil"/>
            </w:tcBorders>
            <w:shd w:val="clear" w:color="auto" w:fill="auto"/>
            <w:noWrap/>
            <w:hideMark/>
          </w:tcPr>
          <w:p w14:paraId="604EE5B3"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4DCEDEB1"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2</w:t>
            </w:r>
          </w:p>
        </w:tc>
        <w:tc>
          <w:tcPr>
            <w:tcW w:w="736" w:type="pct"/>
            <w:tcBorders>
              <w:top w:val="nil"/>
              <w:left w:val="nil"/>
              <w:bottom w:val="nil"/>
              <w:right w:val="nil"/>
            </w:tcBorders>
            <w:shd w:val="clear" w:color="auto" w:fill="auto"/>
            <w:noWrap/>
            <w:vAlign w:val="center"/>
            <w:hideMark/>
          </w:tcPr>
          <w:p w14:paraId="1441FDE7"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14.4%</w:t>
            </w:r>
          </w:p>
        </w:tc>
        <w:tc>
          <w:tcPr>
            <w:tcW w:w="736" w:type="pct"/>
            <w:tcBorders>
              <w:top w:val="nil"/>
              <w:left w:val="nil"/>
              <w:bottom w:val="nil"/>
              <w:right w:val="nil"/>
            </w:tcBorders>
            <w:shd w:val="clear" w:color="000000" w:fill="D9D9D9"/>
            <w:noWrap/>
            <w:vAlign w:val="center"/>
            <w:hideMark/>
          </w:tcPr>
          <w:p w14:paraId="42B632FA"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18.5%</w:t>
            </w:r>
          </w:p>
        </w:tc>
        <w:tc>
          <w:tcPr>
            <w:tcW w:w="736" w:type="pct"/>
            <w:tcBorders>
              <w:top w:val="nil"/>
              <w:left w:val="nil"/>
              <w:bottom w:val="nil"/>
              <w:right w:val="nil"/>
            </w:tcBorders>
            <w:shd w:val="clear" w:color="000000" w:fill="D9D9D9"/>
            <w:noWrap/>
            <w:vAlign w:val="center"/>
            <w:hideMark/>
          </w:tcPr>
          <w:p w14:paraId="62CE732A"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27.5%</w:t>
            </w:r>
          </w:p>
        </w:tc>
        <w:tc>
          <w:tcPr>
            <w:tcW w:w="736" w:type="pct"/>
            <w:tcBorders>
              <w:top w:val="nil"/>
              <w:left w:val="nil"/>
              <w:bottom w:val="nil"/>
              <w:right w:val="nil"/>
            </w:tcBorders>
            <w:shd w:val="clear" w:color="000000" w:fill="D9D9D9"/>
            <w:noWrap/>
            <w:vAlign w:val="center"/>
            <w:hideMark/>
          </w:tcPr>
          <w:p w14:paraId="25250400"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27.5%</w:t>
            </w:r>
          </w:p>
        </w:tc>
      </w:tr>
      <w:tr w:rsidR="004A7115" w:rsidRPr="00355D78" w14:paraId="57321B8B" w14:textId="77777777" w:rsidTr="00E258B4">
        <w:trPr>
          <w:trHeight w:val="300"/>
        </w:trPr>
        <w:tc>
          <w:tcPr>
            <w:tcW w:w="711" w:type="pct"/>
            <w:tcBorders>
              <w:top w:val="nil"/>
              <w:left w:val="nil"/>
              <w:bottom w:val="nil"/>
              <w:right w:val="nil"/>
            </w:tcBorders>
            <w:shd w:val="clear" w:color="auto" w:fill="auto"/>
            <w:noWrap/>
            <w:hideMark/>
          </w:tcPr>
          <w:p w14:paraId="4F8554A0"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490C50C5"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3</w:t>
            </w:r>
          </w:p>
        </w:tc>
        <w:tc>
          <w:tcPr>
            <w:tcW w:w="736" w:type="pct"/>
            <w:tcBorders>
              <w:top w:val="nil"/>
              <w:left w:val="nil"/>
              <w:bottom w:val="nil"/>
              <w:right w:val="nil"/>
            </w:tcBorders>
            <w:shd w:val="clear" w:color="auto" w:fill="auto"/>
            <w:noWrap/>
            <w:vAlign w:val="center"/>
            <w:hideMark/>
          </w:tcPr>
          <w:p w14:paraId="78837CD1"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19.9%</w:t>
            </w:r>
          </w:p>
        </w:tc>
        <w:tc>
          <w:tcPr>
            <w:tcW w:w="736" w:type="pct"/>
            <w:tcBorders>
              <w:top w:val="nil"/>
              <w:left w:val="nil"/>
              <w:bottom w:val="nil"/>
              <w:right w:val="nil"/>
            </w:tcBorders>
            <w:shd w:val="clear" w:color="000000" w:fill="D9D9D9"/>
            <w:noWrap/>
            <w:vAlign w:val="center"/>
            <w:hideMark/>
          </w:tcPr>
          <w:p w14:paraId="6758434D"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6.1%</w:t>
            </w:r>
          </w:p>
        </w:tc>
        <w:tc>
          <w:tcPr>
            <w:tcW w:w="736" w:type="pct"/>
            <w:tcBorders>
              <w:top w:val="nil"/>
              <w:left w:val="nil"/>
              <w:bottom w:val="nil"/>
              <w:right w:val="nil"/>
            </w:tcBorders>
            <w:shd w:val="clear" w:color="000000" w:fill="D9D9D9"/>
            <w:noWrap/>
            <w:vAlign w:val="center"/>
            <w:hideMark/>
          </w:tcPr>
          <w:p w14:paraId="401AD809"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18.4%</w:t>
            </w:r>
          </w:p>
        </w:tc>
        <w:tc>
          <w:tcPr>
            <w:tcW w:w="736" w:type="pct"/>
            <w:tcBorders>
              <w:top w:val="nil"/>
              <w:left w:val="nil"/>
              <w:bottom w:val="nil"/>
              <w:right w:val="nil"/>
            </w:tcBorders>
            <w:shd w:val="clear" w:color="000000" w:fill="D9D9D9"/>
            <w:noWrap/>
            <w:vAlign w:val="center"/>
            <w:hideMark/>
          </w:tcPr>
          <w:p w14:paraId="60DE9CCC"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18.4%</w:t>
            </w:r>
          </w:p>
        </w:tc>
      </w:tr>
      <w:tr w:rsidR="004A7115" w:rsidRPr="00355D78" w14:paraId="5C29D77C" w14:textId="77777777" w:rsidTr="00E258B4">
        <w:trPr>
          <w:trHeight w:val="360"/>
        </w:trPr>
        <w:tc>
          <w:tcPr>
            <w:tcW w:w="711" w:type="pct"/>
            <w:tcBorders>
              <w:top w:val="nil"/>
              <w:left w:val="nil"/>
              <w:bottom w:val="nil"/>
              <w:right w:val="nil"/>
            </w:tcBorders>
            <w:shd w:val="clear" w:color="auto" w:fill="auto"/>
            <w:noWrap/>
            <w:hideMark/>
          </w:tcPr>
          <w:p w14:paraId="385790BE" w14:textId="77777777" w:rsidR="004A7115" w:rsidRPr="00355D78" w:rsidRDefault="004A7115" w:rsidP="00E258B4">
            <w:pPr>
              <w:spacing w:after="0" w:line="240" w:lineRule="auto"/>
              <w:rPr>
                <w:rFonts w:eastAsia="Times New Roman" w:cs="Arial"/>
                <w:color w:val="000000"/>
                <w:sz w:val="20"/>
                <w:szCs w:val="20"/>
                <w:lang w:eastAsia="en-GB"/>
              </w:rPr>
            </w:pPr>
          </w:p>
        </w:tc>
        <w:tc>
          <w:tcPr>
            <w:tcW w:w="1345" w:type="pct"/>
            <w:tcBorders>
              <w:top w:val="nil"/>
              <w:left w:val="nil"/>
              <w:bottom w:val="nil"/>
              <w:right w:val="nil"/>
            </w:tcBorders>
            <w:shd w:val="clear" w:color="auto" w:fill="auto"/>
            <w:noWrap/>
            <w:hideMark/>
          </w:tcPr>
          <w:p w14:paraId="12589C6C"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4</w:t>
            </w:r>
            <w:r w:rsidRPr="00355D78">
              <w:rPr>
                <w:rFonts w:eastAsia="Times New Roman" w:cs="Arial"/>
                <w:color w:val="000000"/>
                <w:sz w:val="20"/>
                <w:szCs w:val="20"/>
                <w:vertAlign w:val="superscript"/>
                <w:lang w:eastAsia="en-GB"/>
              </w:rPr>
              <w:t>b</w:t>
            </w:r>
          </w:p>
        </w:tc>
        <w:tc>
          <w:tcPr>
            <w:tcW w:w="736" w:type="pct"/>
            <w:tcBorders>
              <w:top w:val="nil"/>
              <w:left w:val="nil"/>
              <w:bottom w:val="nil"/>
              <w:right w:val="nil"/>
            </w:tcBorders>
            <w:shd w:val="clear" w:color="000000" w:fill="D9D9D9"/>
            <w:noWrap/>
            <w:vAlign w:val="center"/>
            <w:hideMark/>
          </w:tcPr>
          <w:p w14:paraId="6C759514"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20.2%</w:t>
            </w:r>
          </w:p>
        </w:tc>
        <w:tc>
          <w:tcPr>
            <w:tcW w:w="736" w:type="pct"/>
            <w:tcBorders>
              <w:top w:val="nil"/>
              <w:left w:val="nil"/>
              <w:bottom w:val="nil"/>
              <w:right w:val="nil"/>
            </w:tcBorders>
            <w:shd w:val="clear" w:color="000000" w:fill="D9D9D9"/>
            <w:noWrap/>
            <w:vAlign w:val="center"/>
            <w:hideMark/>
          </w:tcPr>
          <w:p w14:paraId="75E502CB"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1.5%</w:t>
            </w:r>
          </w:p>
        </w:tc>
        <w:tc>
          <w:tcPr>
            <w:tcW w:w="736" w:type="pct"/>
            <w:tcBorders>
              <w:top w:val="nil"/>
              <w:left w:val="nil"/>
              <w:bottom w:val="nil"/>
              <w:right w:val="nil"/>
            </w:tcBorders>
            <w:shd w:val="clear" w:color="000000" w:fill="D9D9D9"/>
            <w:noWrap/>
            <w:vAlign w:val="center"/>
            <w:hideMark/>
          </w:tcPr>
          <w:p w14:paraId="6DA9208D"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9.0%</w:t>
            </w:r>
          </w:p>
        </w:tc>
        <w:tc>
          <w:tcPr>
            <w:tcW w:w="736" w:type="pct"/>
            <w:tcBorders>
              <w:top w:val="nil"/>
              <w:left w:val="nil"/>
              <w:bottom w:val="nil"/>
              <w:right w:val="nil"/>
            </w:tcBorders>
            <w:shd w:val="clear" w:color="000000" w:fill="D9D9D9"/>
            <w:noWrap/>
            <w:vAlign w:val="center"/>
            <w:hideMark/>
          </w:tcPr>
          <w:p w14:paraId="0C52B657"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9.0%</w:t>
            </w:r>
          </w:p>
        </w:tc>
      </w:tr>
      <w:tr w:rsidR="004A7115" w:rsidRPr="00355D78" w14:paraId="288A34D2" w14:textId="77777777" w:rsidTr="00E258B4">
        <w:trPr>
          <w:trHeight w:val="80"/>
        </w:trPr>
        <w:tc>
          <w:tcPr>
            <w:tcW w:w="711" w:type="pct"/>
            <w:tcBorders>
              <w:top w:val="nil"/>
              <w:left w:val="nil"/>
              <w:bottom w:val="single" w:sz="8" w:space="0" w:color="auto"/>
              <w:right w:val="nil"/>
            </w:tcBorders>
            <w:shd w:val="clear" w:color="auto" w:fill="auto"/>
            <w:noWrap/>
            <w:hideMark/>
          </w:tcPr>
          <w:p w14:paraId="4C3C8C82"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 </w:t>
            </w:r>
          </w:p>
        </w:tc>
        <w:tc>
          <w:tcPr>
            <w:tcW w:w="1345" w:type="pct"/>
            <w:tcBorders>
              <w:top w:val="nil"/>
              <w:left w:val="nil"/>
              <w:bottom w:val="single" w:sz="8" w:space="0" w:color="auto"/>
              <w:right w:val="nil"/>
            </w:tcBorders>
            <w:shd w:val="clear" w:color="auto" w:fill="auto"/>
            <w:noWrap/>
            <w:hideMark/>
          </w:tcPr>
          <w:p w14:paraId="49E7369C" w14:textId="77777777" w:rsidR="004A7115" w:rsidRPr="00355D78" w:rsidRDefault="004A7115" w:rsidP="00E258B4">
            <w:pPr>
              <w:spacing w:after="0" w:line="240" w:lineRule="auto"/>
              <w:rPr>
                <w:rFonts w:eastAsia="Times New Roman" w:cs="Arial"/>
                <w:color w:val="000000"/>
                <w:sz w:val="20"/>
                <w:szCs w:val="20"/>
                <w:lang w:eastAsia="en-GB"/>
              </w:rPr>
            </w:pPr>
            <w:r w:rsidRPr="00355D78">
              <w:rPr>
                <w:rFonts w:eastAsia="Times New Roman" w:cs="Arial"/>
                <w:color w:val="000000"/>
                <w:sz w:val="20"/>
                <w:szCs w:val="20"/>
                <w:lang w:eastAsia="en-GB"/>
              </w:rPr>
              <w:t>5 or more</w:t>
            </w:r>
          </w:p>
        </w:tc>
        <w:tc>
          <w:tcPr>
            <w:tcW w:w="736" w:type="pct"/>
            <w:tcBorders>
              <w:top w:val="nil"/>
              <w:left w:val="nil"/>
              <w:bottom w:val="single" w:sz="8" w:space="0" w:color="auto"/>
              <w:right w:val="nil"/>
            </w:tcBorders>
            <w:shd w:val="clear" w:color="000000" w:fill="D9D9D9"/>
            <w:noWrap/>
            <w:vAlign w:val="center"/>
            <w:hideMark/>
          </w:tcPr>
          <w:p w14:paraId="4626E147"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37.1%</w:t>
            </w:r>
          </w:p>
        </w:tc>
        <w:tc>
          <w:tcPr>
            <w:tcW w:w="736" w:type="pct"/>
            <w:tcBorders>
              <w:top w:val="nil"/>
              <w:left w:val="nil"/>
              <w:bottom w:val="single" w:sz="8" w:space="0" w:color="auto"/>
              <w:right w:val="nil"/>
            </w:tcBorders>
            <w:shd w:val="clear" w:color="000000" w:fill="D9D9D9"/>
            <w:noWrap/>
            <w:vAlign w:val="center"/>
            <w:hideMark/>
          </w:tcPr>
          <w:p w14:paraId="5C9D3C21"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0.3%</w:t>
            </w:r>
          </w:p>
        </w:tc>
        <w:tc>
          <w:tcPr>
            <w:tcW w:w="736" w:type="pct"/>
            <w:tcBorders>
              <w:top w:val="nil"/>
              <w:left w:val="nil"/>
              <w:bottom w:val="single" w:sz="8" w:space="0" w:color="auto"/>
              <w:right w:val="nil"/>
            </w:tcBorders>
            <w:shd w:val="clear" w:color="000000" w:fill="D9D9D9"/>
            <w:noWrap/>
            <w:vAlign w:val="center"/>
            <w:hideMark/>
          </w:tcPr>
          <w:p w14:paraId="1718A7F1"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5.0%</w:t>
            </w:r>
          </w:p>
        </w:tc>
        <w:tc>
          <w:tcPr>
            <w:tcW w:w="736" w:type="pct"/>
            <w:tcBorders>
              <w:top w:val="nil"/>
              <w:left w:val="nil"/>
              <w:bottom w:val="single" w:sz="8" w:space="0" w:color="auto"/>
              <w:right w:val="nil"/>
            </w:tcBorders>
            <w:shd w:val="clear" w:color="000000" w:fill="D9D9D9"/>
            <w:noWrap/>
            <w:vAlign w:val="center"/>
            <w:hideMark/>
          </w:tcPr>
          <w:p w14:paraId="27EF75E2" w14:textId="77777777" w:rsidR="004A7115" w:rsidRPr="00355D78" w:rsidRDefault="004A7115" w:rsidP="00E258B4">
            <w:pPr>
              <w:spacing w:after="0" w:line="240" w:lineRule="auto"/>
              <w:jc w:val="center"/>
              <w:rPr>
                <w:rFonts w:eastAsia="Times New Roman" w:cs="Arial"/>
                <w:color w:val="000000"/>
                <w:sz w:val="20"/>
                <w:szCs w:val="20"/>
                <w:lang w:eastAsia="en-GB"/>
              </w:rPr>
            </w:pPr>
            <w:r w:rsidRPr="00355D78">
              <w:rPr>
                <w:rFonts w:eastAsia="Times New Roman" w:cs="Arial"/>
                <w:color w:val="000000"/>
                <w:sz w:val="20"/>
                <w:szCs w:val="20"/>
                <w:lang w:eastAsia="en-GB"/>
              </w:rPr>
              <w:t>5.0%</w:t>
            </w:r>
          </w:p>
        </w:tc>
      </w:tr>
    </w:tbl>
    <w:p w14:paraId="59192E56" w14:textId="77777777" w:rsidR="004A7115" w:rsidRDefault="004A7115" w:rsidP="004A7115">
      <w:pPr>
        <w:rPr>
          <w:vertAlign w:val="superscript"/>
        </w:rPr>
      </w:pPr>
    </w:p>
    <w:p w14:paraId="36136F1C" w14:textId="0E5EC0FB" w:rsidR="004A7115" w:rsidRDefault="004A7115" w:rsidP="004A7115">
      <w:proofErr w:type="gramStart"/>
      <w:r w:rsidRPr="00FE1539">
        <w:rPr>
          <w:vertAlign w:val="superscript"/>
        </w:rPr>
        <w:t>a</w:t>
      </w:r>
      <w:proofErr w:type="gramEnd"/>
      <w:r>
        <w:t xml:space="preserve"> Shaded cells in the table denote the chance of observing at least the number of fall outcomes that were actually observed in the 5-, 10-, 20-</w:t>
      </w:r>
      <w:r w:rsidR="00B07CE7">
        <w:t xml:space="preserve">, 40-year period preceding </w:t>
      </w:r>
      <w:commentRangeStart w:id="3"/>
      <w:r w:rsidR="00B07CE7">
        <w:t>2016</w:t>
      </w:r>
      <w:commentRangeEnd w:id="3"/>
      <w:r w:rsidR="00B07CE7">
        <w:rPr>
          <w:rStyle w:val="CommentReference"/>
        </w:rPr>
        <w:commentReference w:id="3"/>
      </w:r>
      <w:r>
        <w:t>.</w:t>
      </w:r>
    </w:p>
    <w:p w14:paraId="229A6528" w14:textId="77777777" w:rsidR="004A7115" w:rsidRDefault="004A7115" w:rsidP="004A7115">
      <w:pPr>
        <w:spacing w:after="200" w:line="276" w:lineRule="auto"/>
        <w:rPr>
          <w:b/>
        </w:rPr>
      </w:pPr>
      <w:r>
        <w:rPr>
          <w:b/>
        </w:rPr>
        <w:br w:type="page"/>
      </w:r>
    </w:p>
    <w:p w14:paraId="18277D29" w14:textId="77777777" w:rsidR="004A7115" w:rsidRPr="00FE1539" w:rsidRDefault="004A7115" w:rsidP="004A7115">
      <w:pPr>
        <w:rPr>
          <w:b/>
        </w:rPr>
      </w:pPr>
      <w:r>
        <w:rPr>
          <w:b/>
        </w:rPr>
        <w:lastRenderedPageBreak/>
        <w:t>Table 2</w:t>
      </w:r>
      <w:r w:rsidRPr="00FE1539">
        <w:rPr>
          <w:b/>
        </w:rPr>
        <w:t xml:space="preserve">: </w:t>
      </w:r>
      <w:r>
        <w:rPr>
          <w:b/>
        </w:rPr>
        <w:t>Autocorrelation model results</w:t>
      </w:r>
    </w:p>
    <w:tbl>
      <w:tblPr>
        <w:tblStyle w:val="TableGrid"/>
        <w:tblW w:w="5140" w:type="pct"/>
        <w:tblLook w:val="04A0" w:firstRow="1" w:lastRow="0" w:firstColumn="1" w:lastColumn="0" w:noHBand="0" w:noVBand="1"/>
      </w:tblPr>
      <w:tblGrid>
        <w:gridCol w:w="1486"/>
        <w:gridCol w:w="1485"/>
        <w:gridCol w:w="1980"/>
        <w:gridCol w:w="1923"/>
        <w:gridCol w:w="1262"/>
        <w:gridCol w:w="1143"/>
      </w:tblGrid>
      <w:tr w:rsidR="004A7115" w14:paraId="2417A8BC" w14:textId="77777777" w:rsidTr="00E258B4">
        <w:tc>
          <w:tcPr>
            <w:tcW w:w="800" w:type="pct"/>
            <w:tcBorders>
              <w:left w:val="nil"/>
              <w:right w:val="nil"/>
            </w:tcBorders>
          </w:tcPr>
          <w:p w14:paraId="3DF94844" w14:textId="77777777" w:rsidR="004A7115" w:rsidRPr="008D7581" w:rsidRDefault="004A7115" w:rsidP="00E258B4">
            <w:pPr>
              <w:rPr>
                <w:b/>
              </w:rPr>
            </w:pPr>
            <w:r w:rsidRPr="008D7581">
              <w:rPr>
                <w:b/>
              </w:rPr>
              <w:t>Sex</w:t>
            </w:r>
          </w:p>
        </w:tc>
        <w:tc>
          <w:tcPr>
            <w:tcW w:w="800" w:type="pct"/>
            <w:tcBorders>
              <w:left w:val="nil"/>
              <w:right w:val="nil"/>
            </w:tcBorders>
          </w:tcPr>
          <w:p w14:paraId="1F561F4A" w14:textId="77777777" w:rsidR="004A7115" w:rsidRPr="008D7581" w:rsidRDefault="004A7115" w:rsidP="00E258B4">
            <w:pPr>
              <w:rPr>
                <w:b/>
              </w:rPr>
            </w:pPr>
            <w:r>
              <w:rPr>
                <w:b/>
              </w:rPr>
              <w:t>Model Term</w:t>
            </w:r>
          </w:p>
        </w:tc>
        <w:tc>
          <w:tcPr>
            <w:tcW w:w="1067" w:type="pct"/>
            <w:tcBorders>
              <w:left w:val="nil"/>
              <w:right w:val="nil"/>
            </w:tcBorders>
          </w:tcPr>
          <w:p w14:paraId="45FB1168" w14:textId="77777777" w:rsidR="004A7115" w:rsidRPr="008D7581" w:rsidRDefault="004A7115" w:rsidP="00E258B4">
            <w:pPr>
              <w:jc w:val="right"/>
              <w:rPr>
                <w:b/>
              </w:rPr>
            </w:pPr>
            <w:r>
              <w:rPr>
                <w:b/>
              </w:rPr>
              <w:t>Estimate</w:t>
            </w:r>
          </w:p>
        </w:tc>
        <w:tc>
          <w:tcPr>
            <w:tcW w:w="1036" w:type="pct"/>
            <w:tcBorders>
              <w:left w:val="nil"/>
              <w:right w:val="nil"/>
            </w:tcBorders>
          </w:tcPr>
          <w:p w14:paraId="4BD78D1C" w14:textId="77777777" w:rsidR="004A7115" w:rsidRPr="008D7581" w:rsidRDefault="004A7115" w:rsidP="00E258B4">
            <w:pPr>
              <w:jc w:val="right"/>
              <w:rPr>
                <w:b/>
              </w:rPr>
            </w:pPr>
            <w:r w:rsidRPr="008D7581">
              <w:rPr>
                <w:b/>
              </w:rPr>
              <w:t>Standard Error</w:t>
            </w:r>
          </w:p>
        </w:tc>
        <w:tc>
          <w:tcPr>
            <w:tcW w:w="680" w:type="pct"/>
            <w:tcBorders>
              <w:left w:val="nil"/>
              <w:right w:val="nil"/>
            </w:tcBorders>
          </w:tcPr>
          <w:p w14:paraId="274D4C35" w14:textId="77777777" w:rsidR="004A7115" w:rsidRPr="008D7581" w:rsidRDefault="004A7115" w:rsidP="00E258B4">
            <w:pPr>
              <w:jc w:val="right"/>
              <w:rPr>
                <w:b/>
              </w:rPr>
            </w:pPr>
            <w:r w:rsidRPr="008D7581">
              <w:rPr>
                <w:b/>
              </w:rPr>
              <w:t>Statistic</w:t>
            </w:r>
          </w:p>
        </w:tc>
        <w:tc>
          <w:tcPr>
            <w:tcW w:w="616" w:type="pct"/>
            <w:tcBorders>
              <w:left w:val="nil"/>
              <w:right w:val="nil"/>
            </w:tcBorders>
          </w:tcPr>
          <w:p w14:paraId="5B714958" w14:textId="77777777" w:rsidR="004A7115" w:rsidRPr="008D7581" w:rsidRDefault="004A7115" w:rsidP="00E258B4">
            <w:pPr>
              <w:jc w:val="right"/>
              <w:rPr>
                <w:b/>
              </w:rPr>
            </w:pPr>
            <w:r w:rsidRPr="008D7581">
              <w:rPr>
                <w:b/>
              </w:rPr>
              <w:t>P-value</w:t>
            </w:r>
          </w:p>
        </w:tc>
      </w:tr>
      <w:tr w:rsidR="004A7115" w14:paraId="16A07CC8" w14:textId="77777777" w:rsidTr="00E258B4">
        <w:tc>
          <w:tcPr>
            <w:tcW w:w="800" w:type="pct"/>
            <w:tcBorders>
              <w:left w:val="nil"/>
              <w:bottom w:val="nil"/>
              <w:right w:val="nil"/>
            </w:tcBorders>
          </w:tcPr>
          <w:p w14:paraId="3AB10020" w14:textId="77777777" w:rsidR="004A7115" w:rsidRDefault="004A7115" w:rsidP="00E258B4">
            <w:r>
              <w:t>Females</w:t>
            </w:r>
          </w:p>
        </w:tc>
        <w:tc>
          <w:tcPr>
            <w:tcW w:w="800" w:type="pct"/>
            <w:tcBorders>
              <w:left w:val="nil"/>
              <w:bottom w:val="nil"/>
              <w:right w:val="nil"/>
            </w:tcBorders>
          </w:tcPr>
          <w:p w14:paraId="335E9E92" w14:textId="77777777" w:rsidR="004A7115" w:rsidRDefault="004A7115" w:rsidP="00E258B4">
            <w:r>
              <w:t>Intercept</w:t>
            </w:r>
          </w:p>
        </w:tc>
        <w:tc>
          <w:tcPr>
            <w:tcW w:w="1067" w:type="pct"/>
            <w:tcBorders>
              <w:left w:val="nil"/>
              <w:bottom w:val="nil"/>
              <w:right w:val="nil"/>
            </w:tcBorders>
          </w:tcPr>
          <w:p w14:paraId="4FF623CD" w14:textId="77777777" w:rsidR="004A7115" w:rsidRPr="00E27F1C" w:rsidRDefault="004A7115" w:rsidP="00E258B4">
            <w:pPr>
              <w:jc w:val="right"/>
            </w:pPr>
            <w:r>
              <w:t>0.26</w:t>
            </w:r>
          </w:p>
        </w:tc>
        <w:tc>
          <w:tcPr>
            <w:tcW w:w="1036" w:type="pct"/>
            <w:tcBorders>
              <w:left w:val="nil"/>
              <w:bottom w:val="nil"/>
              <w:right w:val="nil"/>
            </w:tcBorders>
          </w:tcPr>
          <w:p w14:paraId="30C8445E" w14:textId="77777777" w:rsidR="004A7115" w:rsidRPr="00E27F1C" w:rsidRDefault="004A7115" w:rsidP="00E258B4">
            <w:pPr>
              <w:jc w:val="right"/>
            </w:pPr>
            <w:r w:rsidRPr="00E27F1C">
              <w:t>0.041</w:t>
            </w:r>
          </w:p>
        </w:tc>
        <w:tc>
          <w:tcPr>
            <w:tcW w:w="680" w:type="pct"/>
            <w:tcBorders>
              <w:left w:val="nil"/>
              <w:bottom w:val="nil"/>
              <w:right w:val="nil"/>
            </w:tcBorders>
          </w:tcPr>
          <w:p w14:paraId="0DF39C46" w14:textId="77777777" w:rsidR="004A7115" w:rsidRPr="00E27F1C" w:rsidRDefault="004A7115" w:rsidP="00E258B4">
            <w:pPr>
              <w:jc w:val="right"/>
            </w:pPr>
            <w:r w:rsidRPr="00E27F1C">
              <w:t>6.401</w:t>
            </w:r>
          </w:p>
        </w:tc>
        <w:tc>
          <w:tcPr>
            <w:tcW w:w="616" w:type="pct"/>
            <w:tcBorders>
              <w:left w:val="nil"/>
              <w:bottom w:val="nil"/>
              <w:right w:val="nil"/>
            </w:tcBorders>
          </w:tcPr>
          <w:p w14:paraId="55BEDFE7" w14:textId="77777777" w:rsidR="004A7115" w:rsidRDefault="004A7115" w:rsidP="00E258B4">
            <w:pPr>
              <w:jc w:val="right"/>
            </w:pPr>
            <w:r w:rsidRPr="003B4665">
              <w:t>p &lt; 0.001</w:t>
            </w:r>
          </w:p>
        </w:tc>
      </w:tr>
      <w:tr w:rsidR="004A7115" w14:paraId="18A35A3F" w14:textId="77777777" w:rsidTr="00E258B4">
        <w:tc>
          <w:tcPr>
            <w:tcW w:w="800" w:type="pct"/>
            <w:tcBorders>
              <w:top w:val="nil"/>
              <w:left w:val="nil"/>
              <w:bottom w:val="nil"/>
              <w:right w:val="nil"/>
            </w:tcBorders>
          </w:tcPr>
          <w:p w14:paraId="25DFD2A9" w14:textId="77777777" w:rsidR="004A7115" w:rsidRDefault="004A7115" w:rsidP="00E258B4"/>
        </w:tc>
        <w:tc>
          <w:tcPr>
            <w:tcW w:w="800" w:type="pct"/>
            <w:tcBorders>
              <w:top w:val="nil"/>
              <w:left w:val="nil"/>
              <w:bottom w:val="nil"/>
              <w:right w:val="nil"/>
            </w:tcBorders>
          </w:tcPr>
          <w:p w14:paraId="16A1543F" w14:textId="77777777" w:rsidR="004A7115" w:rsidRDefault="004A7115" w:rsidP="00E258B4">
            <w:r>
              <w:t>Coefficient</w:t>
            </w:r>
          </w:p>
        </w:tc>
        <w:tc>
          <w:tcPr>
            <w:tcW w:w="1067" w:type="pct"/>
            <w:tcBorders>
              <w:top w:val="nil"/>
              <w:left w:val="nil"/>
              <w:bottom w:val="nil"/>
              <w:right w:val="nil"/>
            </w:tcBorders>
          </w:tcPr>
          <w:p w14:paraId="4629A6DD" w14:textId="77777777" w:rsidR="004A7115" w:rsidRPr="00E27F1C" w:rsidRDefault="004A7115" w:rsidP="00E258B4">
            <w:pPr>
              <w:jc w:val="right"/>
            </w:pPr>
            <w:r>
              <w:t>-0.47</w:t>
            </w:r>
          </w:p>
        </w:tc>
        <w:tc>
          <w:tcPr>
            <w:tcW w:w="1036" w:type="pct"/>
            <w:tcBorders>
              <w:top w:val="nil"/>
              <w:left w:val="nil"/>
              <w:bottom w:val="nil"/>
              <w:right w:val="nil"/>
            </w:tcBorders>
          </w:tcPr>
          <w:p w14:paraId="46F34C0B" w14:textId="77777777" w:rsidR="004A7115" w:rsidRPr="00E27F1C" w:rsidRDefault="004A7115" w:rsidP="00E258B4">
            <w:pPr>
              <w:jc w:val="right"/>
            </w:pPr>
            <w:r w:rsidRPr="00E27F1C">
              <w:t>0.115</w:t>
            </w:r>
          </w:p>
        </w:tc>
        <w:tc>
          <w:tcPr>
            <w:tcW w:w="680" w:type="pct"/>
            <w:tcBorders>
              <w:top w:val="nil"/>
              <w:left w:val="nil"/>
              <w:bottom w:val="nil"/>
              <w:right w:val="nil"/>
            </w:tcBorders>
          </w:tcPr>
          <w:p w14:paraId="7EB92114" w14:textId="77777777" w:rsidR="004A7115" w:rsidRPr="00E27F1C" w:rsidRDefault="004A7115" w:rsidP="00E258B4">
            <w:pPr>
              <w:jc w:val="right"/>
            </w:pPr>
            <w:r w:rsidRPr="00E27F1C">
              <w:t>-4.077</w:t>
            </w:r>
          </w:p>
        </w:tc>
        <w:tc>
          <w:tcPr>
            <w:tcW w:w="616" w:type="pct"/>
            <w:tcBorders>
              <w:top w:val="nil"/>
              <w:left w:val="nil"/>
              <w:bottom w:val="nil"/>
              <w:right w:val="nil"/>
            </w:tcBorders>
          </w:tcPr>
          <w:p w14:paraId="1F36E95D" w14:textId="77777777" w:rsidR="004A7115" w:rsidRDefault="004A7115" w:rsidP="00E258B4">
            <w:pPr>
              <w:jc w:val="right"/>
            </w:pPr>
            <w:r w:rsidRPr="003B4665">
              <w:t>p &lt; 0.001</w:t>
            </w:r>
          </w:p>
        </w:tc>
      </w:tr>
      <w:tr w:rsidR="004A7115" w14:paraId="7DD3E571" w14:textId="77777777" w:rsidTr="00E258B4">
        <w:tc>
          <w:tcPr>
            <w:tcW w:w="800" w:type="pct"/>
            <w:tcBorders>
              <w:top w:val="nil"/>
              <w:left w:val="nil"/>
              <w:bottom w:val="nil"/>
              <w:right w:val="nil"/>
            </w:tcBorders>
          </w:tcPr>
          <w:p w14:paraId="4DC9E4F9" w14:textId="77777777" w:rsidR="004A7115" w:rsidRDefault="004A7115" w:rsidP="00E258B4"/>
        </w:tc>
        <w:tc>
          <w:tcPr>
            <w:tcW w:w="800" w:type="pct"/>
            <w:tcBorders>
              <w:top w:val="nil"/>
              <w:left w:val="nil"/>
              <w:bottom w:val="nil"/>
              <w:right w:val="nil"/>
            </w:tcBorders>
          </w:tcPr>
          <w:p w14:paraId="5562063D" w14:textId="77777777" w:rsidR="004A7115" w:rsidRDefault="004A7115" w:rsidP="00E258B4"/>
        </w:tc>
        <w:tc>
          <w:tcPr>
            <w:tcW w:w="1067" w:type="pct"/>
            <w:tcBorders>
              <w:top w:val="nil"/>
              <w:left w:val="nil"/>
              <w:bottom w:val="nil"/>
              <w:right w:val="nil"/>
            </w:tcBorders>
          </w:tcPr>
          <w:p w14:paraId="2C962D93" w14:textId="77777777" w:rsidR="004A7115" w:rsidRPr="00E27F1C" w:rsidRDefault="004A7115" w:rsidP="00E258B4">
            <w:pPr>
              <w:jc w:val="right"/>
            </w:pPr>
          </w:p>
        </w:tc>
        <w:tc>
          <w:tcPr>
            <w:tcW w:w="1036" w:type="pct"/>
            <w:tcBorders>
              <w:top w:val="nil"/>
              <w:left w:val="nil"/>
              <w:bottom w:val="nil"/>
              <w:right w:val="nil"/>
            </w:tcBorders>
          </w:tcPr>
          <w:p w14:paraId="185F2AF5" w14:textId="77777777" w:rsidR="004A7115" w:rsidRPr="00E27F1C" w:rsidRDefault="004A7115" w:rsidP="00E258B4">
            <w:pPr>
              <w:jc w:val="right"/>
            </w:pPr>
          </w:p>
        </w:tc>
        <w:tc>
          <w:tcPr>
            <w:tcW w:w="680" w:type="pct"/>
            <w:tcBorders>
              <w:top w:val="nil"/>
              <w:left w:val="nil"/>
              <w:bottom w:val="nil"/>
              <w:right w:val="nil"/>
            </w:tcBorders>
          </w:tcPr>
          <w:p w14:paraId="15FFC895" w14:textId="77777777" w:rsidR="004A7115" w:rsidRPr="00E27F1C" w:rsidRDefault="004A7115" w:rsidP="00E258B4">
            <w:pPr>
              <w:jc w:val="right"/>
            </w:pPr>
          </w:p>
        </w:tc>
        <w:tc>
          <w:tcPr>
            <w:tcW w:w="616" w:type="pct"/>
            <w:tcBorders>
              <w:top w:val="nil"/>
              <w:left w:val="nil"/>
              <w:bottom w:val="nil"/>
              <w:right w:val="nil"/>
            </w:tcBorders>
          </w:tcPr>
          <w:p w14:paraId="10BEABDD" w14:textId="77777777" w:rsidR="004A7115" w:rsidRPr="003B4665" w:rsidRDefault="004A7115" w:rsidP="00E258B4">
            <w:pPr>
              <w:jc w:val="right"/>
            </w:pPr>
          </w:p>
        </w:tc>
      </w:tr>
      <w:tr w:rsidR="004A7115" w14:paraId="3C51769F" w14:textId="77777777" w:rsidTr="00E258B4">
        <w:tc>
          <w:tcPr>
            <w:tcW w:w="800" w:type="pct"/>
            <w:tcBorders>
              <w:top w:val="nil"/>
              <w:left w:val="nil"/>
              <w:bottom w:val="nil"/>
              <w:right w:val="nil"/>
            </w:tcBorders>
          </w:tcPr>
          <w:p w14:paraId="45162E0A" w14:textId="77777777" w:rsidR="004A7115" w:rsidRDefault="004A7115" w:rsidP="00E258B4">
            <w:r>
              <w:t>Males</w:t>
            </w:r>
          </w:p>
        </w:tc>
        <w:tc>
          <w:tcPr>
            <w:tcW w:w="800" w:type="pct"/>
            <w:tcBorders>
              <w:top w:val="nil"/>
              <w:left w:val="nil"/>
              <w:bottom w:val="nil"/>
              <w:right w:val="nil"/>
            </w:tcBorders>
          </w:tcPr>
          <w:p w14:paraId="7EF11790" w14:textId="77777777" w:rsidR="004A7115" w:rsidRDefault="004A7115" w:rsidP="00E258B4">
            <w:r>
              <w:t>Intercept</w:t>
            </w:r>
          </w:p>
        </w:tc>
        <w:tc>
          <w:tcPr>
            <w:tcW w:w="1067" w:type="pct"/>
            <w:tcBorders>
              <w:top w:val="nil"/>
              <w:left w:val="nil"/>
              <w:bottom w:val="nil"/>
              <w:right w:val="nil"/>
            </w:tcBorders>
          </w:tcPr>
          <w:p w14:paraId="0221D8AA" w14:textId="77777777" w:rsidR="004A7115" w:rsidRPr="00E27F1C" w:rsidRDefault="004A7115" w:rsidP="00E258B4">
            <w:pPr>
              <w:jc w:val="right"/>
            </w:pPr>
            <w:r>
              <w:t>0.25</w:t>
            </w:r>
          </w:p>
        </w:tc>
        <w:tc>
          <w:tcPr>
            <w:tcW w:w="1036" w:type="pct"/>
            <w:tcBorders>
              <w:top w:val="nil"/>
              <w:left w:val="nil"/>
              <w:bottom w:val="nil"/>
              <w:right w:val="nil"/>
            </w:tcBorders>
          </w:tcPr>
          <w:p w14:paraId="6781B438" w14:textId="77777777" w:rsidR="004A7115" w:rsidRPr="00E27F1C" w:rsidRDefault="004A7115" w:rsidP="00E258B4">
            <w:pPr>
              <w:jc w:val="right"/>
            </w:pPr>
            <w:r w:rsidRPr="00E27F1C">
              <w:t>0.041</w:t>
            </w:r>
          </w:p>
        </w:tc>
        <w:tc>
          <w:tcPr>
            <w:tcW w:w="680" w:type="pct"/>
            <w:tcBorders>
              <w:top w:val="nil"/>
              <w:left w:val="nil"/>
              <w:bottom w:val="nil"/>
              <w:right w:val="nil"/>
            </w:tcBorders>
          </w:tcPr>
          <w:p w14:paraId="75EBA69A" w14:textId="77777777" w:rsidR="004A7115" w:rsidRPr="00E27F1C" w:rsidRDefault="004A7115" w:rsidP="00E258B4">
            <w:pPr>
              <w:jc w:val="right"/>
            </w:pPr>
            <w:r w:rsidRPr="00E27F1C">
              <w:t>6.138</w:t>
            </w:r>
          </w:p>
        </w:tc>
        <w:tc>
          <w:tcPr>
            <w:tcW w:w="616" w:type="pct"/>
            <w:tcBorders>
              <w:top w:val="nil"/>
              <w:left w:val="nil"/>
              <w:bottom w:val="nil"/>
              <w:right w:val="nil"/>
            </w:tcBorders>
          </w:tcPr>
          <w:p w14:paraId="6C63661E" w14:textId="77777777" w:rsidR="004A7115" w:rsidRDefault="004A7115" w:rsidP="00E258B4">
            <w:pPr>
              <w:jc w:val="right"/>
            </w:pPr>
            <w:r w:rsidRPr="003B4665">
              <w:t>p &lt; 0.001</w:t>
            </w:r>
          </w:p>
        </w:tc>
      </w:tr>
      <w:tr w:rsidR="004A7115" w14:paraId="362E31F7" w14:textId="77777777" w:rsidTr="00E258B4">
        <w:tc>
          <w:tcPr>
            <w:tcW w:w="800" w:type="pct"/>
            <w:tcBorders>
              <w:top w:val="nil"/>
              <w:left w:val="nil"/>
              <w:right w:val="nil"/>
            </w:tcBorders>
          </w:tcPr>
          <w:p w14:paraId="1C4096FE" w14:textId="77777777" w:rsidR="004A7115" w:rsidRDefault="004A7115" w:rsidP="00E258B4"/>
        </w:tc>
        <w:tc>
          <w:tcPr>
            <w:tcW w:w="800" w:type="pct"/>
            <w:tcBorders>
              <w:top w:val="nil"/>
              <w:left w:val="nil"/>
              <w:right w:val="nil"/>
            </w:tcBorders>
          </w:tcPr>
          <w:p w14:paraId="74ED50F5" w14:textId="77777777" w:rsidR="004A7115" w:rsidRDefault="004A7115" w:rsidP="00E258B4">
            <w:r>
              <w:t>Coefficient</w:t>
            </w:r>
          </w:p>
        </w:tc>
        <w:tc>
          <w:tcPr>
            <w:tcW w:w="1067" w:type="pct"/>
            <w:tcBorders>
              <w:top w:val="nil"/>
              <w:left w:val="nil"/>
              <w:right w:val="nil"/>
            </w:tcBorders>
          </w:tcPr>
          <w:p w14:paraId="4F47BA2B" w14:textId="77777777" w:rsidR="004A7115" w:rsidRPr="00E27F1C" w:rsidRDefault="004A7115" w:rsidP="00E258B4">
            <w:pPr>
              <w:jc w:val="right"/>
            </w:pPr>
            <w:r>
              <w:t>-0.28</w:t>
            </w:r>
          </w:p>
        </w:tc>
        <w:tc>
          <w:tcPr>
            <w:tcW w:w="1036" w:type="pct"/>
            <w:tcBorders>
              <w:top w:val="nil"/>
              <w:left w:val="nil"/>
              <w:right w:val="nil"/>
            </w:tcBorders>
          </w:tcPr>
          <w:p w14:paraId="0DBDE482" w14:textId="77777777" w:rsidR="004A7115" w:rsidRPr="00E27F1C" w:rsidRDefault="004A7115" w:rsidP="00E258B4">
            <w:pPr>
              <w:jc w:val="right"/>
            </w:pPr>
            <w:r w:rsidRPr="00E27F1C">
              <w:t>0.125</w:t>
            </w:r>
          </w:p>
        </w:tc>
        <w:tc>
          <w:tcPr>
            <w:tcW w:w="680" w:type="pct"/>
            <w:tcBorders>
              <w:top w:val="nil"/>
              <w:left w:val="nil"/>
              <w:right w:val="nil"/>
            </w:tcBorders>
          </w:tcPr>
          <w:p w14:paraId="48F3FD62" w14:textId="77777777" w:rsidR="004A7115" w:rsidRDefault="004A7115" w:rsidP="00E258B4">
            <w:pPr>
              <w:jc w:val="right"/>
            </w:pPr>
            <w:r w:rsidRPr="00E27F1C">
              <w:t>-2.268</w:t>
            </w:r>
          </w:p>
        </w:tc>
        <w:tc>
          <w:tcPr>
            <w:tcW w:w="616" w:type="pct"/>
            <w:tcBorders>
              <w:top w:val="nil"/>
              <w:left w:val="nil"/>
              <w:right w:val="nil"/>
            </w:tcBorders>
          </w:tcPr>
          <w:p w14:paraId="534C6E3E" w14:textId="77777777" w:rsidR="004A7115" w:rsidRDefault="004A7115" w:rsidP="00E258B4">
            <w:pPr>
              <w:jc w:val="right"/>
            </w:pPr>
            <w:r>
              <w:t>0.027</w:t>
            </w:r>
          </w:p>
        </w:tc>
      </w:tr>
    </w:tbl>
    <w:p w14:paraId="253FAAB9" w14:textId="77777777" w:rsidR="004A7115" w:rsidRDefault="004A7115" w:rsidP="004A7115"/>
    <w:p w14:paraId="16853475" w14:textId="77777777" w:rsidR="009379EA" w:rsidRDefault="009379EA" w:rsidP="009379EA">
      <w:pPr>
        <w:pStyle w:val="Heading2"/>
      </w:pPr>
    </w:p>
    <w:sectPr w:rsidR="009379EA" w:rsidSect="008F10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nt Wyper" w:date="2019-02-04T09:33:00Z" w:initials="GW">
    <w:p w14:paraId="75A4D0CF" w14:textId="77777777" w:rsidR="004A7115" w:rsidRDefault="004A7115">
      <w:pPr>
        <w:pStyle w:val="CommentText"/>
      </w:pPr>
      <w:r>
        <w:rPr>
          <w:rStyle w:val="CommentReference"/>
        </w:rPr>
        <w:annotationRef/>
      </w:r>
      <w:r>
        <w:t>I’ve used “</w:t>
      </w:r>
      <w:r w:rsidR="000437ED">
        <w:t xml:space="preserve">risk for </w:t>
      </w:r>
      <w:r>
        <w:t>&gt;=</w:t>
      </w:r>
      <w:r w:rsidR="000437ED">
        <w:t xml:space="preserve"> observed</w:t>
      </w:r>
      <w:r>
        <w:t>” for comparisons rather than “</w:t>
      </w:r>
      <w:r w:rsidR="000437ED">
        <w:t xml:space="preserve">risk </w:t>
      </w:r>
      <w:r>
        <w:t>=</w:t>
      </w:r>
      <w:r w:rsidR="000437ED">
        <w:t xml:space="preserve"> observed</w:t>
      </w:r>
      <w:r>
        <w:t>”</w:t>
      </w:r>
      <w:r w:rsidR="000437ED">
        <w:t>. Probabilities are larger, but think it’s more helpful to know, especially in the 4-in-60 Scottish female LE scenario as the distribution over events is much more spread because the event isn’t as rare.</w:t>
      </w:r>
    </w:p>
    <w:p w14:paraId="4EEB933A" w14:textId="77777777" w:rsidR="00B60658" w:rsidRDefault="00B60658">
      <w:pPr>
        <w:pStyle w:val="CommentText"/>
      </w:pPr>
    </w:p>
    <w:p w14:paraId="3E7C05FE" w14:textId="77777777" w:rsidR="00B60658" w:rsidRDefault="00B60658">
      <w:pPr>
        <w:pStyle w:val="CommentText"/>
      </w:pPr>
      <w:r>
        <w:t>Potential issue in that the data doesn’t line up with what is in Table 1, so could be confusing. However, thought it might be useful that the probabilities (%) in table 1 add up to 100% for transparency sake. Easy fix either way.</w:t>
      </w:r>
    </w:p>
  </w:comment>
  <w:comment w:id="1" w:author="Grant Wyper" w:date="2019-02-13T11:00:00Z" w:initials="GW">
    <w:p w14:paraId="29068943" w14:textId="381AD8A2" w:rsidR="00B07CE7" w:rsidRDefault="00B07CE7">
      <w:pPr>
        <w:pStyle w:val="CommentText"/>
      </w:pPr>
      <w:r>
        <w:rPr>
          <w:rStyle w:val="CommentReference"/>
        </w:rPr>
        <w:annotationRef/>
      </w:r>
      <w:r w:rsidR="00DE1963">
        <w:t>C</w:t>
      </w:r>
      <w:r>
        <w:t xml:space="preserve">ould do a </w:t>
      </w:r>
      <w:proofErr w:type="spellStart"/>
      <w:r>
        <w:t>multipanel</w:t>
      </w:r>
      <w:proofErr w:type="spellEnd"/>
      <w:r>
        <w:t xml:space="preserve"> plot, showing the highlighted part</w:t>
      </w:r>
    </w:p>
  </w:comment>
  <w:comment w:id="3" w:author="Grant Wyper" w:date="2019-02-13T11:02:00Z" w:initials="GW">
    <w:p w14:paraId="641E1275" w14:textId="15282D1C" w:rsidR="00B07CE7" w:rsidRDefault="00B07CE7">
      <w:pPr>
        <w:pStyle w:val="CommentText"/>
      </w:pPr>
      <w:r>
        <w:rPr>
          <w:rStyle w:val="CommentReference"/>
        </w:rPr>
        <w:annotationRef/>
      </w:r>
      <w:r>
        <w:t xml:space="preserve">Used 2016 as </w:t>
      </w:r>
      <w:proofErr w:type="spellStart"/>
      <w:r>
        <w:t>England&amp;Wales</w:t>
      </w:r>
      <w:proofErr w:type="spellEnd"/>
      <w:r>
        <w:t xml:space="preserve"> doesn’t have 2017 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C05FE" w15:done="0"/>
  <w15:commentEx w15:paraId="29068943" w15:done="0"/>
  <w15:commentEx w15:paraId="641E12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3D69"/>
    <w:multiLevelType w:val="hybridMultilevel"/>
    <w:tmpl w:val="01D8F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FB21A5"/>
    <w:multiLevelType w:val="hybridMultilevel"/>
    <w:tmpl w:val="10EEDE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A44A3A"/>
    <w:multiLevelType w:val="hybridMultilevel"/>
    <w:tmpl w:val="CA722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Wyper">
    <w15:presenceInfo w15:providerId="AD" w15:userId="S-1-5-21-715991605-1245273282-14044502-30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D7"/>
    <w:rsid w:val="000437ED"/>
    <w:rsid w:val="000D0C7E"/>
    <w:rsid w:val="000D3388"/>
    <w:rsid w:val="001309DE"/>
    <w:rsid w:val="00156110"/>
    <w:rsid w:val="0019477D"/>
    <w:rsid w:val="001F0D7D"/>
    <w:rsid w:val="002078FD"/>
    <w:rsid w:val="0025655D"/>
    <w:rsid w:val="00293F60"/>
    <w:rsid w:val="002A0D6B"/>
    <w:rsid w:val="002F363A"/>
    <w:rsid w:val="0031384D"/>
    <w:rsid w:val="0034208C"/>
    <w:rsid w:val="00397B22"/>
    <w:rsid w:val="003C55AC"/>
    <w:rsid w:val="003D6378"/>
    <w:rsid w:val="003E056B"/>
    <w:rsid w:val="003F3642"/>
    <w:rsid w:val="00414879"/>
    <w:rsid w:val="00452FB2"/>
    <w:rsid w:val="004A7115"/>
    <w:rsid w:val="004C4B1D"/>
    <w:rsid w:val="004E1A1E"/>
    <w:rsid w:val="004F19C8"/>
    <w:rsid w:val="004F7C2F"/>
    <w:rsid w:val="00537DD7"/>
    <w:rsid w:val="005545B4"/>
    <w:rsid w:val="005618CF"/>
    <w:rsid w:val="00576BE2"/>
    <w:rsid w:val="00585436"/>
    <w:rsid w:val="005A0EB5"/>
    <w:rsid w:val="005A7D93"/>
    <w:rsid w:val="006300FF"/>
    <w:rsid w:val="00632C2A"/>
    <w:rsid w:val="006F7907"/>
    <w:rsid w:val="00784E3E"/>
    <w:rsid w:val="007B1FD5"/>
    <w:rsid w:val="007B22FE"/>
    <w:rsid w:val="00821424"/>
    <w:rsid w:val="0086124B"/>
    <w:rsid w:val="008A0CB9"/>
    <w:rsid w:val="008A3745"/>
    <w:rsid w:val="008D112C"/>
    <w:rsid w:val="008E5D28"/>
    <w:rsid w:val="008F10EB"/>
    <w:rsid w:val="008F39DB"/>
    <w:rsid w:val="00933013"/>
    <w:rsid w:val="00937415"/>
    <w:rsid w:val="009379EA"/>
    <w:rsid w:val="00941349"/>
    <w:rsid w:val="00977CA6"/>
    <w:rsid w:val="00982CE0"/>
    <w:rsid w:val="00984E01"/>
    <w:rsid w:val="009B208D"/>
    <w:rsid w:val="009D74BB"/>
    <w:rsid w:val="00A10558"/>
    <w:rsid w:val="00A46ABA"/>
    <w:rsid w:val="00A52925"/>
    <w:rsid w:val="00A53862"/>
    <w:rsid w:val="00A54BFF"/>
    <w:rsid w:val="00A64072"/>
    <w:rsid w:val="00A77566"/>
    <w:rsid w:val="00AC53BC"/>
    <w:rsid w:val="00AD0AF3"/>
    <w:rsid w:val="00AF603E"/>
    <w:rsid w:val="00B07CE7"/>
    <w:rsid w:val="00B60658"/>
    <w:rsid w:val="00BF57C5"/>
    <w:rsid w:val="00C43E79"/>
    <w:rsid w:val="00D55BCD"/>
    <w:rsid w:val="00D9792D"/>
    <w:rsid w:val="00DE1963"/>
    <w:rsid w:val="00DE705F"/>
    <w:rsid w:val="00DF1787"/>
    <w:rsid w:val="00E01328"/>
    <w:rsid w:val="00E7726E"/>
    <w:rsid w:val="00EC30BA"/>
    <w:rsid w:val="00F43D96"/>
    <w:rsid w:val="00FE04BE"/>
    <w:rsid w:val="00FE1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F37F"/>
  <w15:docId w15:val="{67A15BB7-105E-42E3-94F4-F93CB00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0EB"/>
  </w:style>
  <w:style w:type="paragraph" w:styleId="Heading1">
    <w:name w:val="heading 1"/>
    <w:basedOn w:val="Normal"/>
    <w:next w:val="Normal"/>
    <w:link w:val="Heading1Char"/>
    <w:uiPriority w:val="9"/>
    <w:qFormat/>
    <w:rsid w:val="002A0D6B"/>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2A0D6B"/>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A0D6B"/>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9379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D6B"/>
    <w:rPr>
      <w:rFonts w:eastAsiaTheme="majorEastAsia" w:cstheme="majorBidi"/>
      <w:b/>
      <w:color w:val="000000" w:themeColor="text1"/>
      <w:sz w:val="40"/>
      <w:szCs w:val="32"/>
    </w:rPr>
  </w:style>
  <w:style w:type="character" w:customStyle="1" w:styleId="Heading2Char">
    <w:name w:val="Heading 2 Char"/>
    <w:basedOn w:val="DefaultParagraphFont"/>
    <w:link w:val="Heading2"/>
    <w:uiPriority w:val="9"/>
    <w:rsid w:val="002A0D6B"/>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2A0D6B"/>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9379EA"/>
    <w:rPr>
      <w:rFonts w:asciiTheme="majorHAnsi" w:eastAsiaTheme="majorEastAsia" w:hAnsiTheme="majorHAnsi" w:cstheme="majorBidi"/>
      <w:i/>
      <w:iCs/>
      <w:color w:val="2E74B5" w:themeColor="accent1" w:themeShade="BF"/>
    </w:rPr>
  </w:style>
  <w:style w:type="character" w:customStyle="1" w:styleId="math">
    <w:name w:val="math"/>
    <w:basedOn w:val="DefaultParagraphFont"/>
    <w:rsid w:val="009379EA"/>
  </w:style>
  <w:style w:type="character" w:customStyle="1" w:styleId="mathjax1">
    <w:name w:val="mathjax1"/>
    <w:basedOn w:val="DefaultParagraphFont"/>
    <w:rsid w:val="009379EA"/>
    <w:rPr>
      <w:b w:val="0"/>
      <w:bCs w:val="0"/>
      <w:i w:val="0"/>
      <w:iCs w:val="0"/>
      <w:caps w:val="0"/>
      <w:vanish w:val="0"/>
      <w:webHidden w:val="0"/>
      <w:spacing w:val="0"/>
      <w:sz w:val="24"/>
      <w:szCs w:val="24"/>
      <w:bdr w:val="none" w:sz="0" w:space="0" w:color="auto" w:frame="1"/>
      <w:rtl w:val="0"/>
      <w:specVanish w:val="0"/>
    </w:rPr>
  </w:style>
  <w:style w:type="paragraph" w:customStyle="1" w:styleId="BodyText1">
    <w:name w:val="Body Text1"/>
    <w:qFormat/>
    <w:rsid w:val="002A0D6B"/>
    <w:pPr>
      <w:autoSpaceDE w:val="0"/>
      <w:autoSpaceDN w:val="0"/>
      <w:adjustRightInd w:val="0"/>
      <w:spacing w:after="0" w:line="240" w:lineRule="auto"/>
    </w:pPr>
    <w:rPr>
      <w:rFonts w:ascii="Arial" w:hAnsi="Arial" w:cs="Arial"/>
      <w:sz w:val="24"/>
      <w:szCs w:val="24"/>
      <w:lang w:eastAsia="en-GB"/>
    </w:rPr>
  </w:style>
  <w:style w:type="character" w:styleId="Hyperlink">
    <w:name w:val="Hyperlink"/>
    <w:basedOn w:val="DefaultParagraphFont"/>
    <w:uiPriority w:val="99"/>
    <w:unhideWhenUsed/>
    <w:rsid w:val="002A0D6B"/>
    <w:rPr>
      <w:color w:val="0563C1" w:themeColor="hyperlink"/>
      <w:u w:val="none"/>
    </w:rPr>
  </w:style>
  <w:style w:type="paragraph" w:styleId="ListParagraph">
    <w:name w:val="List Paragraph"/>
    <w:basedOn w:val="Normal"/>
    <w:uiPriority w:val="34"/>
    <w:qFormat/>
    <w:rsid w:val="00A53862"/>
    <w:pPr>
      <w:ind w:left="720"/>
      <w:contextualSpacing/>
    </w:pPr>
  </w:style>
  <w:style w:type="character" w:styleId="CommentReference">
    <w:name w:val="annotation reference"/>
    <w:basedOn w:val="DefaultParagraphFont"/>
    <w:uiPriority w:val="99"/>
    <w:semiHidden/>
    <w:unhideWhenUsed/>
    <w:rsid w:val="004A7115"/>
    <w:rPr>
      <w:sz w:val="16"/>
      <w:szCs w:val="16"/>
    </w:rPr>
  </w:style>
  <w:style w:type="paragraph" w:styleId="CommentText">
    <w:name w:val="annotation text"/>
    <w:basedOn w:val="Normal"/>
    <w:link w:val="CommentTextChar"/>
    <w:uiPriority w:val="99"/>
    <w:semiHidden/>
    <w:unhideWhenUsed/>
    <w:rsid w:val="004A7115"/>
    <w:pPr>
      <w:spacing w:line="240" w:lineRule="auto"/>
    </w:pPr>
    <w:rPr>
      <w:sz w:val="20"/>
      <w:szCs w:val="20"/>
    </w:rPr>
  </w:style>
  <w:style w:type="character" w:customStyle="1" w:styleId="CommentTextChar">
    <w:name w:val="Comment Text Char"/>
    <w:basedOn w:val="DefaultParagraphFont"/>
    <w:link w:val="CommentText"/>
    <w:uiPriority w:val="99"/>
    <w:semiHidden/>
    <w:rsid w:val="004A7115"/>
    <w:rPr>
      <w:sz w:val="20"/>
      <w:szCs w:val="20"/>
    </w:rPr>
  </w:style>
  <w:style w:type="paragraph" w:styleId="CommentSubject">
    <w:name w:val="annotation subject"/>
    <w:basedOn w:val="CommentText"/>
    <w:next w:val="CommentText"/>
    <w:link w:val="CommentSubjectChar"/>
    <w:uiPriority w:val="99"/>
    <w:semiHidden/>
    <w:unhideWhenUsed/>
    <w:rsid w:val="004A7115"/>
    <w:rPr>
      <w:b/>
      <w:bCs/>
    </w:rPr>
  </w:style>
  <w:style w:type="character" w:customStyle="1" w:styleId="CommentSubjectChar">
    <w:name w:val="Comment Subject Char"/>
    <w:basedOn w:val="CommentTextChar"/>
    <w:link w:val="CommentSubject"/>
    <w:uiPriority w:val="99"/>
    <w:semiHidden/>
    <w:rsid w:val="004A7115"/>
    <w:rPr>
      <w:b/>
      <w:bCs/>
      <w:sz w:val="20"/>
      <w:szCs w:val="20"/>
    </w:rPr>
  </w:style>
  <w:style w:type="paragraph" w:styleId="BalloonText">
    <w:name w:val="Balloon Text"/>
    <w:basedOn w:val="Normal"/>
    <w:link w:val="BalloonTextChar"/>
    <w:uiPriority w:val="99"/>
    <w:semiHidden/>
    <w:unhideWhenUsed/>
    <w:rsid w:val="004A7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115"/>
    <w:rPr>
      <w:rFonts w:ascii="Segoe UI" w:hAnsi="Segoe UI" w:cs="Segoe UI"/>
      <w:sz w:val="18"/>
      <w:szCs w:val="18"/>
    </w:rPr>
  </w:style>
  <w:style w:type="table" w:styleId="TableGrid">
    <w:name w:val="Table Grid"/>
    <w:basedOn w:val="TableNormal"/>
    <w:uiPriority w:val="59"/>
    <w:rsid w:val="004A7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7212">
      <w:bodyDiv w:val="1"/>
      <w:marLeft w:val="0"/>
      <w:marRight w:val="0"/>
      <w:marTop w:val="0"/>
      <w:marBottom w:val="0"/>
      <w:divBdr>
        <w:top w:val="none" w:sz="0" w:space="0" w:color="auto"/>
        <w:left w:val="none" w:sz="0" w:space="0" w:color="auto"/>
        <w:bottom w:val="none" w:sz="0" w:space="0" w:color="auto"/>
        <w:right w:val="none" w:sz="0" w:space="0" w:color="auto"/>
      </w:divBdr>
      <w:divsChild>
        <w:div w:id="568459784">
          <w:marLeft w:val="0"/>
          <w:marRight w:val="0"/>
          <w:marTop w:val="0"/>
          <w:marBottom w:val="0"/>
          <w:divBdr>
            <w:top w:val="none" w:sz="0" w:space="0" w:color="auto"/>
            <w:left w:val="none" w:sz="0" w:space="0" w:color="auto"/>
            <w:bottom w:val="none" w:sz="0" w:space="0" w:color="auto"/>
            <w:right w:val="none" w:sz="0" w:space="0" w:color="auto"/>
          </w:divBdr>
          <w:divsChild>
            <w:div w:id="9696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Wyper</dc:creator>
  <cp:lastModifiedBy>Grant Wyper</cp:lastModifiedBy>
  <cp:revision>2</cp:revision>
  <dcterms:created xsi:type="dcterms:W3CDTF">2019-02-13T11:05:00Z</dcterms:created>
  <dcterms:modified xsi:type="dcterms:W3CDTF">2019-02-13T11:05:00Z</dcterms:modified>
</cp:coreProperties>
</file>