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81" w:rsidRDefault="00892481">
      <w:pPr>
        <w:pStyle w:val="Heading1"/>
      </w:pPr>
      <w:r>
        <w:t>ABOUT MORTALITY DATA FOR SCOTLAND</w:t>
      </w:r>
    </w:p>
    <w:p w:rsidR="00892481" w:rsidRDefault="00892481">
      <w:pPr>
        <w:rPr>
          <w:rFonts w:ascii="Arial" w:hAnsi="Arial"/>
        </w:rPr>
      </w:pPr>
      <w:r>
        <w:rPr>
          <w:rFonts w:ascii="Arial" w:hAnsi="Arial"/>
        </w:rPr>
        <w:t>By Domantas Jasilionis</w:t>
      </w:r>
      <w:r>
        <w:rPr>
          <w:rFonts w:ascii="Arial" w:hAnsi="Arial"/>
        </w:rPr>
        <w:tab/>
      </w:r>
      <w:r>
        <w:rPr>
          <w:rFonts w:ascii="Arial" w:hAnsi="Arial"/>
        </w:rPr>
        <w:tab/>
      </w:r>
      <w:r>
        <w:rPr>
          <w:rFonts w:ascii="Arial" w:hAnsi="Arial"/>
        </w:rPr>
        <w:tab/>
        <w:t xml:space="preserve">Last Revised: </w:t>
      </w:r>
      <w:r w:rsidR="00143BAD">
        <w:rPr>
          <w:rFonts w:ascii="Arial" w:hAnsi="Arial"/>
        </w:rPr>
        <w:t>26 April</w:t>
      </w:r>
      <w:r>
        <w:rPr>
          <w:rFonts w:ascii="Arial" w:hAnsi="Arial"/>
        </w:rPr>
        <w:t xml:space="preserve"> 201</w:t>
      </w:r>
      <w:r w:rsidR="00143BAD">
        <w:rPr>
          <w:rFonts w:ascii="Arial" w:hAnsi="Arial"/>
        </w:rPr>
        <w:t>3</w:t>
      </w:r>
    </w:p>
    <w:p w:rsidR="00892481" w:rsidRDefault="00892481">
      <w:pPr>
        <w:pStyle w:val="Heading1"/>
        <w:jc w:val="both"/>
      </w:pPr>
    </w:p>
    <w:p w:rsidR="00892481" w:rsidRDefault="00892481">
      <w:pPr>
        <w:rPr>
          <w:rFonts w:ascii="Arial" w:hAnsi="Arial"/>
        </w:rPr>
      </w:pPr>
    </w:p>
    <w:p w:rsidR="00892481" w:rsidRDefault="00892481">
      <w:pPr>
        <w:autoSpaceDE w:val="0"/>
        <w:autoSpaceDN w:val="0"/>
        <w:adjustRightInd w:val="0"/>
        <w:jc w:val="both"/>
        <w:rPr>
          <w:rFonts w:ascii="Arial" w:hAnsi="Arial"/>
        </w:rPr>
      </w:pPr>
      <w:r>
        <w:rPr>
          <w:rFonts w:ascii="Arial" w:hAnsi="Arial"/>
        </w:rPr>
        <w:t xml:space="preserve">We are still working on the </w:t>
      </w:r>
      <w:r>
        <w:rPr>
          <w:rFonts w:ascii="Arial" w:hAnsi="Arial"/>
          <w:i/>
        </w:rPr>
        <w:t xml:space="preserve">Background and Documentation </w:t>
      </w:r>
      <w:r>
        <w:rPr>
          <w:rFonts w:ascii="Arial" w:hAnsi="Arial"/>
        </w:rPr>
        <w:t>file for Scotland. For a description of the original data used to estimate the mortality surface for Scotland, see Appendix 1.</w:t>
      </w:r>
    </w:p>
    <w:p w:rsidR="00892481" w:rsidRDefault="00892481">
      <w:pPr>
        <w:rPr>
          <w:rFonts w:ascii="Arial" w:hAnsi="Arial"/>
        </w:rPr>
      </w:pPr>
    </w:p>
    <w:p w:rsidR="00892481" w:rsidRDefault="00892481">
      <w:pPr>
        <w:rPr>
          <w:rFonts w:ascii="Arial" w:hAnsi="Arial"/>
        </w:rPr>
      </w:pPr>
    </w:p>
    <w:p w:rsidR="00892481" w:rsidRDefault="00892481">
      <w:pPr>
        <w:pStyle w:val="Heading2"/>
      </w:pPr>
      <w:r>
        <w:t>DATA QUALITY ISSUES</w:t>
      </w:r>
    </w:p>
    <w:p w:rsidR="00892481" w:rsidRDefault="00892481">
      <w:pPr>
        <w:pStyle w:val="PlainText"/>
        <w:jc w:val="both"/>
        <w:rPr>
          <w:rFonts w:ascii="Arial" w:hAnsi="Arial"/>
        </w:rPr>
      </w:pPr>
      <w:r>
        <w:rPr>
          <w:rFonts w:ascii="Arial" w:hAnsi="Arial"/>
        </w:rPr>
        <w:t xml:space="preserve">For the period around the two world wars, population estimates and death counts provided by the General Register Office cover the civilian population only. During World War I and World War II, the male population exhibits a sudden decline because the military is not included. There is a corresponding increase in the male population during the first post-war years due to demobilization. </w:t>
      </w:r>
    </w:p>
    <w:p w:rsidR="00892481" w:rsidRDefault="00892481">
      <w:pPr>
        <w:pStyle w:val="PlainText"/>
        <w:jc w:val="both"/>
        <w:rPr>
          <w:rFonts w:ascii="Arial" w:hAnsi="Arial"/>
        </w:rPr>
      </w:pPr>
    </w:p>
    <w:p w:rsidR="00892481" w:rsidRDefault="00892481">
      <w:pPr>
        <w:pStyle w:val="PlainText"/>
        <w:jc w:val="both"/>
        <w:rPr>
          <w:rFonts w:ascii="Arial" w:hAnsi="Arial"/>
        </w:rPr>
      </w:pPr>
      <w:r>
        <w:rPr>
          <w:rFonts w:ascii="Arial" w:hAnsi="Arial"/>
        </w:rPr>
        <w:t>Population estimates for the period around World War I are available by five</w:t>
      </w:r>
      <w:r>
        <w:rPr>
          <w:rFonts w:ascii="Arial" w:hAnsi="Arial"/>
        </w:rPr>
        <w:noBreakHyphen/>
        <w:t xml:space="preserve">year age groups only. Unfortunately, the standard HMD method for splitting such data into single years of age does not work well due to the irregular implicit migration pattern. The following special procedure has been applied. First, the standard HMD method was applied to split the 1911 and 1921 census data into single years of age data. Next, a modified spline method was used to split population estimates data for the periods 1911-1921, 1921-1931, and 1931-1938. The same method has been used for England </w:t>
      </w:r>
      <w:r>
        <w:rPr>
          <w:rFonts w:ascii="Arial" w:hAnsi="Arial"/>
          <w:lang w:val="en-US"/>
        </w:rPr>
        <w:t xml:space="preserve">&amp; Wales. </w:t>
      </w:r>
      <w:proofErr w:type="spellStart"/>
      <w:r>
        <w:rPr>
          <w:rFonts w:ascii="Arial" w:hAnsi="Arial"/>
          <w:lang w:val="en-US"/>
        </w:rPr>
        <w:t>Fo</w:t>
      </w:r>
      <w:proofErr w:type="spellEnd"/>
      <w:r>
        <w:rPr>
          <w:rFonts w:ascii="Arial" w:hAnsi="Arial"/>
        </w:rPr>
        <w:t xml:space="preserve">r a detailed description of the method, see the </w:t>
      </w:r>
      <w:r w:rsidRPr="00143BAD">
        <w:rPr>
          <w:rFonts w:ascii="Arial" w:hAnsi="Arial"/>
          <w:i/>
        </w:rPr>
        <w:t>Background &amp; Documentation</w:t>
      </w:r>
      <w:r>
        <w:rPr>
          <w:rFonts w:ascii="Arial" w:hAnsi="Arial"/>
        </w:rPr>
        <w:t xml:space="preserve"> file for the Civilian Population of England &amp; Wales (Appendix 2). </w:t>
      </w:r>
    </w:p>
    <w:p w:rsidR="00892481" w:rsidRDefault="00892481">
      <w:pPr>
        <w:pStyle w:val="PlainText"/>
        <w:jc w:val="both"/>
        <w:rPr>
          <w:rFonts w:ascii="Arial" w:hAnsi="Arial"/>
          <w:lang w:val="en-US"/>
        </w:rPr>
      </w:pPr>
    </w:p>
    <w:p w:rsidR="00892481" w:rsidRDefault="00892481">
      <w:pPr>
        <w:pStyle w:val="PlainText"/>
        <w:jc w:val="both"/>
        <w:rPr>
          <w:rFonts w:ascii="Arial" w:hAnsi="Arial"/>
          <w:lang w:val="en-US"/>
        </w:rPr>
      </w:pPr>
      <w:r>
        <w:rPr>
          <w:rFonts w:ascii="Arial" w:hAnsi="Arial"/>
          <w:lang w:val="en-US"/>
        </w:rPr>
        <w:t>Population estimates for the period 1855-1860 are pre-</w:t>
      </w:r>
      <w:proofErr w:type="spellStart"/>
      <w:r>
        <w:rPr>
          <w:rFonts w:ascii="Arial" w:hAnsi="Arial"/>
          <w:lang w:val="en-US"/>
        </w:rPr>
        <w:t>censal</w:t>
      </w:r>
      <w:proofErr w:type="spellEnd"/>
      <w:r>
        <w:rPr>
          <w:rFonts w:ascii="Arial" w:hAnsi="Arial"/>
          <w:lang w:val="en-US"/>
        </w:rPr>
        <w:t xml:space="preserve"> population estimates calculated according to the HMD methodology (assuming zero net</w:t>
      </w:r>
      <w:r>
        <w:rPr>
          <w:rFonts w:ascii="Arial" w:hAnsi="Arial"/>
          <w:lang w:val="en-US"/>
        </w:rPr>
        <w:noBreakHyphen/>
        <w:t xml:space="preserve">migration). In addition, life expectancies at ages 65 and 80 seem to be unreasonably high (if compared to Sweden) at least until the mid-1870s (Appendix 2, Figure 1). </w:t>
      </w:r>
    </w:p>
    <w:p w:rsidR="00892481" w:rsidRDefault="00892481">
      <w:pPr>
        <w:pStyle w:val="PlainText"/>
        <w:jc w:val="both"/>
        <w:rPr>
          <w:rFonts w:ascii="Arial" w:hAnsi="Arial"/>
          <w:lang w:val="en-US"/>
        </w:rPr>
      </w:pPr>
    </w:p>
    <w:p w:rsidR="00143BAD" w:rsidRPr="00397EF2" w:rsidRDefault="00143BAD" w:rsidP="00143BAD">
      <w:pPr>
        <w:pStyle w:val="PlainText"/>
        <w:jc w:val="both"/>
        <w:rPr>
          <w:rFonts w:ascii="Arial" w:hAnsi="Arial" w:cs="Arial"/>
          <w:lang w:val="en-US"/>
        </w:rPr>
      </w:pPr>
      <w:r w:rsidRPr="00397EF2">
        <w:rPr>
          <w:rFonts w:ascii="Arial" w:hAnsi="Arial" w:cs="Arial"/>
          <w:lang w:val="en-US"/>
        </w:rPr>
        <w:t>The population estimates for 2001-2011 are post-</w:t>
      </w:r>
      <w:proofErr w:type="spellStart"/>
      <w:r w:rsidRPr="00397EF2">
        <w:rPr>
          <w:rFonts w:ascii="Arial" w:hAnsi="Arial" w:cs="Arial"/>
          <w:lang w:val="en-US"/>
        </w:rPr>
        <w:t>censal</w:t>
      </w:r>
      <w:proofErr w:type="spellEnd"/>
      <w:r w:rsidRPr="00397EF2">
        <w:rPr>
          <w:rFonts w:ascii="Arial" w:hAnsi="Arial" w:cs="Arial"/>
          <w:lang w:val="en-US"/>
        </w:rPr>
        <w:t xml:space="preserve"> estimates based on the 2001 census data. </w:t>
      </w:r>
      <w:r w:rsidR="00FF1AA0" w:rsidRPr="00397EF2">
        <w:rPr>
          <w:rFonts w:ascii="Arial" w:hAnsi="Arial" w:cs="Arial"/>
          <w:lang w:val="en-US"/>
        </w:rPr>
        <w:t>For the years 2003-2006, t</w:t>
      </w:r>
      <w:r w:rsidRPr="00397EF2">
        <w:rPr>
          <w:rFonts w:ascii="Arial" w:hAnsi="Arial" w:cs="Arial"/>
          <w:lang w:val="en-US"/>
        </w:rPr>
        <w:t>hese post-</w:t>
      </w:r>
      <w:proofErr w:type="spellStart"/>
      <w:r w:rsidRPr="00397EF2">
        <w:rPr>
          <w:rFonts w:ascii="Arial" w:hAnsi="Arial" w:cs="Arial"/>
          <w:lang w:val="en-US"/>
        </w:rPr>
        <w:t>censal</w:t>
      </w:r>
      <w:proofErr w:type="spellEnd"/>
      <w:r w:rsidRPr="00397EF2">
        <w:rPr>
          <w:rFonts w:ascii="Arial" w:hAnsi="Arial" w:cs="Arial"/>
          <w:lang w:val="en-US"/>
        </w:rPr>
        <w:t xml:space="preserve"> population estimates were adjusted</w:t>
      </w:r>
      <w:r w:rsidR="00FF1AA0" w:rsidRPr="00397EF2">
        <w:rPr>
          <w:rFonts w:ascii="Arial" w:hAnsi="Arial" w:cs="Arial"/>
          <w:lang w:val="en-US"/>
        </w:rPr>
        <w:t xml:space="preserve"> by the </w:t>
      </w:r>
      <w:r w:rsidR="00397EF2">
        <w:rPr>
          <w:rFonts w:ascii="Arial" w:hAnsi="Arial" w:cs="Arial"/>
          <w:lang w:val="en-US"/>
        </w:rPr>
        <w:t>General Register Office for Scotland</w:t>
      </w:r>
      <w:r w:rsidRPr="00397EF2">
        <w:rPr>
          <w:rFonts w:ascii="Arial" w:hAnsi="Arial" w:cs="Arial"/>
          <w:lang w:val="en-US"/>
        </w:rPr>
        <w:t xml:space="preserve"> to include unregistered immigration using special methods and data sources. During the period 2001-2011 the U</w:t>
      </w:r>
      <w:r w:rsidR="00FF1AA0" w:rsidRPr="00397EF2">
        <w:rPr>
          <w:rFonts w:ascii="Arial" w:hAnsi="Arial" w:cs="Arial"/>
          <w:lang w:val="en-US"/>
        </w:rPr>
        <w:t>.</w:t>
      </w:r>
      <w:r w:rsidRPr="00397EF2">
        <w:rPr>
          <w:rFonts w:ascii="Arial" w:hAnsi="Arial" w:cs="Arial"/>
          <w:lang w:val="en-US"/>
        </w:rPr>
        <w:t>K</w:t>
      </w:r>
      <w:r w:rsidR="00FF1AA0" w:rsidRPr="00397EF2">
        <w:rPr>
          <w:rFonts w:ascii="Arial" w:hAnsi="Arial" w:cs="Arial"/>
          <w:lang w:val="en-US"/>
        </w:rPr>
        <w:t>.</w:t>
      </w:r>
      <w:r w:rsidRPr="00397EF2">
        <w:rPr>
          <w:rFonts w:ascii="Arial" w:hAnsi="Arial" w:cs="Arial"/>
          <w:lang w:val="en-US"/>
        </w:rPr>
        <w:t xml:space="preserve"> experienced large immigration</w:t>
      </w:r>
      <w:r w:rsidR="00242E45" w:rsidRPr="00397EF2">
        <w:rPr>
          <w:rFonts w:ascii="Arial" w:hAnsi="Arial" w:cs="Arial"/>
          <w:lang w:val="en-US"/>
        </w:rPr>
        <w:t xml:space="preserve"> flows</w:t>
      </w:r>
      <w:r w:rsidRPr="00397EF2">
        <w:rPr>
          <w:rFonts w:ascii="Arial" w:hAnsi="Arial" w:cs="Arial"/>
          <w:lang w:val="en-US"/>
        </w:rPr>
        <w:t xml:space="preserve"> which w</w:t>
      </w:r>
      <w:r w:rsidR="00242E45" w:rsidRPr="00397EF2">
        <w:rPr>
          <w:rFonts w:ascii="Arial" w:hAnsi="Arial" w:cs="Arial"/>
          <w:lang w:val="en-US"/>
        </w:rPr>
        <w:t xml:space="preserve">ere </w:t>
      </w:r>
      <w:r w:rsidRPr="00397EF2">
        <w:rPr>
          <w:rFonts w:ascii="Arial" w:hAnsi="Arial" w:cs="Arial"/>
          <w:lang w:val="en-US"/>
        </w:rPr>
        <w:t xml:space="preserve">partly unaccounted for by the official statistics (see </w:t>
      </w:r>
      <w:r w:rsidR="009745B6" w:rsidRPr="00397EF2">
        <w:rPr>
          <w:rFonts w:ascii="Arial" w:hAnsi="Arial" w:cs="Arial"/>
          <w:i/>
          <w:lang w:val="en-US"/>
        </w:rPr>
        <w:t>Background and Documentation file for England and Wales Total population</w:t>
      </w:r>
      <w:r w:rsidRPr="00397EF2">
        <w:rPr>
          <w:rFonts w:ascii="Arial" w:hAnsi="Arial" w:cs="Arial"/>
          <w:lang w:val="en-US"/>
        </w:rPr>
        <w:t xml:space="preserve">). At the </w:t>
      </w:r>
      <w:r w:rsidR="00FF1AA0" w:rsidRPr="00397EF2">
        <w:rPr>
          <w:rFonts w:ascii="Arial" w:hAnsi="Arial" w:cs="Arial"/>
          <w:lang w:val="en-US"/>
        </w:rPr>
        <w:t xml:space="preserve">time </w:t>
      </w:r>
      <w:r w:rsidRPr="00397EF2">
        <w:rPr>
          <w:rFonts w:ascii="Arial" w:hAnsi="Arial" w:cs="Arial"/>
          <w:lang w:val="en-US"/>
        </w:rPr>
        <w:t xml:space="preserve">of the current update, the GRO Scotland and the ONS </w:t>
      </w:r>
      <w:r w:rsidR="00FF1AA0" w:rsidRPr="00397EF2">
        <w:rPr>
          <w:rFonts w:ascii="Arial" w:hAnsi="Arial" w:cs="Arial"/>
          <w:lang w:val="en-US"/>
        </w:rPr>
        <w:t xml:space="preserve">have </w:t>
      </w:r>
      <w:r w:rsidRPr="00397EF2">
        <w:rPr>
          <w:rFonts w:ascii="Arial" w:hAnsi="Arial" w:cs="Arial"/>
          <w:lang w:val="en-US"/>
        </w:rPr>
        <w:t>not published revised inter-</w:t>
      </w:r>
      <w:proofErr w:type="spellStart"/>
      <w:r w:rsidRPr="00397EF2">
        <w:rPr>
          <w:rFonts w:ascii="Arial" w:hAnsi="Arial" w:cs="Arial"/>
          <w:lang w:val="en-US"/>
        </w:rPr>
        <w:t>censal</w:t>
      </w:r>
      <w:proofErr w:type="spellEnd"/>
      <w:r w:rsidRPr="00397EF2">
        <w:rPr>
          <w:rFonts w:ascii="Arial" w:hAnsi="Arial" w:cs="Arial"/>
          <w:lang w:val="en-US"/>
        </w:rPr>
        <w:t xml:space="preserve"> population estimates based on the 2011 census. </w:t>
      </w:r>
    </w:p>
    <w:p w:rsidR="00143BAD" w:rsidRDefault="00143BAD">
      <w:pPr>
        <w:pStyle w:val="PlainText"/>
        <w:jc w:val="both"/>
        <w:rPr>
          <w:rFonts w:ascii="Arial" w:hAnsi="Arial"/>
          <w:lang w:val="en-US"/>
        </w:rPr>
      </w:pPr>
    </w:p>
    <w:p w:rsidR="00892481" w:rsidRDefault="00892481">
      <w:pPr>
        <w:pStyle w:val="PreformattedText"/>
        <w:jc w:val="both"/>
        <w:rPr>
          <w:rFonts w:ascii="Arial" w:hAnsi="Arial"/>
          <w:sz w:val="24"/>
        </w:rPr>
      </w:pPr>
      <w:r>
        <w:rPr>
          <w:rFonts w:ascii="Arial" w:hAnsi="Arial"/>
          <w:sz w:val="24"/>
        </w:rPr>
        <w:t>The compulsory registration of births began on July 1</w:t>
      </w:r>
      <w:r w:rsidRPr="00143BAD">
        <w:rPr>
          <w:rFonts w:ascii="Arial" w:hAnsi="Arial"/>
          <w:sz w:val="24"/>
          <w:vertAlign w:val="superscript"/>
        </w:rPr>
        <w:t>st</w:t>
      </w:r>
      <w:r>
        <w:rPr>
          <w:rFonts w:ascii="Arial" w:hAnsi="Arial"/>
          <w:sz w:val="24"/>
        </w:rPr>
        <w:t>, 1837. However, according to the U.K. Office for National Statistics (ONS) birth registration was incomplete until 1874.</w:t>
      </w:r>
    </w:p>
    <w:p w:rsidR="00892481" w:rsidRDefault="00892481">
      <w:pPr>
        <w:pStyle w:val="PlainText"/>
        <w:jc w:val="both"/>
        <w:rPr>
          <w:rFonts w:ascii="Arial" w:hAnsi="Arial"/>
          <w:lang w:val="en-US"/>
        </w:rPr>
      </w:pPr>
    </w:p>
    <w:p w:rsidR="00892481" w:rsidRDefault="00892481">
      <w:pPr>
        <w:pStyle w:val="Default"/>
        <w:jc w:val="both"/>
      </w:pPr>
      <w:r>
        <w:t xml:space="preserve">Therefore, the quality of the data for 1855-1875 is assumed to be lower than in later years and should be used with caution. </w:t>
      </w:r>
    </w:p>
    <w:p w:rsidR="00892481" w:rsidRDefault="00892481">
      <w:pPr>
        <w:pStyle w:val="Heading2"/>
        <w:spacing w:before="0" w:line="240" w:lineRule="auto"/>
        <w:rPr>
          <w:highlight w:val="green"/>
          <w:lang w:val="en-US"/>
        </w:rPr>
      </w:pPr>
    </w:p>
    <w:p w:rsidR="00892481" w:rsidRDefault="00892481">
      <w:pPr>
        <w:pStyle w:val="Heading2"/>
        <w:spacing w:before="0" w:line="240" w:lineRule="auto"/>
        <w:rPr>
          <w:highlight w:val="green"/>
          <w:lang w:val="en-US"/>
        </w:rPr>
      </w:pPr>
    </w:p>
    <w:p w:rsidR="00892481" w:rsidRDefault="00892481">
      <w:pPr>
        <w:pStyle w:val="Heading2"/>
        <w:rPr>
          <w:lang w:val="en-US"/>
        </w:rPr>
      </w:pPr>
      <w:r>
        <w:rPr>
          <w:lang w:val="en-US"/>
        </w:rPr>
        <w:t>ACKNOWLEDGEMENTS</w:t>
      </w:r>
    </w:p>
    <w:p w:rsidR="00892481" w:rsidRDefault="00892481">
      <w:pPr>
        <w:autoSpaceDE w:val="0"/>
        <w:autoSpaceDN w:val="0"/>
        <w:adjustRightInd w:val="0"/>
        <w:jc w:val="both"/>
        <w:rPr>
          <w:rFonts w:ascii="Arial" w:hAnsi="Arial"/>
          <w:snapToGrid w:val="0"/>
        </w:rPr>
      </w:pPr>
      <w:r>
        <w:rPr>
          <w:rFonts w:ascii="Arial" w:hAnsi="Arial"/>
          <w:snapToGrid w:val="0"/>
        </w:rPr>
        <w:t xml:space="preserve">We would like to thank Frank Dixon and </w:t>
      </w:r>
      <w:r>
        <w:rPr>
          <w:rFonts w:ascii="Arial" w:hAnsi="Arial"/>
        </w:rPr>
        <w:t xml:space="preserve">Ian Brown </w:t>
      </w:r>
      <w:r>
        <w:rPr>
          <w:rFonts w:ascii="Arial" w:hAnsi="Arial"/>
          <w:snapToGrid w:val="0"/>
        </w:rPr>
        <w:t xml:space="preserve">at the General Register Office for Scotland for their assistance in compiling these data. </w:t>
      </w:r>
      <w:r>
        <w:rPr>
          <w:rFonts w:ascii="Arial" w:hAnsi="Arial"/>
        </w:rPr>
        <w:t>We are also very grateful to James Oeppen (Max Planck Institute for Demographic Research) for his expert advice on the data for Scotland</w:t>
      </w:r>
    </w:p>
    <w:p w:rsidR="00892481" w:rsidRDefault="00892481">
      <w:pPr>
        <w:pStyle w:val="Heading1"/>
        <w:spacing w:before="120"/>
        <w:rPr>
          <w:snapToGrid w:val="0"/>
        </w:rPr>
      </w:pPr>
      <w:r>
        <w:br w:type="page"/>
      </w:r>
      <w:r>
        <w:rPr>
          <w:snapToGrid w:val="0"/>
        </w:rPr>
        <w:lastRenderedPageBreak/>
        <w:t>APPENDIX 1:</w:t>
      </w:r>
    </w:p>
    <w:p w:rsidR="00892481" w:rsidRDefault="00892481">
      <w:pPr>
        <w:pStyle w:val="Heading1"/>
        <w:spacing w:before="120"/>
      </w:pPr>
      <w:r>
        <w:t xml:space="preserve">DESCRIPTION OF DATA USED FOR LEXIS DATABASE </w:t>
      </w:r>
    </w:p>
    <w:p w:rsidR="00892481" w:rsidRDefault="00892481">
      <w:pPr>
        <w:spacing w:before="100" w:after="100"/>
      </w:pPr>
    </w:p>
    <w:p w:rsidR="00892481" w:rsidRDefault="00892481">
      <w:pPr>
        <w:pStyle w:val="Heading2"/>
        <w:rPr>
          <w:lang w:val="en-US"/>
        </w:rPr>
      </w:pPr>
      <w:r>
        <w:rPr>
          <w:lang w:val="en-US"/>
        </w:rPr>
        <w:t>DEATHS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402"/>
        <w:gridCol w:w="2835"/>
        <w:gridCol w:w="1276"/>
      </w:tblGrid>
      <w:tr w:rsidR="00892481">
        <w:tc>
          <w:tcPr>
            <w:tcW w:w="1526" w:type="dxa"/>
          </w:tcPr>
          <w:p w:rsidR="00892481" w:rsidRDefault="00892481">
            <w:pPr>
              <w:spacing w:before="100" w:after="100"/>
              <w:jc w:val="center"/>
              <w:rPr>
                <w:rFonts w:ascii="Arial" w:hAnsi="Arial"/>
                <w:b/>
                <w:sz w:val="20"/>
              </w:rPr>
            </w:pPr>
            <w:r>
              <w:rPr>
                <w:rFonts w:ascii="Arial" w:hAnsi="Arial"/>
                <w:b/>
                <w:sz w:val="20"/>
              </w:rPr>
              <w:t>Period</w:t>
            </w:r>
          </w:p>
        </w:tc>
        <w:tc>
          <w:tcPr>
            <w:tcW w:w="3402" w:type="dxa"/>
          </w:tcPr>
          <w:p w:rsidR="00892481" w:rsidRDefault="00892481">
            <w:pPr>
              <w:spacing w:before="100" w:after="100"/>
              <w:jc w:val="center"/>
              <w:rPr>
                <w:rFonts w:ascii="Arial" w:hAnsi="Arial"/>
                <w:b/>
                <w:sz w:val="20"/>
              </w:rPr>
            </w:pPr>
            <w:r>
              <w:rPr>
                <w:rFonts w:ascii="Arial" w:hAnsi="Arial"/>
                <w:b/>
                <w:sz w:val="20"/>
              </w:rPr>
              <w:t>Type of Data</w:t>
            </w:r>
          </w:p>
        </w:tc>
        <w:tc>
          <w:tcPr>
            <w:tcW w:w="2835" w:type="dxa"/>
          </w:tcPr>
          <w:p w:rsidR="00892481" w:rsidRDefault="00892481">
            <w:pPr>
              <w:spacing w:before="100" w:after="100"/>
              <w:jc w:val="center"/>
              <w:rPr>
                <w:rFonts w:ascii="Arial" w:hAnsi="Arial"/>
                <w:b/>
                <w:sz w:val="20"/>
              </w:rPr>
            </w:pPr>
            <w:r>
              <w:rPr>
                <w:rFonts w:ascii="Arial" w:hAnsi="Arial"/>
                <w:b/>
                <w:sz w:val="20"/>
              </w:rPr>
              <w:t>Age grouping</w:t>
            </w:r>
          </w:p>
        </w:tc>
        <w:tc>
          <w:tcPr>
            <w:tcW w:w="1276" w:type="dxa"/>
          </w:tcPr>
          <w:p w:rsidR="00892481" w:rsidRDefault="00892481">
            <w:pPr>
              <w:spacing w:before="100" w:after="100"/>
              <w:jc w:val="center"/>
              <w:rPr>
                <w:rFonts w:ascii="Arial" w:hAnsi="Arial"/>
                <w:b/>
                <w:sz w:val="20"/>
              </w:rPr>
            </w:pPr>
            <w:proofErr w:type="spellStart"/>
            <w:r>
              <w:rPr>
                <w:rFonts w:ascii="Arial" w:hAnsi="Arial"/>
                <w:b/>
                <w:sz w:val="20"/>
              </w:rPr>
              <w:t>RefCode</w:t>
            </w:r>
            <w:proofErr w:type="spellEnd"/>
          </w:p>
        </w:tc>
      </w:tr>
      <w:tr w:rsidR="00892481">
        <w:tc>
          <w:tcPr>
            <w:tcW w:w="1526" w:type="dxa"/>
          </w:tcPr>
          <w:p w:rsidR="00892481" w:rsidRDefault="00892481">
            <w:pPr>
              <w:spacing w:before="100" w:after="100"/>
              <w:rPr>
                <w:rFonts w:ascii="Arial" w:hAnsi="Arial"/>
                <w:sz w:val="20"/>
              </w:rPr>
            </w:pPr>
            <w:r>
              <w:rPr>
                <w:rFonts w:ascii="Arial" w:hAnsi="Arial"/>
                <w:sz w:val="20"/>
              </w:rPr>
              <w:t>1855-1962</w:t>
            </w:r>
          </w:p>
        </w:tc>
        <w:tc>
          <w:tcPr>
            <w:tcW w:w="3402" w:type="dxa"/>
          </w:tcPr>
          <w:p w:rsidR="00892481" w:rsidRDefault="00892481">
            <w:pPr>
              <w:spacing w:before="100" w:after="100"/>
              <w:rPr>
                <w:rFonts w:ascii="Arial" w:hAnsi="Arial"/>
                <w:sz w:val="20"/>
              </w:rPr>
            </w:pPr>
            <w:r>
              <w:rPr>
                <w:rFonts w:ascii="Arial" w:hAnsi="Arial"/>
                <w:sz w:val="20"/>
              </w:rPr>
              <w:t xml:space="preserve">Annual number of deaths to the </w:t>
            </w:r>
            <w:r>
              <w:rPr>
                <w:rFonts w:ascii="Arial" w:hAnsi="Arial"/>
                <w:i/>
                <w:sz w:val="20"/>
              </w:rPr>
              <w:t>de facto</w:t>
            </w:r>
            <w:r>
              <w:rPr>
                <w:rFonts w:ascii="Arial" w:hAnsi="Arial"/>
                <w:sz w:val="20"/>
              </w:rPr>
              <w:t xml:space="preserve"> population, by sex and age groups (</w:t>
            </w:r>
            <w:r>
              <w:rPr>
                <w:rFonts w:ascii="Arial" w:hAnsi="Arial"/>
                <w:i/>
                <w:sz w:val="20"/>
              </w:rPr>
              <w:t>n</w:t>
            </w:r>
            <w:r>
              <w:rPr>
                <w:rFonts w:ascii="Arial" w:hAnsi="Arial"/>
                <w:sz w:val="20"/>
              </w:rPr>
              <w:t>x1 rectangles)</w:t>
            </w:r>
          </w:p>
        </w:tc>
        <w:tc>
          <w:tcPr>
            <w:tcW w:w="2835" w:type="dxa"/>
          </w:tcPr>
          <w:p w:rsidR="00892481" w:rsidRDefault="00892481">
            <w:pPr>
              <w:spacing w:before="100" w:after="100"/>
              <w:rPr>
                <w:rFonts w:ascii="Arial" w:hAnsi="Arial"/>
                <w:sz w:val="20"/>
              </w:rPr>
            </w:pPr>
            <w:r>
              <w:rPr>
                <w:rFonts w:ascii="Arial" w:hAnsi="Arial"/>
                <w:sz w:val="20"/>
              </w:rPr>
              <w:t>0, 1, 2, 3, 4, 5-9, …, 100+, unknown</w:t>
            </w:r>
          </w:p>
        </w:tc>
        <w:tc>
          <w:tcPr>
            <w:tcW w:w="1276" w:type="dxa"/>
          </w:tcPr>
          <w:p w:rsidR="00892481" w:rsidRDefault="00892481">
            <w:pPr>
              <w:spacing w:before="100" w:after="100"/>
              <w:rPr>
                <w:rFonts w:ascii="Arial" w:hAnsi="Arial"/>
                <w:sz w:val="20"/>
              </w:rPr>
            </w:pPr>
            <w:r>
              <w:rPr>
                <w:rFonts w:ascii="Arial" w:hAnsi="Arial"/>
                <w:sz w:val="20"/>
              </w:rPr>
              <w:t>2</w:t>
            </w:r>
          </w:p>
        </w:tc>
      </w:tr>
      <w:tr w:rsidR="00892481">
        <w:tc>
          <w:tcPr>
            <w:tcW w:w="1526" w:type="dxa"/>
          </w:tcPr>
          <w:p w:rsidR="00892481" w:rsidRPr="00397EF2" w:rsidRDefault="00892481" w:rsidP="00143BAD">
            <w:pPr>
              <w:spacing w:before="100" w:after="100"/>
              <w:rPr>
                <w:rFonts w:ascii="Arial" w:hAnsi="Arial"/>
                <w:sz w:val="20"/>
              </w:rPr>
            </w:pPr>
            <w:r w:rsidRPr="00397EF2">
              <w:rPr>
                <w:rFonts w:ascii="Arial" w:hAnsi="Arial"/>
                <w:sz w:val="20"/>
              </w:rPr>
              <w:t>1963-20</w:t>
            </w:r>
            <w:r w:rsidR="00143BAD" w:rsidRPr="00397EF2">
              <w:rPr>
                <w:rFonts w:ascii="Arial" w:hAnsi="Arial"/>
                <w:sz w:val="20"/>
              </w:rPr>
              <w:t>11</w:t>
            </w:r>
            <w:r w:rsidRPr="00397EF2">
              <w:rPr>
                <w:rFonts w:ascii="Arial" w:hAnsi="Arial"/>
                <w:sz w:val="20"/>
              </w:rPr>
              <w:br/>
            </w:r>
          </w:p>
        </w:tc>
        <w:tc>
          <w:tcPr>
            <w:tcW w:w="3402" w:type="dxa"/>
          </w:tcPr>
          <w:p w:rsidR="00892481" w:rsidRPr="00397EF2" w:rsidRDefault="00892481">
            <w:pPr>
              <w:spacing w:before="100" w:after="100"/>
              <w:rPr>
                <w:rFonts w:ascii="Arial" w:hAnsi="Arial"/>
                <w:sz w:val="20"/>
              </w:rPr>
            </w:pPr>
            <w:r w:rsidRPr="00397EF2">
              <w:rPr>
                <w:rFonts w:ascii="Arial" w:hAnsi="Arial"/>
                <w:sz w:val="20"/>
              </w:rPr>
              <w:t xml:space="preserve">Annual number of deaths to the </w:t>
            </w:r>
            <w:r w:rsidRPr="00397EF2">
              <w:rPr>
                <w:rFonts w:ascii="Arial" w:hAnsi="Arial"/>
                <w:i/>
                <w:sz w:val="20"/>
              </w:rPr>
              <w:t>de facto</w:t>
            </w:r>
            <w:r w:rsidRPr="00397EF2">
              <w:rPr>
                <w:rFonts w:ascii="Arial" w:hAnsi="Arial"/>
                <w:sz w:val="20"/>
              </w:rPr>
              <w:t xml:space="preserve"> population, by sex and age groups (1x1 rectangles)</w:t>
            </w:r>
          </w:p>
        </w:tc>
        <w:tc>
          <w:tcPr>
            <w:tcW w:w="2835" w:type="dxa"/>
          </w:tcPr>
          <w:p w:rsidR="00892481" w:rsidRPr="00397EF2" w:rsidRDefault="00892481">
            <w:pPr>
              <w:spacing w:before="100" w:after="100"/>
              <w:rPr>
                <w:rFonts w:ascii="Arial" w:hAnsi="Arial"/>
                <w:sz w:val="20"/>
              </w:rPr>
            </w:pPr>
            <w:r w:rsidRPr="00397EF2">
              <w:rPr>
                <w:rFonts w:ascii="Arial" w:hAnsi="Arial"/>
                <w:sz w:val="20"/>
              </w:rPr>
              <w:t>0, 1, 2, …, maximum age attained, unknown</w:t>
            </w:r>
          </w:p>
        </w:tc>
        <w:tc>
          <w:tcPr>
            <w:tcW w:w="1276" w:type="dxa"/>
          </w:tcPr>
          <w:p w:rsidR="00892481" w:rsidRPr="00397EF2" w:rsidRDefault="00892481">
            <w:pPr>
              <w:spacing w:before="100" w:after="100"/>
              <w:rPr>
                <w:rFonts w:ascii="Arial" w:hAnsi="Arial"/>
                <w:sz w:val="20"/>
              </w:rPr>
            </w:pPr>
            <w:r w:rsidRPr="00397EF2">
              <w:rPr>
                <w:rFonts w:ascii="Arial" w:hAnsi="Arial"/>
                <w:sz w:val="20"/>
              </w:rPr>
              <w:t>3, 4, 5, 6, 7, 8, 18</w:t>
            </w:r>
            <w:r w:rsidR="00143BAD" w:rsidRPr="00397EF2">
              <w:rPr>
                <w:rFonts w:ascii="Arial" w:hAnsi="Arial"/>
                <w:sz w:val="20"/>
              </w:rPr>
              <w:t xml:space="preserve">, </w:t>
            </w:r>
            <w:r w:rsidR="00143BAD" w:rsidRPr="00397EF2">
              <w:rPr>
                <w:rFonts w:ascii="Arial" w:hAnsi="Arial" w:cs="Arial"/>
                <w:sz w:val="20"/>
              </w:rPr>
              <w:t>21</w:t>
            </w:r>
          </w:p>
        </w:tc>
      </w:tr>
    </w:tbl>
    <w:p w:rsidR="00892481" w:rsidRDefault="00892481">
      <w:pPr>
        <w:pStyle w:val="Heading2"/>
        <w:rPr>
          <w:lang w:val="en-US"/>
        </w:rPr>
      </w:pPr>
    </w:p>
    <w:p w:rsidR="00892481" w:rsidRDefault="00892481">
      <w:pPr>
        <w:pStyle w:val="Heading2"/>
        <w:rPr>
          <w:lang w:val="en-US"/>
        </w:rPr>
      </w:pPr>
      <w:r>
        <w:rPr>
          <w:lang w:val="en-US"/>
        </w:rPr>
        <w:t>POPULATION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126"/>
        <w:gridCol w:w="2254"/>
        <w:gridCol w:w="1999"/>
        <w:gridCol w:w="1276"/>
      </w:tblGrid>
      <w:tr w:rsidR="00892481">
        <w:tc>
          <w:tcPr>
            <w:tcW w:w="1384" w:type="dxa"/>
          </w:tcPr>
          <w:p w:rsidR="00892481" w:rsidRDefault="00892481">
            <w:pPr>
              <w:spacing w:before="100" w:after="100"/>
              <w:jc w:val="center"/>
              <w:rPr>
                <w:rFonts w:ascii="Arial" w:hAnsi="Arial"/>
                <w:b/>
                <w:sz w:val="20"/>
              </w:rPr>
            </w:pPr>
            <w:r>
              <w:rPr>
                <w:rFonts w:ascii="Arial" w:hAnsi="Arial"/>
                <w:b/>
                <w:sz w:val="20"/>
              </w:rPr>
              <w:t>Period</w:t>
            </w:r>
          </w:p>
        </w:tc>
        <w:tc>
          <w:tcPr>
            <w:tcW w:w="2126" w:type="dxa"/>
          </w:tcPr>
          <w:p w:rsidR="00892481" w:rsidRDefault="00892481">
            <w:pPr>
              <w:spacing w:before="100" w:after="100"/>
              <w:jc w:val="center"/>
              <w:rPr>
                <w:rFonts w:ascii="Arial" w:hAnsi="Arial"/>
                <w:b/>
                <w:sz w:val="20"/>
              </w:rPr>
            </w:pPr>
            <w:r>
              <w:rPr>
                <w:rFonts w:ascii="Arial" w:hAnsi="Arial"/>
                <w:b/>
                <w:sz w:val="20"/>
              </w:rPr>
              <w:t>Type of Data</w:t>
            </w:r>
          </w:p>
        </w:tc>
        <w:tc>
          <w:tcPr>
            <w:tcW w:w="2254" w:type="dxa"/>
          </w:tcPr>
          <w:p w:rsidR="00892481" w:rsidRDefault="00892481">
            <w:pPr>
              <w:spacing w:before="100" w:after="100"/>
              <w:jc w:val="center"/>
              <w:rPr>
                <w:rFonts w:ascii="Arial" w:hAnsi="Arial"/>
                <w:b/>
                <w:sz w:val="20"/>
              </w:rPr>
            </w:pPr>
            <w:r>
              <w:rPr>
                <w:rFonts w:ascii="Arial" w:hAnsi="Arial"/>
                <w:b/>
                <w:sz w:val="20"/>
              </w:rPr>
              <w:t>Age grouping</w:t>
            </w:r>
          </w:p>
        </w:tc>
        <w:tc>
          <w:tcPr>
            <w:tcW w:w="1999" w:type="dxa"/>
          </w:tcPr>
          <w:p w:rsidR="00892481" w:rsidRDefault="00892481">
            <w:pPr>
              <w:spacing w:before="100" w:after="100"/>
              <w:jc w:val="center"/>
              <w:rPr>
                <w:rFonts w:ascii="Arial" w:hAnsi="Arial"/>
                <w:b/>
                <w:sz w:val="20"/>
              </w:rPr>
            </w:pPr>
            <w:r>
              <w:rPr>
                <w:rFonts w:ascii="Arial" w:hAnsi="Arial"/>
                <w:b/>
                <w:sz w:val="20"/>
              </w:rPr>
              <w:t>Comments</w:t>
            </w:r>
          </w:p>
        </w:tc>
        <w:tc>
          <w:tcPr>
            <w:tcW w:w="1276" w:type="dxa"/>
          </w:tcPr>
          <w:p w:rsidR="00892481" w:rsidRDefault="00892481">
            <w:pPr>
              <w:spacing w:before="100" w:after="100"/>
              <w:jc w:val="center"/>
              <w:rPr>
                <w:rFonts w:ascii="Arial" w:hAnsi="Arial"/>
                <w:b/>
                <w:sz w:val="20"/>
              </w:rPr>
            </w:pPr>
            <w:proofErr w:type="spellStart"/>
            <w:r>
              <w:rPr>
                <w:rFonts w:ascii="Arial" w:hAnsi="Arial"/>
                <w:b/>
                <w:sz w:val="20"/>
              </w:rPr>
              <w:t>RefCode</w:t>
            </w:r>
            <w:proofErr w:type="spellEnd"/>
          </w:p>
        </w:tc>
      </w:tr>
      <w:tr w:rsidR="00892481">
        <w:tc>
          <w:tcPr>
            <w:tcW w:w="1384" w:type="dxa"/>
          </w:tcPr>
          <w:p w:rsidR="00892481" w:rsidRDefault="00892481">
            <w:pPr>
              <w:spacing w:before="100" w:after="100"/>
              <w:rPr>
                <w:rFonts w:ascii="Arial" w:hAnsi="Arial"/>
                <w:sz w:val="20"/>
              </w:rPr>
            </w:pPr>
            <w:r>
              <w:rPr>
                <w:rFonts w:ascii="Arial" w:hAnsi="Arial"/>
                <w:sz w:val="20"/>
              </w:rPr>
              <w:t>1861, 1871, 1881, 1891, 1901</w:t>
            </w:r>
          </w:p>
        </w:tc>
        <w:tc>
          <w:tcPr>
            <w:tcW w:w="2126" w:type="dxa"/>
          </w:tcPr>
          <w:p w:rsidR="00892481" w:rsidRDefault="00892481">
            <w:pPr>
              <w:spacing w:before="100" w:after="100"/>
              <w:rPr>
                <w:rFonts w:ascii="Arial" w:hAnsi="Arial"/>
                <w:sz w:val="20"/>
              </w:rPr>
            </w:pPr>
            <w:r>
              <w:rPr>
                <w:rFonts w:ascii="Arial" w:hAnsi="Arial"/>
                <w:sz w:val="20"/>
              </w:rPr>
              <w:t>Census counts</w:t>
            </w:r>
          </w:p>
        </w:tc>
        <w:tc>
          <w:tcPr>
            <w:tcW w:w="2254" w:type="dxa"/>
          </w:tcPr>
          <w:p w:rsidR="00892481" w:rsidRDefault="00892481">
            <w:pPr>
              <w:spacing w:before="100" w:after="100"/>
              <w:rPr>
                <w:rFonts w:ascii="Arial" w:hAnsi="Arial"/>
                <w:sz w:val="20"/>
              </w:rPr>
            </w:pPr>
            <w:r>
              <w:rPr>
                <w:rFonts w:ascii="Arial" w:hAnsi="Arial"/>
                <w:sz w:val="20"/>
              </w:rPr>
              <w:t>0, 1, 2, 3, 4, 5-9, …, 105+, unknown</w:t>
            </w:r>
          </w:p>
        </w:tc>
        <w:tc>
          <w:tcPr>
            <w:tcW w:w="1999" w:type="dxa"/>
          </w:tcPr>
          <w:p w:rsidR="00892481" w:rsidRDefault="00892481">
            <w:pPr>
              <w:spacing w:before="100" w:after="100"/>
              <w:rPr>
                <w:rFonts w:ascii="Arial" w:hAnsi="Arial"/>
                <w:sz w:val="20"/>
              </w:rPr>
            </w:pPr>
            <w:r>
              <w:rPr>
                <w:rFonts w:ascii="Arial" w:hAnsi="Arial"/>
                <w:i/>
                <w:sz w:val="20"/>
              </w:rPr>
              <w:t>de facto</w:t>
            </w:r>
            <w:r>
              <w:rPr>
                <w:rFonts w:ascii="Arial" w:hAnsi="Arial"/>
                <w:sz w:val="20"/>
              </w:rPr>
              <w:t xml:space="preserve"> population</w:t>
            </w:r>
          </w:p>
        </w:tc>
        <w:tc>
          <w:tcPr>
            <w:tcW w:w="1276" w:type="dxa"/>
          </w:tcPr>
          <w:p w:rsidR="00892481" w:rsidRDefault="00892481">
            <w:pPr>
              <w:spacing w:before="100" w:after="100"/>
              <w:rPr>
                <w:rFonts w:ascii="Arial" w:hAnsi="Arial"/>
                <w:sz w:val="20"/>
              </w:rPr>
            </w:pPr>
            <w:r>
              <w:rPr>
                <w:rFonts w:ascii="Arial" w:hAnsi="Arial"/>
                <w:sz w:val="20"/>
              </w:rPr>
              <w:t xml:space="preserve">9, 10, 11, </w:t>
            </w:r>
          </w:p>
        </w:tc>
      </w:tr>
      <w:tr w:rsidR="00892481">
        <w:tc>
          <w:tcPr>
            <w:tcW w:w="1384" w:type="dxa"/>
          </w:tcPr>
          <w:p w:rsidR="00892481" w:rsidRDefault="00892481">
            <w:pPr>
              <w:spacing w:before="100" w:after="100"/>
              <w:rPr>
                <w:rFonts w:ascii="Arial" w:hAnsi="Arial"/>
                <w:sz w:val="20"/>
              </w:rPr>
            </w:pPr>
            <w:r>
              <w:rPr>
                <w:rFonts w:ascii="Arial" w:hAnsi="Arial"/>
                <w:sz w:val="20"/>
              </w:rPr>
              <w:t>1911, 1921</w:t>
            </w:r>
          </w:p>
        </w:tc>
        <w:tc>
          <w:tcPr>
            <w:tcW w:w="2126" w:type="dxa"/>
          </w:tcPr>
          <w:p w:rsidR="00892481" w:rsidRDefault="00892481">
            <w:pPr>
              <w:spacing w:before="100" w:after="100"/>
              <w:rPr>
                <w:rFonts w:ascii="Arial" w:hAnsi="Arial"/>
                <w:sz w:val="20"/>
              </w:rPr>
            </w:pPr>
            <w:r>
              <w:rPr>
                <w:rFonts w:ascii="Arial" w:hAnsi="Arial"/>
                <w:sz w:val="20"/>
              </w:rPr>
              <w:t>Census counts</w:t>
            </w:r>
          </w:p>
        </w:tc>
        <w:tc>
          <w:tcPr>
            <w:tcW w:w="2254" w:type="dxa"/>
          </w:tcPr>
          <w:p w:rsidR="00892481" w:rsidRDefault="00892481">
            <w:pPr>
              <w:spacing w:before="100" w:after="100"/>
              <w:rPr>
                <w:rFonts w:ascii="Arial" w:hAnsi="Arial"/>
                <w:sz w:val="20"/>
              </w:rPr>
            </w:pPr>
            <w:r>
              <w:rPr>
                <w:rFonts w:ascii="Arial" w:hAnsi="Arial"/>
                <w:sz w:val="20"/>
              </w:rPr>
              <w:t>0, 1, 2, 3, 4, 5-9, …, 95-99, 100+, unknown</w:t>
            </w:r>
          </w:p>
        </w:tc>
        <w:tc>
          <w:tcPr>
            <w:tcW w:w="1999" w:type="dxa"/>
          </w:tcPr>
          <w:p w:rsidR="00892481" w:rsidRDefault="00892481">
            <w:pPr>
              <w:spacing w:before="100" w:after="100"/>
              <w:rPr>
                <w:rFonts w:ascii="Arial" w:hAnsi="Arial"/>
                <w:sz w:val="20"/>
              </w:rPr>
            </w:pPr>
            <w:r>
              <w:rPr>
                <w:rFonts w:ascii="Arial" w:hAnsi="Arial"/>
                <w:i/>
                <w:sz w:val="20"/>
              </w:rPr>
              <w:t>de facto</w:t>
            </w:r>
            <w:r>
              <w:rPr>
                <w:rFonts w:ascii="Arial" w:hAnsi="Arial"/>
                <w:sz w:val="20"/>
              </w:rPr>
              <w:t xml:space="preserve"> population</w:t>
            </w:r>
          </w:p>
        </w:tc>
        <w:tc>
          <w:tcPr>
            <w:tcW w:w="1276" w:type="dxa"/>
          </w:tcPr>
          <w:p w:rsidR="00892481" w:rsidRDefault="00892481">
            <w:pPr>
              <w:spacing w:before="100" w:after="100"/>
              <w:rPr>
                <w:rFonts w:ascii="Arial" w:hAnsi="Arial"/>
                <w:sz w:val="20"/>
              </w:rPr>
            </w:pPr>
            <w:r>
              <w:rPr>
                <w:rFonts w:ascii="Arial" w:hAnsi="Arial"/>
                <w:sz w:val="20"/>
              </w:rPr>
              <w:t>12</w:t>
            </w:r>
          </w:p>
        </w:tc>
      </w:tr>
      <w:tr w:rsidR="00892481">
        <w:tc>
          <w:tcPr>
            <w:tcW w:w="1384" w:type="dxa"/>
          </w:tcPr>
          <w:p w:rsidR="00892481" w:rsidRDefault="00892481">
            <w:pPr>
              <w:spacing w:before="100" w:after="100"/>
              <w:rPr>
                <w:rFonts w:ascii="Arial" w:hAnsi="Arial"/>
                <w:sz w:val="20"/>
              </w:rPr>
            </w:pPr>
            <w:r>
              <w:rPr>
                <w:rFonts w:ascii="Arial" w:hAnsi="Arial"/>
                <w:sz w:val="20"/>
              </w:rPr>
              <w:t>1931</w:t>
            </w:r>
          </w:p>
        </w:tc>
        <w:tc>
          <w:tcPr>
            <w:tcW w:w="2126" w:type="dxa"/>
          </w:tcPr>
          <w:p w:rsidR="00892481" w:rsidRDefault="00892481">
            <w:pPr>
              <w:spacing w:before="100" w:after="100"/>
              <w:rPr>
                <w:rFonts w:ascii="Arial" w:hAnsi="Arial"/>
                <w:sz w:val="20"/>
              </w:rPr>
            </w:pPr>
            <w:r>
              <w:rPr>
                <w:rFonts w:ascii="Arial" w:hAnsi="Arial"/>
                <w:sz w:val="20"/>
              </w:rPr>
              <w:t>Census counts</w:t>
            </w:r>
          </w:p>
        </w:tc>
        <w:tc>
          <w:tcPr>
            <w:tcW w:w="2254" w:type="dxa"/>
          </w:tcPr>
          <w:p w:rsidR="00892481" w:rsidRDefault="00892481">
            <w:pPr>
              <w:spacing w:before="100" w:after="100"/>
              <w:rPr>
                <w:rFonts w:ascii="Arial" w:hAnsi="Arial"/>
                <w:sz w:val="20"/>
              </w:rPr>
            </w:pPr>
            <w:r>
              <w:rPr>
                <w:rFonts w:ascii="Arial" w:hAnsi="Arial"/>
                <w:sz w:val="20"/>
              </w:rPr>
              <w:t>0, 1, 2, 3, …, 100+, unknown</w:t>
            </w:r>
          </w:p>
        </w:tc>
        <w:tc>
          <w:tcPr>
            <w:tcW w:w="1999" w:type="dxa"/>
          </w:tcPr>
          <w:p w:rsidR="00892481" w:rsidRDefault="00892481">
            <w:pPr>
              <w:spacing w:before="100" w:after="100"/>
              <w:rPr>
                <w:rFonts w:ascii="Arial" w:hAnsi="Arial"/>
                <w:sz w:val="20"/>
              </w:rPr>
            </w:pPr>
            <w:r>
              <w:rPr>
                <w:rFonts w:ascii="Arial" w:hAnsi="Arial"/>
                <w:i/>
                <w:sz w:val="20"/>
              </w:rPr>
              <w:t>de facto</w:t>
            </w:r>
            <w:r>
              <w:rPr>
                <w:rFonts w:ascii="Arial" w:hAnsi="Arial"/>
                <w:sz w:val="20"/>
              </w:rPr>
              <w:t xml:space="preserve"> population</w:t>
            </w:r>
          </w:p>
        </w:tc>
        <w:tc>
          <w:tcPr>
            <w:tcW w:w="1276" w:type="dxa"/>
          </w:tcPr>
          <w:p w:rsidR="00892481" w:rsidRDefault="00892481">
            <w:pPr>
              <w:spacing w:before="100" w:after="100"/>
              <w:rPr>
                <w:rFonts w:ascii="Arial" w:hAnsi="Arial"/>
                <w:sz w:val="20"/>
              </w:rPr>
            </w:pPr>
            <w:r>
              <w:rPr>
                <w:rFonts w:ascii="Arial" w:hAnsi="Arial"/>
                <w:sz w:val="20"/>
              </w:rPr>
              <w:t>13</w:t>
            </w:r>
          </w:p>
        </w:tc>
      </w:tr>
      <w:tr w:rsidR="00892481">
        <w:tc>
          <w:tcPr>
            <w:tcW w:w="1384" w:type="dxa"/>
          </w:tcPr>
          <w:p w:rsidR="00892481" w:rsidRDefault="00892481">
            <w:pPr>
              <w:spacing w:before="100" w:after="100"/>
              <w:rPr>
                <w:rFonts w:ascii="Arial" w:hAnsi="Arial"/>
                <w:sz w:val="20"/>
              </w:rPr>
            </w:pPr>
            <w:r>
              <w:rPr>
                <w:rFonts w:ascii="Arial" w:hAnsi="Arial"/>
                <w:sz w:val="20"/>
              </w:rPr>
              <w:t>1912-1938</w:t>
            </w:r>
          </w:p>
        </w:tc>
        <w:tc>
          <w:tcPr>
            <w:tcW w:w="2126" w:type="dxa"/>
          </w:tcPr>
          <w:p w:rsidR="00892481" w:rsidRDefault="00892481">
            <w:pPr>
              <w:spacing w:before="100" w:after="100"/>
              <w:rPr>
                <w:rFonts w:ascii="Arial" w:hAnsi="Arial"/>
                <w:sz w:val="20"/>
              </w:rPr>
            </w:pPr>
            <w:r>
              <w:rPr>
                <w:rFonts w:ascii="Arial" w:hAnsi="Arial"/>
                <w:sz w:val="20"/>
              </w:rPr>
              <w:t>Annual mid-year population estimates (of permanent residents)</w:t>
            </w:r>
          </w:p>
        </w:tc>
        <w:tc>
          <w:tcPr>
            <w:tcW w:w="2254" w:type="dxa"/>
          </w:tcPr>
          <w:p w:rsidR="00892481" w:rsidRDefault="00892481">
            <w:pPr>
              <w:spacing w:before="100" w:after="100"/>
              <w:rPr>
                <w:rFonts w:ascii="Arial" w:hAnsi="Arial"/>
                <w:sz w:val="20"/>
              </w:rPr>
            </w:pPr>
            <w:r>
              <w:rPr>
                <w:rFonts w:ascii="Arial" w:hAnsi="Arial"/>
                <w:sz w:val="20"/>
              </w:rPr>
              <w:t>0-4, 5-9, …., 85+, unknown</w:t>
            </w:r>
          </w:p>
        </w:tc>
        <w:tc>
          <w:tcPr>
            <w:tcW w:w="1999" w:type="dxa"/>
          </w:tcPr>
          <w:p w:rsidR="00892481" w:rsidRDefault="00892481">
            <w:pPr>
              <w:spacing w:before="100" w:after="100"/>
              <w:rPr>
                <w:rFonts w:ascii="Arial" w:hAnsi="Arial"/>
                <w:sz w:val="20"/>
              </w:rPr>
            </w:pPr>
            <w:r>
              <w:rPr>
                <w:rFonts w:ascii="Arial" w:hAnsi="Arial"/>
                <w:sz w:val="20"/>
              </w:rPr>
              <w:t>The data for 1912-20 exclude the military population</w:t>
            </w:r>
          </w:p>
        </w:tc>
        <w:tc>
          <w:tcPr>
            <w:tcW w:w="1276" w:type="dxa"/>
          </w:tcPr>
          <w:p w:rsidR="00892481" w:rsidRDefault="00892481">
            <w:pPr>
              <w:spacing w:before="100" w:after="100"/>
              <w:rPr>
                <w:rFonts w:ascii="Arial" w:hAnsi="Arial"/>
                <w:sz w:val="20"/>
              </w:rPr>
            </w:pPr>
            <w:r>
              <w:rPr>
                <w:rFonts w:ascii="Arial" w:hAnsi="Arial"/>
                <w:sz w:val="20"/>
              </w:rPr>
              <w:t>14</w:t>
            </w:r>
          </w:p>
        </w:tc>
      </w:tr>
      <w:tr w:rsidR="00892481">
        <w:tc>
          <w:tcPr>
            <w:tcW w:w="1384" w:type="dxa"/>
          </w:tcPr>
          <w:p w:rsidR="00892481" w:rsidRDefault="00892481">
            <w:pPr>
              <w:spacing w:before="100" w:after="100"/>
              <w:rPr>
                <w:rFonts w:ascii="Arial" w:hAnsi="Arial"/>
                <w:sz w:val="20"/>
              </w:rPr>
            </w:pPr>
            <w:r>
              <w:rPr>
                <w:rFonts w:ascii="Arial" w:hAnsi="Arial"/>
                <w:sz w:val="20"/>
              </w:rPr>
              <w:t>1939-1970</w:t>
            </w:r>
          </w:p>
        </w:tc>
        <w:tc>
          <w:tcPr>
            <w:tcW w:w="2126" w:type="dxa"/>
          </w:tcPr>
          <w:p w:rsidR="00892481" w:rsidRDefault="00892481">
            <w:pPr>
              <w:spacing w:before="100" w:after="100"/>
              <w:rPr>
                <w:rFonts w:ascii="Arial" w:hAnsi="Arial"/>
                <w:sz w:val="20"/>
              </w:rPr>
            </w:pPr>
            <w:r>
              <w:rPr>
                <w:rFonts w:ascii="Arial" w:hAnsi="Arial"/>
                <w:sz w:val="20"/>
              </w:rPr>
              <w:t>Annual mid-year population estimates (of permanent residents)</w:t>
            </w:r>
          </w:p>
        </w:tc>
        <w:tc>
          <w:tcPr>
            <w:tcW w:w="2254" w:type="dxa"/>
          </w:tcPr>
          <w:p w:rsidR="00892481" w:rsidRDefault="00892481">
            <w:pPr>
              <w:spacing w:before="100" w:after="100"/>
              <w:rPr>
                <w:rFonts w:ascii="Arial" w:hAnsi="Arial"/>
                <w:sz w:val="20"/>
              </w:rPr>
            </w:pPr>
            <w:r>
              <w:rPr>
                <w:rFonts w:ascii="Arial" w:hAnsi="Arial"/>
                <w:sz w:val="20"/>
              </w:rPr>
              <w:t>0,1,2,3,….,85+, unknown</w:t>
            </w:r>
          </w:p>
        </w:tc>
        <w:tc>
          <w:tcPr>
            <w:tcW w:w="1999" w:type="dxa"/>
          </w:tcPr>
          <w:p w:rsidR="00892481" w:rsidRDefault="00892481">
            <w:pPr>
              <w:spacing w:before="100" w:after="100"/>
              <w:rPr>
                <w:rFonts w:ascii="Arial" w:hAnsi="Arial"/>
                <w:sz w:val="20"/>
              </w:rPr>
            </w:pPr>
            <w:r>
              <w:rPr>
                <w:rFonts w:ascii="Arial" w:hAnsi="Arial"/>
                <w:sz w:val="20"/>
              </w:rPr>
              <w:t>The data for 1939-50 exclude the military population</w:t>
            </w:r>
          </w:p>
        </w:tc>
        <w:tc>
          <w:tcPr>
            <w:tcW w:w="1276" w:type="dxa"/>
          </w:tcPr>
          <w:p w:rsidR="00892481" w:rsidRDefault="00892481">
            <w:pPr>
              <w:spacing w:before="100" w:after="100"/>
              <w:rPr>
                <w:rFonts w:ascii="Arial" w:hAnsi="Arial"/>
                <w:sz w:val="20"/>
              </w:rPr>
            </w:pPr>
            <w:r>
              <w:rPr>
                <w:rFonts w:ascii="Arial" w:hAnsi="Arial"/>
                <w:sz w:val="20"/>
              </w:rPr>
              <w:t>15</w:t>
            </w:r>
          </w:p>
        </w:tc>
      </w:tr>
      <w:tr w:rsidR="00892481">
        <w:tc>
          <w:tcPr>
            <w:tcW w:w="1384" w:type="dxa"/>
          </w:tcPr>
          <w:p w:rsidR="00892481" w:rsidRPr="00397EF2" w:rsidRDefault="00892481" w:rsidP="00143BAD">
            <w:pPr>
              <w:spacing w:before="100" w:after="100"/>
              <w:rPr>
                <w:rFonts w:ascii="Arial" w:hAnsi="Arial"/>
                <w:sz w:val="20"/>
              </w:rPr>
            </w:pPr>
            <w:r w:rsidRPr="00397EF2">
              <w:rPr>
                <w:rFonts w:ascii="Arial" w:hAnsi="Arial"/>
                <w:sz w:val="20"/>
              </w:rPr>
              <w:t>1971-20</w:t>
            </w:r>
            <w:r w:rsidR="00143BAD" w:rsidRPr="00397EF2">
              <w:rPr>
                <w:rFonts w:ascii="Arial" w:hAnsi="Arial"/>
                <w:sz w:val="20"/>
              </w:rPr>
              <w:t>11</w:t>
            </w:r>
          </w:p>
        </w:tc>
        <w:tc>
          <w:tcPr>
            <w:tcW w:w="2126" w:type="dxa"/>
          </w:tcPr>
          <w:p w:rsidR="00892481" w:rsidRPr="00397EF2" w:rsidRDefault="00892481">
            <w:pPr>
              <w:spacing w:before="100" w:after="100"/>
              <w:rPr>
                <w:rFonts w:ascii="Arial" w:hAnsi="Arial"/>
                <w:sz w:val="20"/>
              </w:rPr>
            </w:pPr>
            <w:r w:rsidRPr="00397EF2">
              <w:rPr>
                <w:rFonts w:ascii="Arial" w:hAnsi="Arial"/>
                <w:sz w:val="20"/>
              </w:rPr>
              <w:t>Annual mid-year population estimates (of permanent residents)</w:t>
            </w:r>
          </w:p>
        </w:tc>
        <w:tc>
          <w:tcPr>
            <w:tcW w:w="2254" w:type="dxa"/>
          </w:tcPr>
          <w:p w:rsidR="00892481" w:rsidRPr="00397EF2" w:rsidRDefault="00892481">
            <w:pPr>
              <w:spacing w:before="100" w:after="100"/>
              <w:rPr>
                <w:rFonts w:ascii="Arial" w:hAnsi="Arial"/>
                <w:sz w:val="20"/>
              </w:rPr>
            </w:pPr>
            <w:r w:rsidRPr="00397EF2">
              <w:rPr>
                <w:rFonts w:ascii="Arial" w:hAnsi="Arial"/>
                <w:sz w:val="20"/>
              </w:rPr>
              <w:t>0,1,2,3,….,90+, unknown</w:t>
            </w:r>
          </w:p>
        </w:tc>
        <w:tc>
          <w:tcPr>
            <w:tcW w:w="1999" w:type="dxa"/>
          </w:tcPr>
          <w:p w:rsidR="00892481" w:rsidRPr="00397EF2" w:rsidRDefault="00892481">
            <w:pPr>
              <w:spacing w:before="100" w:after="100"/>
              <w:rPr>
                <w:rFonts w:ascii="Arial" w:hAnsi="Arial"/>
                <w:sz w:val="20"/>
              </w:rPr>
            </w:pPr>
          </w:p>
        </w:tc>
        <w:tc>
          <w:tcPr>
            <w:tcW w:w="1276" w:type="dxa"/>
          </w:tcPr>
          <w:p w:rsidR="00892481" w:rsidRDefault="00892481">
            <w:pPr>
              <w:spacing w:before="100" w:after="100"/>
              <w:rPr>
                <w:rFonts w:ascii="Arial" w:hAnsi="Arial"/>
                <w:sz w:val="20"/>
              </w:rPr>
            </w:pPr>
            <w:r w:rsidRPr="00397EF2">
              <w:rPr>
                <w:rFonts w:ascii="Arial" w:hAnsi="Arial"/>
                <w:sz w:val="20"/>
              </w:rPr>
              <w:t>15, 16, 19</w:t>
            </w:r>
            <w:r w:rsidR="00143BAD" w:rsidRPr="00397EF2">
              <w:rPr>
                <w:rFonts w:ascii="Arial" w:hAnsi="Arial"/>
                <w:sz w:val="20"/>
              </w:rPr>
              <w:t xml:space="preserve">, </w:t>
            </w:r>
            <w:r w:rsidR="00143BAD" w:rsidRPr="00397EF2">
              <w:rPr>
                <w:rFonts w:ascii="Arial" w:hAnsi="Arial" w:cs="Arial"/>
                <w:sz w:val="20"/>
              </w:rPr>
              <w:t>22</w:t>
            </w:r>
          </w:p>
        </w:tc>
      </w:tr>
    </w:tbl>
    <w:p w:rsidR="00892481" w:rsidRDefault="00892481">
      <w:pPr>
        <w:pStyle w:val="Default"/>
      </w:pPr>
    </w:p>
    <w:p w:rsidR="00892481" w:rsidRDefault="00892481">
      <w:pPr>
        <w:pStyle w:val="Heading2"/>
        <w:rPr>
          <w:lang w:val="en-US"/>
        </w:rPr>
      </w:pPr>
      <w:r>
        <w:rPr>
          <w:lang w:val="en-US"/>
        </w:rPr>
        <w:t>BIRTHS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420"/>
        <w:gridCol w:w="1789"/>
      </w:tblGrid>
      <w:tr w:rsidR="00892481">
        <w:tc>
          <w:tcPr>
            <w:tcW w:w="1278" w:type="dxa"/>
          </w:tcPr>
          <w:p w:rsidR="00892481" w:rsidRDefault="00892481">
            <w:pPr>
              <w:spacing w:before="100" w:after="100"/>
              <w:jc w:val="center"/>
              <w:rPr>
                <w:rFonts w:ascii="Arial" w:hAnsi="Arial"/>
                <w:b/>
                <w:sz w:val="20"/>
              </w:rPr>
            </w:pPr>
            <w:r>
              <w:rPr>
                <w:rFonts w:ascii="Arial" w:hAnsi="Arial"/>
                <w:b/>
                <w:sz w:val="20"/>
              </w:rPr>
              <w:t>Period</w:t>
            </w:r>
          </w:p>
        </w:tc>
        <w:tc>
          <w:tcPr>
            <w:tcW w:w="3420" w:type="dxa"/>
          </w:tcPr>
          <w:p w:rsidR="00892481" w:rsidRDefault="00892481">
            <w:pPr>
              <w:spacing w:before="100" w:after="100"/>
              <w:jc w:val="center"/>
              <w:rPr>
                <w:rFonts w:ascii="Arial" w:hAnsi="Arial"/>
                <w:b/>
                <w:sz w:val="20"/>
              </w:rPr>
            </w:pPr>
            <w:r>
              <w:rPr>
                <w:rFonts w:ascii="Arial" w:hAnsi="Arial"/>
                <w:b/>
                <w:sz w:val="20"/>
              </w:rPr>
              <w:t>Type of Data</w:t>
            </w:r>
          </w:p>
        </w:tc>
        <w:tc>
          <w:tcPr>
            <w:tcW w:w="1789" w:type="dxa"/>
          </w:tcPr>
          <w:p w:rsidR="00892481" w:rsidRDefault="00892481">
            <w:pPr>
              <w:spacing w:before="100" w:after="100"/>
              <w:jc w:val="center"/>
              <w:rPr>
                <w:rFonts w:ascii="Arial" w:hAnsi="Arial"/>
                <w:b/>
                <w:sz w:val="20"/>
              </w:rPr>
            </w:pPr>
            <w:proofErr w:type="spellStart"/>
            <w:r>
              <w:rPr>
                <w:rFonts w:ascii="Arial" w:hAnsi="Arial"/>
                <w:b/>
                <w:sz w:val="20"/>
              </w:rPr>
              <w:t>RefCode</w:t>
            </w:r>
            <w:proofErr w:type="spellEnd"/>
          </w:p>
        </w:tc>
      </w:tr>
      <w:tr w:rsidR="00892481">
        <w:tc>
          <w:tcPr>
            <w:tcW w:w="1278" w:type="dxa"/>
          </w:tcPr>
          <w:p w:rsidR="00892481" w:rsidRPr="00397EF2" w:rsidRDefault="00892481" w:rsidP="00397EF2">
            <w:pPr>
              <w:spacing w:before="100" w:after="100"/>
              <w:rPr>
                <w:rFonts w:ascii="Arial" w:hAnsi="Arial"/>
                <w:sz w:val="20"/>
              </w:rPr>
            </w:pPr>
            <w:r w:rsidRPr="00397EF2">
              <w:rPr>
                <w:rFonts w:ascii="Arial" w:hAnsi="Arial"/>
                <w:sz w:val="20"/>
              </w:rPr>
              <w:t>1855-20</w:t>
            </w:r>
            <w:r w:rsidR="00397EF2">
              <w:rPr>
                <w:rFonts w:ascii="Arial" w:hAnsi="Arial"/>
                <w:sz w:val="20"/>
              </w:rPr>
              <w:t>11</w:t>
            </w:r>
            <w:bookmarkStart w:id="0" w:name="_GoBack"/>
            <w:bookmarkEnd w:id="0"/>
          </w:p>
        </w:tc>
        <w:tc>
          <w:tcPr>
            <w:tcW w:w="3420" w:type="dxa"/>
          </w:tcPr>
          <w:p w:rsidR="00892481" w:rsidRPr="00397EF2" w:rsidRDefault="00892481">
            <w:pPr>
              <w:spacing w:before="100" w:after="100"/>
              <w:rPr>
                <w:rFonts w:ascii="Arial" w:hAnsi="Arial"/>
                <w:sz w:val="20"/>
              </w:rPr>
            </w:pPr>
            <w:r w:rsidRPr="00397EF2">
              <w:rPr>
                <w:rFonts w:ascii="Arial" w:hAnsi="Arial"/>
                <w:sz w:val="20"/>
              </w:rPr>
              <w:t>Annual live birth counts, by sex</w:t>
            </w:r>
          </w:p>
        </w:tc>
        <w:tc>
          <w:tcPr>
            <w:tcW w:w="1789" w:type="dxa"/>
          </w:tcPr>
          <w:p w:rsidR="00892481" w:rsidRDefault="00892481">
            <w:pPr>
              <w:spacing w:before="100" w:after="100"/>
              <w:rPr>
                <w:rFonts w:ascii="Arial" w:hAnsi="Arial"/>
                <w:sz w:val="20"/>
              </w:rPr>
            </w:pPr>
            <w:r w:rsidRPr="00397EF2">
              <w:rPr>
                <w:rFonts w:ascii="Arial" w:hAnsi="Arial"/>
                <w:sz w:val="20"/>
              </w:rPr>
              <w:t>1, 17</w:t>
            </w:r>
            <w:r w:rsidR="00143BAD" w:rsidRPr="00397EF2">
              <w:rPr>
                <w:rFonts w:ascii="Arial" w:hAnsi="Arial"/>
                <w:sz w:val="20"/>
              </w:rPr>
              <w:t xml:space="preserve">, </w:t>
            </w:r>
            <w:r w:rsidR="00143BAD" w:rsidRPr="00397EF2">
              <w:rPr>
                <w:rFonts w:ascii="Arial" w:hAnsi="Arial" w:cs="Arial"/>
                <w:sz w:val="20"/>
              </w:rPr>
              <w:t>20</w:t>
            </w:r>
          </w:p>
        </w:tc>
      </w:tr>
    </w:tbl>
    <w:p w:rsidR="00892481" w:rsidRDefault="00892481">
      <w:pPr>
        <w:pStyle w:val="Default"/>
      </w:pPr>
    </w:p>
    <w:p w:rsidR="00143BAD" w:rsidRDefault="00892481" w:rsidP="00143BAD">
      <w:pPr>
        <w:pStyle w:val="Heading1"/>
        <w:spacing w:before="120"/>
        <w:rPr>
          <w:snapToGrid w:val="0"/>
        </w:rPr>
      </w:pPr>
      <w:r>
        <w:br w:type="page"/>
      </w:r>
      <w:r w:rsidR="00143BAD">
        <w:rPr>
          <w:snapToGrid w:val="0"/>
        </w:rPr>
        <w:t>APPENDIX 2:</w:t>
      </w:r>
    </w:p>
    <w:p w:rsidR="00143BAD" w:rsidRDefault="00143BAD" w:rsidP="00143BAD">
      <w:pPr>
        <w:pStyle w:val="Default"/>
      </w:pPr>
    </w:p>
    <w:p w:rsidR="00143BAD" w:rsidRDefault="00143BAD" w:rsidP="00143BAD">
      <w:pPr>
        <w:pStyle w:val="Default"/>
      </w:pPr>
      <w:r>
        <w:t>Figure 1. Female life expectancy at ages 65 and 80 in Scotland and Sweden, 1855-2011.</w:t>
      </w:r>
    </w:p>
    <w:p w:rsidR="00143BAD" w:rsidRDefault="00143BAD" w:rsidP="00143BAD">
      <w:pPr>
        <w:pStyle w:val="Default"/>
      </w:pPr>
    </w:p>
    <w:p w:rsidR="00892481" w:rsidRDefault="00397EF2">
      <w:pPr>
        <w:pStyle w:val="Default"/>
      </w:pPr>
      <w:r w:rsidRPr="00397EF2">
        <w:drawing>
          <wp:inline distT="0" distB="0" distL="0" distR="0" wp14:anchorId="6998BAF9" wp14:editId="2349D3AD">
            <wp:extent cx="5732145" cy="358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2145" cy="3582591"/>
                    </a:xfrm>
                    <a:prstGeom prst="rect">
                      <a:avLst/>
                    </a:prstGeom>
                  </pic:spPr>
                </pic:pic>
              </a:graphicData>
            </a:graphic>
          </wp:inline>
        </w:drawing>
      </w:r>
    </w:p>
    <w:p w:rsidR="00892481" w:rsidRDefault="00892481">
      <w:pPr>
        <w:pStyle w:val="Default"/>
      </w:pPr>
    </w:p>
    <w:p w:rsidR="00892481" w:rsidRDefault="00397EF2">
      <w:pPr>
        <w:pStyle w:val="Default"/>
      </w:pPr>
      <w:r w:rsidRPr="00397EF2">
        <w:drawing>
          <wp:inline distT="0" distB="0" distL="0" distR="0" wp14:anchorId="5627C0B5" wp14:editId="4E18CD00">
            <wp:extent cx="5732145" cy="3582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3582591"/>
                    </a:xfrm>
                    <a:prstGeom prst="rect">
                      <a:avLst/>
                    </a:prstGeom>
                  </pic:spPr>
                </pic:pic>
              </a:graphicData>
            </a:graphic>
          </wp:inline>
        </w:drawing>
      </w:r>
    </w:p>
    <w:sectPr w:rsidR="00892481" w:rsidSect="009745B6">
      <w:pgSz w:w="11907" w:h="16840"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horndale">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AB4"/>
    <w:rsid w:val="00143BAD"/>
    <w:rsid w:val="00242E45"/>
    <w:rsid w:val="00270AB4"/>
    <w:rsid w:val="00397EF2"/>
    <w:rsid w:val="00892481"/>
    <w:rsid w:val="009745B6"/>
    <w:rsid w:val="00FF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5B6"/>
    <w:rPr>
      <w:sz w:val="24"/>
      <w:szCs w:val="24"/>
    </w:rPr>
  </w:style>
  <w:style w:type="paragraph" w:styleId="Heading1">
    <w:name w:val="heading 1"/>
    <w:basedOn w:val="Normal"/>
    <w:next w:val="Normal"/>
    <w:qFormat/>
    <w:rsid w:val="009745B6"/>
    <w:pPr>
      <w:keepNext/>
      <w:outlineLvl w:val="0"/>
    </w:pPr>
    <w:rPr>
      <w:rFonts w:ascii="Arial" w:hAnsi="Arial"/>
      <w:b/>
      <w:sz w:val="28"/>
      <w:szCs w:val="20"/>
    </w:rPr>
  </w:style>
  <w:style w:type="paragraph" w:styleId="Heading2">
    <w:name w:val="heading 2"/>
    <w:basedOn w:val="Normal"/>
    <w:next w:val="Normal"/>
    <w:qFormat/>
    <w:rsid w:val="009745B6"/>
    <w:pPr>
      <w:keepNext/>
      <w:spacing w:before="120" w:line="360" w:lineRule="auto"/>
      <w:outlineLvl w:val="1"/>
    </w:pPr>
    <w:rPr>
      <w:rFonts w:ascii="Arial" w:hAnsi="Arial"/>
      <w:b/>
      <w:snapToGrid w:val="0"/>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9745B6"/>
    <w:rPr>
      <w:rFonts w:ascii="Courier New" w:hAnsi="Courier New"/>
      <w:szCs w:val="20"/>
      <w:lang w:val="en-AU"/>
    </w:rPr>
  </w:style>
  <w:style w:type="paragraph" w:customStyle="1" w:styleId="Default">
    <w:name w:val="Default"/>
    <w:rsid w:val="009745B6"/>
    <w:pPr>
      <w:autoSpaceDE w:val="0"/>
      <w:autoSpaceDN w:val="0"/>
      <w:adjustRightInd w:val="0"/>
    </w:pPr>
    <w:rPr>
      <w:rFonts w:ascii="Arial" w:hAnsi="Arial" w:cs="Arial"/>
      <w:color w:val="000000"/>
      <w:sz w:val="24"/>
      <w:szCs w:val="24"/>
    </w:rPr>
  </w:style>
  <w:style w:type="paragraph" w:customStyle="1" w:styleId="PreformattedText">
    <w:name w:val="Preformatted Text"/>
    <w:basedOn w:val="Normal"/>
    <w:rsid w:val="009745B6"/>
    <w:pPr>
      <w:widowControl w:val="0"/>
      <w:suppressAutoHyphens/>
      <w:overflowPunct w:val="0"/>
      <w:autoSpaceDE w:val="0"/>
      <w:autoSpaceDN w:val="0"/>
      <w:adjustRightInd w:val="0"/>
      <w:textAlignment w:val="baseline"/>
    </w:pPr>
    <w:rPr>
      <w:rFonts w:ascii="Thorndale" w:hAnsi="Thorndale"/>
      <w:sz w:val="20"/>
      <w:szCs w:val="20"/>
    </w:rPr>
  </w:style>
  <w:style w:type="paragraph" w:styleId="BalloonText">
    <w:name w:val="Balloon Text"/>
    <w:basedOn w:val="Normal"/>
    <w:semiHidden/>
    <w:rsid w:val="009745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5B6"/>
    <w:rPr>
      <w:sz w:val="24"/>
      <w:szCs w:val="24"/>
    </w:rPr>
  </w:style>
  <w:style w:type="paragraph" w:styleId="Heading1">
    <w:name w:val="heading 1"/>
    <w:basedOn w:val="Normal"/>
    <w:next w:val="Normal"/>
    <w:qFormat/>
    <w:rsid w:val="009745B6"/>
    <w:pPr>
      <w:keepNext/>
      <w:outlineLvl w:val="0"/>
    </w:pPr>
    <w:rPr>
      <w:rFonts w:ascii="Arial" w:hAnsi="Arial"/>
      <w:b/>
      <w:sz w:val="28"/>
      <w:szCs w:val="20"/>
    </w:rPr>
  </w:style>
  <w:style w:type="paragraph" w:styleId="Heading2">
    <w:name w:val="heading 2"/>
    <w:basedOn w:val="Normal"/>
    <w:next w:val="Normal"/>
    <w:qFormat/>
    <w:rsid w:val="009745B6"/>
    <w:pPr>
      <w:keepNext/>
      <w:spacing w:before="120" w:line="360" w:lineRule="auto"/>
      <w:outlineLvl w:val="1"/>
    </w:pPr>
    <w:rPr>
      <w:rFonts w:ascii="Arial" w:hAnsi="Arial"/>
      <w:b/>
      <w:snapToGrid w:val="0"/>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9745B6"/>
    <w:rPr>
      <w:rFonts w:ascii="Courier New" w:hAnsi="Courier New"/>
      <w:szCs w:val="20"/>
      <w:lang w:val="en-AU"/>
    </w:rPr>
  </w:style>
  <w:style w:type="paragraph" w:customStyle="1" w:styleId="Default">
    <w:name w:val="Default"/>
    <w:rsid w:val="009745B6"/>
    <w:pPr>
      <w:autoSpaceDE w:val="0"/>
      <w:autoSpaceDN w:val="0"/>
      <w:adjustRightInd w:val="0"/>
    </w:pPr>
    <w:rPr>
      <w:rFonts w:ascii="Arial" w:hAnsi="Arial" w:cs="Arial"/>
      <w:color w:val="000000"/>
      <w:sz w:val="24"/>
      <w:szCs w:val="24"/>
    </w:rPr>
  </w:style>
  <w:style w:type="paragraph" w:customStyle="1" w:styleId="PreformattedText">
    <w:name w:val="Preformatted Text"/>
    <w:basedOn w:val="Normal"/>
    <w:rsid w:val="009745B6"/>
    <w:pPr>
      <w:widowControl w:val="0"/>
      <w:suppressAutoHyphens/>
      <w:overflowPunct w:val="0"/>
      <w:autoSpaceDE w:val="0"/>
      <w:autoSpaceDN w:val="0"/>
      <w:adjustRightInd w:val="0"/>
      <w:textAlignment w:val="baseline"/>
    </w:pPr>
    <w:rPr>
      <w:rFonts w:ascii="Thorndale" w:hAnsi="Thorndale"/>
      <w:sz w:val="20"/>
      <w:szCs w:val="20"/>
    </w:rPr>
  </w:style>
  <w:style w:type="paragraph" w:styleId="BalloonText">
    <w:name w:val="Balloon Text"/>
    <w:basedOn w:val="Normal"/>
    <w:semiHidden/>
    <w:rsid w:val="00974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9534F3A</Template>
  <TotalTime>0</TotalTime>
  <Pages>4</Pages>
  <Words>654</Words>
  <Characters>3728</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ABOUT MORTALITY DATA FOR IRELAND</vt:lpstr>
    </vt:vector>
  </TitlesOfParts>
  <Company>MPI for Demographic Research</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MORTALITY DATA FOR IRELAND</dc:title>
  <dc:creator>Jasilionis, Domantas</dc:creator>
  <cp:lastModifiedBy>Jasilionis, Domantas</cp:lastModifiedBy>
  <cp:revision>2</cp:revision>
  <cp:lastPrinted>2008-12-17T19:47:00Z</cp:lastPrinted>
  <dcterms:created xsi:type="dcterms:W3CDTF">2013-05-06T10:07:00Z</dcterms:created>
  <dcterms:modified xsi:type="dcterms:W3CDTF">2013-05-06T10:07:00Z</dcterms:modified>
</cp:coreProperties>
</file>