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945" w:rsidRDefault="00D25945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1</w:t>
      </w:r>
    </w:p>
    <w:p w:rsidR="00D25945" w:rsidRDefault="00D25945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The compulsory registration of births began on July 1</w:t>
      </w:r>
      <w:r w:rsidRPr="00845AE4">
        <w:rPr>
          <w:rFonts w:ascii="Arial" w:hAnsi="Arial"/>
          <w:sz w:val="24"/>
          <w:vertAlign w:val="superscript"/>
        </w:rPr>
        <w:t>st</w:t>
      </w:r>
      <w:r>
        <w:rPr>
          <w:rFonts w:ascii="Arial" w:hAnsi="Arial"/>
          <w:sz w:val="24"/>
        </w:rPr>
        <w:t>, 1837. However, according to the Office for National Statistics (UK), registration of births was incomplete until 1874.</w:t>
      </w:r>
    </w:p>
    <w:p w:rsidR="00D25945" w:rsidRDefault="00D25945">
      <w:pPr>
        <w:pStyle w:val="PreformattedText"/>
        <w:rPr>
          <w:rFonts w:ascii="Arial" w:hAnsi="Arial"/>
          <w:sz w:val="24"/>
        </w:rPr>
      </w:pPr>
    </w:p>
    <w:p w:rsidR="00D25945" w:rsidRDefault="00D25945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2</w:t>
      </w:r>
    </w:p>
    <w:p w:rsidR="00D25945" w:rsidRDefault="00D25945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Civilian deaths only. War-related deaths are excluded from the statistics for the periods 1914</w:t>
      </w:r>
      <w:r>
        <w:rPr>
          <w:rFonts w:ascii="Arial" w:hAnsi="Arial"/>
          <w:sz w:val="24"/>
        </w:rPr>
        <w:noBreakHyphen/>
        <w:t>1920 and 1939-1950.</w:t>
      </w:r>
    </w:p>
    <w:p w:rsidR="00D25945" w:rsidRDefault="00D25945">
      <w:pPr>
        <w:pStyle w:val="PreformattedText"/>
        <w:rPr>
          <w:rFonts w:ascii="Arial" w:hAnsi="Arial"/>
          <w:sz w:val="24"/>
        </w:rPr>
      </w:pPr>
    </w:p>
    <w:p w:rsidR="00D25945" w:rsidRDefault="00D25945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3</w:t>
      </w:r>
    </w:p>
    <w:p w:rsidR="00D25945" w:rsidRDefault="00D25945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Civilian population only. The military population (regular army and conscripts) has been excluded from the population statistics for the periods 1912-1920 and 1939-1950.</w:t>
      </w:r>
    </w:p>
    <w:p w:rsidR="00D25945" w:rsidRDefault="00D25945">
      <w:pPr>
        <w:pStyle w:val="PreformattedText"/>
        <w:rPr>
          <w:rFonts w:ascii="Arial" w:hAnsi="Arial"/>
          <w:sz w:val="24"/>
        </w:rPr>
      </w:pPr>
    </w:p>
    <w:p w:rsidR="00845AE4" w:rsidRPr="008471A1" w:rsidRDefault="00845AE4" w:rsidP="00845AE4">
      <w:pPr>
        <w:pStyle w:val="PreformattedText"/>
        <w:rPr>
          <w:rFonts w:ascii="Arial" w:hAnsi="Arial"/>
          <w:sz w:val="24"/>
        </w:rPr>
      </w:pPr>
      <w:r w:rsidRPr="008471A1">
        <w:rPr>
          <w:rFonts w:ascii="Arial" w:hAnsi="Arial"/>
          <w:sz w:val="24"/>
        </w:rPr>
        <w:t>4</w:t>
      </w:r>
    </w:p>
    <w:p w:rsidR="00845AE4" w:rsidRPr="006F65A5" w:rsidRDefault="00845AE4" w:rsidP="00845AE4">
      <w:pPr>
        <w:widowControl/>
        <w:suppressAutoHyphens w:val="0"/>
        <w:overflowPunct/>
        <w:textAlignment w:val="auto"/>
        <w:rPr>
          <w:rFonts w:ascii="Arial" w:hAnsi="Arial" w:cs="Arial"/>
          <w:szCs w:val="24"/>
        </w:rPr>
      </w:pPr>
      <w:r w:rsidRPr="008471A1">
        <w:rPr>
          <w:rFonts w:ascii="Arial" w:hAnsi="Arial" w:cs="Arial"/>
          <w:szCs w:val="24"/>
        </w:rPr>
        <w:t>Revised post-</w:t>
      </w:r>
      <w:proofErr w:type="spellStart"/>
      <w:r w:rsidRPr="008471A1">
        <w:rPr>
          <w:rFonts w:ascii="Arial" w:hAnsi="Arial" w:cs="Arial"/>
          <w:szCs w:val="24"/>
        </w:rPr>
        <w:t>censal</w:t>
      </w:r>
      <w:proofErr w:type="spellEnd"/>
      <w:r w:rsidRPr="008471A1">
        <w:rPr>
          <w:rFonts w:ascii="Arial" w:hAnsi="Arial" w:cs="Arial"/>
          <w:szCs w:val="24"/>
        </w:rPr>
        <w:t xml:space="preserve"> mid-year population estimates</w:t>
      </w:r>
      <w:r w:rsidR="008E41F2" w:rsidRPr="008471A1">
        <w:rPr>
          <w:rFonts w:ascii="Arial" w:hAnsi="Arial" w:cs="Arial"/>
          <w:szCs w:val="24"/>
        </w:rPr>
        <w:t xml:space="preserve"> based on the 2001 census and</w:t>
      </w:r>
      <w:r w:rsidRPr="008471A1">
        <w:rPr>
          <w:rFonts w:ascii="Arial" w:hAnsi="Arial" w:cs="Arial"/>
          <w:szCs w:val="24"/>
        </w:rPr>
        <w:t xml:space="preserve"> adjusted </w:t>
      </w:r>
      <w:r w:rsidR="008E41F2" w:rsidRPr="008471A1">
        <w:rPr>
          <w:rFonts w:ascii="Arial" w:hAnsi="Arial" w:cs="Arial"/>
          <w:szCs w:val="24"/>
        </w:rPr>
        <w:t xml:space="preserve">by the </w:t>
      </w:r>
      <w:r w:rsidR="008471A1">
        <w:rPr>
          <w:rFonts w:ascii="Arial" w:hAnsi="Arial" w:cs="Arial"/>
          <w:szCs w:val="24"/>
        </w:rPr>
        <w:t xml:space="preserve">GRO Scotland </w:t>
      </w:r>
      <w:bookmarkStart w:id="0" w:name="_GoBack"/>
      <w:bookmarkEnd w:id="0"/>
      <w:r w:rsidRPr="008471A1">
        <w:rPr>
          <w:rFonts w:ascii="Arial" w:hAnsi="Arial" w:cs="Arial"/>
          <w:szCs w:val="24"/>
        </w:rPr>
        <w:t>to take into account improved estimates of international migration.</w:t>
      </w:r>
    </w:p>
    <w:p w:rsidR="00D25945" w:rsidRDefault="00D25945">
      <w:pPr>
        <w:pStyle w:val="PreformattedText"/>
        <w:rPr>
          <w:rFonts w:ascii="Arial" w:hAnsi="Arial"/>
          <w:sz w:val="24"/>
        </w:rPr>
      </w:pPr>
    </w:p>
    <w:p w:rsidR="00D25945" w:rsidRDefault="00D25945">
      <w:pPr>
        <w:pStyle w:val="PreformattedText"/>
        <w:rPr>
          <w:rFonts w:ascii="Arial" w:hAnsi="Arial"/>
          <w:sz w:val="24"/>
        </w:rPr>
      </w:pPr>
      <w:r>
        <w:rPr>
          <w:rFonts w:ascii="Arial" w:hAnsi="Arial"/>
          <w:sz w:val="24"/>
        </w:rPr>
        <w:t>5</w:t>
      </w:r>
    </w:p>
    <w:p w:rsidR="00D25945" w:rsidRDefault="00D25945">
      <w:pPr>
        <w:widowControl/>
        <w:suppressAutoHyphens w:val="0"/>
        <w:overflowPunct/>
        <w:textAlignment w:val="auto"/>
        <w:rPr>
          <w:rFonts w:ascii="Arial" w:hAnsi="Arial"/>
          <w:sz w:val="20"/>
        </w:rPr>
      </w:pPr>
      <w:r>
        <w:rPr>
          <w:rFonts w:ascii="Arial" w:hAnsi="Arial"/>
        </w:rPr>
        <w:t>In 1968, substantial jumps are found in the population counts at age 34 among males and at age 49 among females for which we have no explanation; they may indicate potential errors in the official data.</w:t>
      </w:r>
    </w:p>
    <w:p w:rsidR="00D25945" w:rsidRDefault="00D25945">
      <w:pPr>
        <w:pStyle w:val="PreformattedText"/>
        <w:rPr>
          <w:rFonts w:ascii="Arial" w:hAnsi="Arial"/>
          <w:sz w:val="24"/>
        </w:rPr>
      </w:pPr>
    </w:p>
    <w:p w:rsidR="00D25945" w:rsidRDefault="00D25945">
      <w:pPr>
        <w:pStyle w:val="PreformattedText"/>
        <w:rPr>
          <w:rFonts w:ascii="Arial" w:hAnsi="Arial"/>
          <w:sz w:val="24"/>
        </w:rPr>
      </w:pPr>
    </w:p>
    <w:p w:rsidR="00D25945" w:rsidRDefault="00D25945">
      <w:pPr>
        <w:pStyle w:val="PreformattedText"/>
        <w:rPr>
          <w:rFonts w:ascii="Arial" w:hAnsi="Arial"/>
          <w:sz w:val="24"/>
        </w:rPr>
      </w:pPr>
    </w:p>
    <w:sectPr w:rsidR="00D25945">
      <w:footnotePr>
        <w:pos w:val="beneathText"/>
      </w:footnotePr>
      <w:pgSz w:w="12240" w:h="15840"/>
      <w:pgMar w:top="1134" w:right="1134" w:bottom="1134" w:left="1134" w:header="1134" w:footer="113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A55"/>
    <w:rsid w:val="00796A55"/>
    <w:rsid w:val="00845AE4"/>
    <w:rsid w:val="008471A1"/>
    <w:rsid w:val="008E41F2"/>
    <w:rsid w:val="00D2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horndale" w:hAnsi="Thorndal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Pr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horndale" w:hAnsi="Thorndal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rPr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C35C720B</Template>
  <TotalTime>0</TotalTime>
  <Pages>1</Pages>
  <Words>127</Words>
  <Characters>730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</vt:lpstr>
    </vt:vector>
  </TitlesOfParts>
  <Company>MPI for Demographic Research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</dc:title>
  <dc:creator>Dana A. Glei</dc:creator>
  <cp:lastModifiedBy>Jasilionis, Domantas</cp:lastModifiedBy>
  <cp:revision>2</cp:revision>
  <cp:lastPrinted>2113-01-01T07:00:00Z</cp:lastPrinted>
  <dcterms:created xsi:type="dcterms:W3CDTF">2013-05-06T10:09:00Z</dcterms:created>
  <dcterms:modified xsi:type="dcterms:W3CDTF">2013-05-06T10:09:00Z</dcterms:modified>
</cp:coreProperties>
</file>