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FA14DD" w14:textId="77777777" w:rsidR="00FD60E2" w:rsidRPr="00FD60E2" w:rsidRDefault="00FD60E2" w:rsidP="000B02C5">
      <w:pPr>
        <w:numPr>
          <w:ilvl w:val="0"/>
          <w:numId w:val="1"/>
        </w:numPr>
        <w:spacing w:before="100" w:beforeAutospacing="1" w:after="100" w:afterAutospacing="1" w:line="480" w:lineRule="auto"/>
        <w:ind w:left="0"/>
        <w:rPr>
          <w:rFonts w:ascii="Arial" w:hAnsi="Arial" w:cs="Arial"/>
          <w:color w:val="0070C0"/>
        </w:rPr>
      </w:pPr>
      <w:commentRangeStart w:id="0"/>
      <w:r w:rsidRPr="00FD60E2">
        <w:rPr>
          <w:rFonts w:ascii="Arial" w:hAnsi="Arial" w:cs="Arial"/>
          <w:b/>
          <w:bCs/>
          <w:color w:val="0070C0"/>
        </w:rPr>
        <w:t>Author details</w:t>
      </w:r>
      <w:r w:rsidRPr="00FD60E2">
        <w:rPr>
          <w:rFonts w:ascii="Arial" w:hAnsi="Arial" w:cs="Arial"/>
          <w:color w:val="0070C0"/>
        </w:rPr>
        <w:t xml:space="preserve">. </w:t>
      </w:r>
      <w:commentRangeEnd w:id="0"/>
      <w:r w:rsidRPr="00FD60E2">
        <w:rPr>
          <w:rStyle w:val="CommentReference"/>
          <w:color w:val="0070C0"/>
        </w:rPr>
        <w:commentReference w:id="0"/>
      </w:r>
    </w:p>
    <w:p w14:paraId="46FF383A" w14:textId="77777777" w:rsidR="00FD60E2" w:rsidRDefault="00FD60E2" w:rsidP="000B02C5">
      <w:pPr>
        <w:spacing w:before="100" w:beforeAutospacing="1" w:after="100" w:afterAutospacing="1" w:line="480" w:lineRule="auto"/>
        <w:rPr>
          <w:rFonts w:ascii="Arial" w:hAnsi="Arial" w:cs="Arial"/>
          <w:color w:val="333333"/>
        </w:rPr>
      </w:pPr>
      <w:r>
        <w:rPr>
          <w:rFonts w:ascii="Arial" w:hAnsi="Arial" w:cs="Arial"/>
          <w:color w:val="333333"/>
        </w:rPr>
        <w:t>Jonathan William Minton [corresponding author]</w:t>
      </w:r>
    </w:p>
    <w:p w14:paraId="481CF006" w14:textId="77777777" w:rsidR="00FD60E2" w:rsidRDefault="00FD60E2" w:rsidP="000B02C5">
      <w:pPr>
        <w:spacing w:before="100" w:beforeAutospacing="1" w:after="100" w:afterAutospacing="1" w:line="480" w:lineRule="auto"/>
        <w:rPr>
          <w:rFonts w:ascii="Arial" w:hAnsi="Arial" w:cs="Arial"/>
          <w:color w:val="333333"/>
        </w:rPr>
      </w:pPr>
      <w:proofErr w:type="spellStart"/>
      <w:r>
        <w:rPr>
          <w:rFonts w:ascii="Arial" w:hAnsi="Arial" w:cs="Arial"/>
          <w:color w:val="333333"/>
        </w:rPr>
        <w:t>Orcid</w:t>
      </w:r>
      <w:proofErr w:type="spellEnd"/>
      <w:r>
        <w:rPr>
          <w:rFonts w:ascii="Arial" w:hAnsi="Arial" w:cs="Arial"/>
          <w:color w:val="333333"/>
        </w:rPr>
        <w:t xml:space="preserve"> id: </w:t>
      </w:r>
      <w:r w:rsidRPr="00FD60E2">
        <w:rPr>
          <w:rFonts w:ascii="Arial" w:hAnsi="Arial" w:cs="Arial"/>
          <w:color w:val="333333"/>
        </w:rPr>
        <w:t>0000-0003-1207-6259</w:t>
      </w:r>
    </w:p>
    <w:p w14:paraId="1930DFB0" w14:textId="77777777" w:rsidR="00FD60E2" w:rsidRDefault="00FD60E2" w:rsidP="000B02C5">
      <w:pPr>
        <w:spacing w:before="100" w:beforeAutospacing="1" w:after="100" w:afterAutospacing="1" w:line="480" w:lineRule="auto"/>
        <w:rPr>
          <w:rFonts w:ascii="Arial" w:hAnsi="Arial" w:cs="Arial"/>
          <w:color w:val="333333"/>
        </w:rPr>
      </w:pPr>
      <w:r>
        <w:rPr>
          <w:rFonts w:ascii="Arial" w:hAnsi="Arial" w:cs="Arial"/>
          <w:color w:val="333333"/>
        </w:rPr>
        <w:t>Twitter handle: @</w:t>
      </w:r>
      <w:proofErr w:type="spellStart"/>
      <w:r>
        <w:rPr>
          <w:rFonts w:ascii="Arial" w:hAnsi="Arial" w:cs="Arial"/>
          <w:color w:val="333333"/>
        </w:rPr>
        <w:t>JonMinton</w:t>
      </w:r>
      <w:proofErr w:type="spellEnd"/>
      <w:r>
        <w:rPr>
          <w:rFonts w:ascii="Arial" w:hAnsi="Arial" w:cs="Arial"/>
          <w:color w:val="333333"/>
        </w:rPr>
        <w:t xml:space="preserve"> </w:t>
      </w:r>
    </w:p>
    <w:p w14:paraId="03021DAF" w14:textId="77777777" w:rsidR="00FD60E2" w:rsidRDefault="00FD60E2" w:rsidP="000B02C5">
      <w:pPr>
        <w:spacing w:before="100" w:beforeAutospacing="1" w:after="100" w:afterAutospacing="1" w:line="480" w:lineRule="auto"/>
        <w:rPr>
          <w:rFonts w:ascii="Arial" w:hAnsi="Arial" w:cs="Arial"/>
          <w:color w:val="333333"/>
        </w:rPr>
      </w:pPr>
      <w:r>
        <w:rPr>
          <w:rFonts w:ascii="Arial" w:hAnsi="Arial" w:cs="Arial"/>
          <w:color w:val="333333"/>
        </w:rPr>
        <w:t xml:space="preserve">Email address: </w:t>
      </w:r>
      <w:hyperlink r:id="rId10" w:history="1">
        <w:r w:rsidRPr="00B65C28">
          <w:rPr>
            <w:rStyle w:val="Hyperlink"/>
            <w:rFonts w:ascii="Arial" w:hAnsi="Arial" w:cs="Arial"/>
          </w:rPr>
          <w:t>jonathan.minton@glasgow.ac.uk</w:t>
        </w:r>
      </w:hyperlink>
      <w:r>
        <w:rPr>
          <w:rFonts w:ascii="Arial" w:hAnsi="Arial" w:cs="Arial"/>
          <w:color w:val="333333"/>
        </w:rPr>
        <w:t xml:space="preserve">; </w:t>
      </w:r>
      <w:hyperlink r:id="rId11" w:history="1">
        <w:r w:rsidRPr="00B65C28">
          <w:rPr>
            <w:rStyle w:val="Hyperlink"/>
            <w:rFonts w:ascii="Arial" w:hAnsi="Arial" w:cs="Arial"/>
          </w:rPr>
          <w:t>nate.minton@gmail.com</w:t>
        </w:r>
      </w:hyperlink>
      <w:r>
        <w:rPr>
          <w:rFonts w:ascii="Arial" w:hAnsi="Arial" w:cs="Arial"/>
          <w:color w:val="333333"/>
        </w:rPr>
        <w:t xml:space="preserve"> </w:t>
      </w:r>
    </w:p>
    <w:p w14:paraId="033985A4" w14:textId="77777777" w:rsidR="00FD60E2" w:rsidRDefault="00FD60E2" w:rsidP="000B02C5">
      <w:pPr>
        <w:spacing w:before="100" w:beforeAutospacing="1" w:after="100" w:afterAutospacing="1" w:line="480" w:lineRule="auto"/>
        <w:rPr>
          <w:rFonts w:ascii="Arial" w:hAnsi="Arial" w:cs="Arial"/>
          <w:color w:val="333333"/>
        </w:rPr>
      </w:pPr>
      <w:r>
        <w:rPr>
          <w:rFonts w:ascii="Arial" w:hAnsi="Arial" w:cs="Arial"/>
          <w:color w:val="333333"/>
        </w:rPr>
        <w:t>Telephone: +44 7866 022543</w:t>
      </w:r>
    </w:p>
    <w:p w14:paraId="50C8877F" w14:textId="77777777" w:rsidR="00FD60E2" w:rsidRPr="00FD60E2" w:rsidRDefault="00FD60E2" w:rsidP="000B02C5">
      <w:pPr>
        <w:spacing w:before="100" w:beforeAutospacing="1" w:after="100" w:afterAutospacing="1" w:line="480" w:lineRule="auto"/>
        <w:rPr>
          <w:rFonts w:ascii="Arial" w:hAnsi="Arial" w:cs="Arial"/>
          <w:color w:val="333333"/>
        </w:rPr>
      </w:pPr>
      <w:r>
        <w:rPr>
          <w:rFonts w:ascii="Arial" w:hAnsi="Arial" w:cs="Arial"/>
          <w:color w:val="333333"/>
        </w:rPr>
        <w:t>Room 110, 25 Bute Gardens, School of Social &amp; Political Sciences, University of Glasgow, Scotland, UK. G12 8RS</w:t>
      </w:r>
    </w:p>
    <w:p w14:paraId="3802F657" w14:textId="77777777" w:rsidR="00FD60E2" w:rsidRPr="00FD60E2" w:rsidRDefault="00FD60E2" w:rsidP="000B02C5">
      <w:pPr>
        <w:numPr>
          <w:ilvl w:val="0"/>
          <w:numId w:val="1"/>
        </w:numPr>
        <w:spacing w:before="100" w:beforeAutospacing="1" w:after="100" w:afterAutospacing="1" w:line="480" w:lineRule="auto"/>
        <w:ind w:left="0"/>
        <w:rPr>
          <w:rFonts w:ascii="Arial" w:hAnsi="Arial" w:cs="Arial"/>
          <w:color w:val="FF0000"/>
        </w:rPr>
      </w:pPr>
      <w:commentRangeStart w:id="1"/>
      <w:r w:rsidRPr="00FD60E2">
        <w:rPr>
          <w:rFonts w:ascii="Arial" w:hAnsi="Arial" w:cs="Arial"/>
          <w:b/>
          <w:color w:val="FF0000"/>
        </w:rPr>
        <w:t>Abstract.</w:t>
      </w:r>
      <w:r w:rsidRPr="00FD60E2">
        <w:rPr>
          <w:rFonts w:ascii="Arial" w:hAnsi="Arial" w:cs="Arial"/>
          <w:color w:val="FF0000"/>
        </w:rPr>
        <w:t xml:space="preserve"> </w:t>
      </w:r>
      <w:commentRangeEnd w:id="1"/>
      <w:r w:rsidRPr="00FD60E2">
        <w:rPr>
          <w:rStyle w:val="CommentReference"/>
          <w:color w:val="FF0000"/>
        </w:rPr>
        <w:commentReference w:id="1"/>
      </w:r>
      <w:r w:rsidRPr="00FD60E2">
        <w:rPr>
          <w:rFonts w:ascii="Arial" w:hAnsi="Arial" w:cs="Arial"/>
          <w:color w:val="FF0000"/>
        </w:rPr>
        <w:t>[150-200 words]</w:t>
      </w:r>
    </w:p>
    <w:p w14:paraId="64B12652" w14:textId="77777777" w:rsidR="00FD60E2" w:rsidRDefault="00FD60E2" w:rsidP="000B02C5">
      <w:pPr>
        <w:spacing w:before="100" w:beforeAutospacing="1" w:after="100" w:afterAutospacing="1" w:line="480" w:lineRule="auto"/>
        <w:rPr>
          <w:rFonts w:ascii="Arial" w:hAnsi="Arial" w:cs="Arial"/>
          <w:color w:val="333333"/>
        </w:rPr>
      </w:pPr>
    </w:p>
    <w:p w14:paraId="7B17F2E6" w14:textId="77777777" w:rsidR="00FD60E2" w:rsidRPr="00FD60E2" w:rsidRDefault="00FD60E2" w:rsidP="000B02C5">
      <w:pPr>
        <w:numPr>
          <w:ilvl w:val="0"/>
          <w:numId w:val="1"/>
        </w:numPr>
        <w:spacing w:before="100" w:beforeAutospacing="1" w:after="100" w:afterAutospacing="1" w:line="480" w:lineRule="auto"/>
        <w:ind w:left="0"/>
        <w:rPr>
          <w:rFonts w:ascii="Arial" w:hAnsi="Arial" w:cs="Arial"/>
          <w:color w:val="7030A0"/>
        </w:rPr>
      </w:pPr>
      <w:commentRangeStart w:id="2"/>
      <w:r w:rsidRPr="00FD60E2">
        <w:rPr>
          <w:rFonts w:ascii="Arial" w:hAnsi="Arial" w:cs="Arial"/>
          <w:color w:val="7030A0"/>
        </w:rPr>
        <w:t xml:space="preserve">(Video Abstract) </w:t>
      </w:r>
      <w:commentRangeEnd w:id="2"/>
      <w:r w:rsidRPr="00FD60E2">
        <w:rPr>
          <w:rStyle w:val="CommentReference"/>
          <w:color w:val="7030A0"/>
        </w:rPr>
        <w:commentReference w:id="2"/>
      </w:r>
    </w:p>
    <w:p w14:paraId="60CE5CF6" w14:textId="77777777" w:rsidR="00FD60E2" w:rsidRDefault="00FD60E2" w:rsidP="000B02C5">
      <w:pPr>
        <w:spacing w:before="100" w:beforeAutospacing="1" w:after="100" w:afterAutospacing="1" w:line="480" w:lineRule="auto"/>
        <w:rPr>
          <w:rFonts w:ascii="Arial" w:hAnsi="Arial" w:cs="Arial"/>
          <w:color w:val="333333"/>
        </w:rPr>
      </w:pPr>
    </w:p>
    <w:p w14:paraId="67D12980" w14:textId="77777777" w:rsidR="00FD60E2" w:rsidRPr="00FD60E2" w:rsidRDefault="00FD60E2" w:rsidP="000B02C5">
      <w:pPr>
        <w:numPr>
          <w:ilvl w:val="0"/>
          <w:numId w:val="1"/>
        </w:numPr>
        <w:spacing w:before="100" w:beforeAutospacing="1" w:after="100" w:afterAutospacing="1" w:line="480" w:lineRule="auto"/>
        <w:ind w:left="0"/>
        <w:rPr>
          <w:rFonts w:ascii="Arial" w:hAnsi="Arial" w:cs="Arial"/>
          <w:color w:val="0070C0"/>
        </w:rPr>
      </w:pPr>
      <w:commentRangeStart w:id="3"/>
      <w:r w:rsidRPr="00FD60E2">
        <w:rPr>
          <w:rFonts w:ascii="Arial" w:hAnsi="Arial" w:cs="Arial"/>
          <w:color w:val="0070C0"/>
        </w:rPr>
        <w:t>3-6</w:t>
      </w:r>
      <w:r w:rsidRPr="00FD60E2">
        <w:rPr>
          <w:rStyle w:val="apple-converted-space"/>
          <w:rFonts w:ascii="Arial" w:hAnsi="Arial" w:cs="Arial"/>
          <w:color w:val="0070C0"/>
        </w:rPr>
        <w:t> </w:t>
      </w:r>
      <w:r w:rsidRPr="00FD60E2">
        <w:rPr>
          <w:rFonts w:ascii="Arial" w:hAnsi="Arial" w:cs="Arial"/>
          <w:b/>
          <w:bCs/>
          <w:color w:val="0070C0"/>
        </w:rPr>
        <w:t>keywords</w:t>
      </w:r>
      <w:r w:rsidRPr="00FD60E2">
        <w:rPr>
          <w:rFonts w:ascii="Arial" w:hAnsi="Arial" w:cs="Arial"/>
          <w:color w:val="0070C0"/>
        </w:rPr>
        <w:t xml:space="preserve">. </w:t>
      </w:r>
      <w:commentRangeEnd w:id="3"/>
      <w:r w:rsidRPr="00FD60E2">
        <w:rPr>
          <w:rStyle w:val="CommentReference"/>
          <w:color w:val="0070C0"/>
        </w:rPr>
        <w:commentReference w:id="3"/>
      </w:r>
    </w:p>
    <w:p w14:paraId="5E31EF10" w14:textId="77777777" w:rsidR="00FD60E2" w:rsidRPr="00FD60E2" w:rsidRDefault="00FD60E2" w:rsidP="000B02C5">
      <w:pPr>
        <w:spacing w:line="480" w:lineRule="auto"/>
        <w:rPr>
          <w:rFonts w:ascii="Arial" w:hAnsi="Arial" w:cs="Arial"/>
          <w:color w:val="333333"/>
        </w:rPr>
      </w:pPr>
      <w:r>
        <w:rPr>
          <w:rFonts w:ascii="Arial" w:hAnsi="Arial" w:cs="Arial"/>
          <w:color w:val="333333"/>
        </w:rPr>
        <w:t>Brexit; Northern Ireland; Mortality</w:t>
      </w:r>
    </w:p>
    <w:p w14:paraId="3CAD114E" w14:textId="77777777" w:rsidR="00FD60E2" w:rsidRPr="00FD60E2" w:rsidRDefault="00FD60E2" w:rsidP="000B02C5">
      <w:pPr>
        <w:numPr>
          <w:ilvl w:val="0"/>
          <w:numId w:val="1"/>
        </w:numPr>
        <w:spacing w:before="100" w:beforeAutospacing="1" w:after="100" w:afterAutospacing="1" w:line="480" w:lineRule="auto"/>
        <w:ind w:left="0"/>
        <w:rPr>
          <w:rFonts w:ascii="Arial" w:hAnsi="Arial" w:cs="Arial"/>
          <w:color w:val="0070C0"/>
        </w:rPr>
      </w:pPr>
      <w:commentRangeStart w:id="4"/>
      <w:r w:rsidRPr="00FD60E2">
        <w:rPr>
          <w:rFonts w:ascii="Arial" w:hAnsi="Arial" w:cs="Arial"/>
          <w:b/>
          <w:bCs/>
          <w:color w:val="0070C0"/>
        </w:rPr>
        <w:t>Funding details</w:t>
      </w:r>
      <w:r w:rsidRPr="00FD60E2">
        <w:rPr>
          <w:rFonts w:ascii="Arial" w:hAnsi="Arial" w:cs="Arial"/>
          <w:color w:val="0070C0"/>
        </w:rPr>
        <w:t xml:space="preserve">. </w:t>
      </w:r>
      <w:commentRangeEnd w:id="4"/>
      <w:r w:rsidRPr="00FD60E2">
        <w:rPr>
          <w:rStyle w:val="CommentReference"/>
          <w:color w:val="0070C0"/>
        </w:rPr>
        <w:commentReference w:id="4"/>
      </w:r>
    </w:p>
    <w:p w14:paraId="567DA4AB" w14:textId="77777777" w:rsidR="00FD60E2" w:rsidRDefault="00FD60E2" w:rsidP="000B02C5">
      <w:pPr>
        <w:spacing w:before="100" w:beforeAutospacing="1" w:after="100" w:afterAutospacing="1" w:line="480" w:lineRule="auto"/>
        <w:rPr>
          <w:rFonts w:ascii="Arial" w:hAnsi="Arial" w:cs="Arial"/>
          <w:color w:val="333333"/>
        </w:rPr>
      </w:pPr>
      <w:r>
        <w:rPr>
          <w:rFonts w:ascii="Arial" w:hAnsi="Arial" w:cs="Arial"/>
          <w:color w:val="333333"/>
        </w:rPr>
        <w:t>This research received no specific funding.</w:t>
      </w:r>
    </w:p>
    <w:p w14:paraId="2D230AF7" w14:textId="77777777" w:rsidR="00FD60E2" w:rsidRPr="00FD60E2" w:rsidRDefault="00FD60E2" w:rsidP="000B02C5">
      <w:pPr>
        <w:numPr>
          <w:ilvl w:val="0"/>
          <w:numId w:val="1"/>
        </w:numPr>
        <w:spacing w:before="100" w:beforeAutospacing="1" w:after="100" w:afterAutospacing="1" w:line="480" w:lineRule="auto"/>
        <w:ind w:left="0"/>
        <w:rPr>
          <w:rFonts w:ascii="Arial" w:hAnsi="Arial" w:cs="Arial"/>
          <w:color w:val="0070C0"/>
        </w:rPr>
      </w:pPr>
      <w:commentRangeStart w:id="5"/>
      <w:r w:rsidRPr="00FD60E2">
        <w:rPr>
          <w:rFonts w:ascii="Arial" w:hAnsi="Arial" w:cs="Arial"/>
          <w:b/>
          <w:bCs/>
          <w:color w:val="0070C0"/>
        </w:rPr>
        <w:t>Disclosure statement</w:t>
      </w:r>
      <w:r w:rsidRPr="00FD60E2">
        <w:rPr>
          <w:rFonts w:ascii="Arial" w:hAnsi="Arial" w:cs="Arial"/>
          <w:color w:val="0070C0"/>
        </w:rPr>
        <w:t xml:space="preserve">. </w:t>
      </w:r>
      <w:commentRangeEnd w:id="5"/>
      <w:r w:rsidRPr="00FD60E2">
        <w:rPr>
          <w:rStyle w:val="CommentReference"/>
          <w:color w:val="0070C0"/>
        </w:rPr>
        <w:commentReference w:id="5"/>
      </w:r>
    </w:p>
    <w:p w14:paraId="34686D37" w14:textId="77777777" w:rsidR="00FD60E2" w:rsidRDefault="00FD60E2" w:rsidP="000B02C5">
      <w:pPr>
        <w:spacing w:before="100" w:beforeAutospacing="1" w:after="100" w:afterAutospacing="1" w:line="480" w:lineRule="auto"/>
        <w:rPr>
          <w:rFonts w:ascii="Arial" w:hAnsi="Arial" w:cs="Arial"/>
          <w:color w:val="333333"/>
        </w:rPr>
      </w:pPr>
      <w:r w:rsidRPr="00FD60E2">
        <w:rPr>
          <w:rFonts w:ascii="Arial" w:hAnsi="Arial" w:cs="Arial"/>
          <w:color w:val="333333"/>
        </w:rPr>
        <w:t>No potential conflict of interest was reported by the authors.</w:t>
      </w:r>
    </w:p>
    <w:p w14:paraId="25329566" w14:textId="77777777" w:rsidR="00FD60E2" w:rsidRDefault="00FD60E2" w:rsidP="000B02C5">
      <w:pPr>
        <w:numPr>
          <w:ilvl w:val="0"/>
          <w:numId w:val="1"/>
        </w:numPr>
        <w:spacing w:before="100" w:beforeAutospacing="1" w:after="100" w:afterAutospacing="1" w:line="480" w:lineRule="auto"/>
        <w:ind w:left="0"/>
        <w:rPr>
          <w:rFonts w:ascii="Arial" w:hAnsi="Arial" w:cs="Arial"/>
          <w:color w:val="333333"/>
        </w:rPr>
      </w:pPr>
      <w:commentRangeStart w:id="6"/>
      <w:r w:rsidRPr="00FD60E2">
        <w:rPr>
          <w:rFonts w:ascii="Arial" w:hAnsi="Arial" w:cs="Arial"/>
          <w:b/>
          <w:bCs/>
          <w:color w:val="FF0000"/>
        </w:rPr>
        <w:lastRenderedPageBreak/>
        <w:t>Biographical note.</w:t>
      </w:r>
      <w:r w:rsidRPr="00FD60E2">
        <w:rPr>
          <w:rStyle w:val="apple-converted-space"/>
          <w:rFonts w:ascii="Arial" w:hAnsi="Arial" w:cs="Arial"/>
          <w:color w:val="FF0000"/>
        </w:rPr>
        <w:t> </w:t>
      </w:r>
      <w:r w:rsidRPr="00FD60E2">
        <w:rPr>
          <w:rFonts w:ascii="Arial" w:hAnsi="Arial" w:cs="Arial"/>
          <w:color w:val="FF0000"/>
        </w:rPr>
        <w:t xml:space="preserve"> </w:t>
      </w:r>
      <w:commentRangeEnd w:id="6"/>
      <w:r w:rsidRPr="00FD60E2">
        <w:rPr>
          <w:rStyle w:val="CommentReference"/>
          <w:color w:val="FF0000"/>
        </w:rPr>
        <w:commentReference w:id="6"/>
      </w:r>
      <w:r>
        <w:rPr>
          <w:rFonts w:ascii="Arial" w:hAnsi="Arial" w:cs="Arial"/>
          <w:color w:val="333333"/>
        </w:rPr>
        <w:t>[up to 100 words]</w:t>
      </w:r>
    </w:p>
    <w:p w14:paraId="209A294C" w14:textId="77777777" w:rsidR="00FD60E2" w:rsidRPr="00FD60E2" w:rsidRDefault="00FD60E2" w:rsidP="000B02C5">
      <w:pPr>
        <w:spacing w:before="100" w:beforeAutospacing="1" w:after="100" w:afterAutospacing="1" w:line="480" w:lineRule="auto"/>
        <w:rPr>
          <w:rFonts w:ascii="Arial" w:hAnsi="Arial" w:cs="Arial"/>
          <w:color w:val="333333"/>
        </w:rPr>
      </w:pPr>
    </w:p>
    <w:p w14:paraId="552F07C6" w14:textId="77777777" w:rsidR="00FD60E2" w:rsidRPr="00FD60E2" w:rsidRDefault="00FD60E2" w:rsidP="000B02C5">
      <w:pPr>
        <w:numPr>
          <w:ilvl w:val="0"/>
          <w:numId w:val="1"/>
        </w:numPr>
        <w:spacing w:before="100" w:beforeAutospacing="1" w:after="100" w:afterAutospacing="1" w:line="480" w:lineRule="auto"/>
        <w:ind w:left="0"/>
        <w:rPr>
          <w:rFonts w:ascii="Arial" w:hAnsi="Arial" w:cs="Arial"/>
          <w:color w:val="0070C0"/>
        </w:rPr>
      </w:pPr>
      <w:commentRangeStart w:id="7"/>
      <w:r w:rsidRPr="00FD60E2">
        <w:rPr>
          <w:rFonts w:ascii="Arial" w:hAnsi="Arial" w:cs="Arial"/>
          <w:b/>
          <w:bCs/>
          <w:color w:val="0070C0"/>
        </w:rPr>
        <w:t>Geolocation information.</w:t>
      </w:r>
      <w:r w:rsidRPr="00FD60E2">
        <w:rPr>
          <w:rStyle w:val="apple-converted-space"/>
          <w:rFonts w:ascii="Arial" w:hAnsi="Arial" w:cs="Arial"/>
          <w:color w:val="0070C0"/>
        </w:rPr>
        <w:t> </w:t>
      </w:r>
      <w:r w:rsidRPr="00FD60E2">
        <w:rPr>
          <w:rFonts w:ascii="Arial" w:hAnsi="Arial" w:cs="Arial"/>
          <w:color w:val="0070C0"/>
        </w:rPr>
        <w:t xml:space="preserve"> </w:t>
      </w:r>
      <w:commentRangeEnd w:id="7"/>
      <w:r w:rsidRPr="00FD60E2">
        <w:rPr>
          <w:rStyle w:val="CommentReference"/>
          <w:color w:val="0070C0"/>
        </w:rPr>
        <w:commentReference w:id="7"/>
      </w:r>
    </w:p>
    <w:p w14:paraId="084A157E" w14:textId="77777777" w:rsidR="00FD60E2" w:rsidRPr="00FD60E2" w:rsidRDefault="00FD60E2" w:rsidP="000B02C5">
      <w:pPr>
        <w:spacing w:line="480" w:lineRule="auto"/>
        <w:rPr>
          <w:rFonts w:ascii="Arial" w:hAnsi="Arial" w:cs="Arial"/>
          <w:color w:val="0070C0"/>
        </w:rPr>
      </w:pPr>
      <w:r w:rsidRPr="00FD60E2">
        <w:rPr>
          <w:rFonts w:ascii="Arial" w:hAnsi="Arial" w:cs="Arial"/>
          <w:color w:val="0070C0"/>
        </w:rPr>
        <w:t>Scotland, UK</w:t>
      </w:r>
    </w:p>
    <w:p w14:paraId="1D273F18" w14:textId="77777777" w:rsidR="00FD60E2" w:rsidRPr="00FD60E2" w:rsidRDefault="00FD60E2" w:rsidP="000B02C5">
      <w:pPr>
        <w:numPr>
          <w:ilvl w:val="0"/>
          <w:numId w:val="1"/>
        </w:numPr>
        <w:spacing w:before="100" w:beforeAutospacing="1" w:after="100" w:afterAutospacing="1" w:line="480" w:lineRule="auto"/>
        <w:ind w:left="0"/>
        <w:rPr>
          <w:rFonts w:ascii="Arial" w:hAnsi="Arial" w:cs="Arial"/>
          <w:color w:val="FF0000"/>
        </w:rPr>
      </w:pPr>
      <w:commentRangeStart w:id="8"/>
      <w:r w:rsidRPr="00FD60E2">
        <w:rPr>
          <w:rFonts w:ascii="Arial" w:hAnsi="Arial" w:cs="Arial"/>
          <w:b/>
          <w:bCs/>
          <w:color w:val="FF0000"/>
        </w:rPr>
        <w:t>Supplemental online material.</w:t>
      </w:r>
      <w:r w:rsidRPr="00FD60E2">
        <w:rPr>
          <w:rStyle w:val="apple-converted-space"/>
          <w:rFonts w:ascii="Arial" w:hAnsi="Arial" w:cs="Arial"/>
          <w:color w:val="FF0000"/>
        </w:rPr>
        <w:t> </w:t>
      </w:r>
      <w:r w:rsidRPr="00FD60E2">
        <w:rPr>
          <w:rFonts w:ascii="Arial" w:hAnsi="Arial" w:cs="Arial"/>
          <w:color w:val="FF0000"/>
        </w:rPr>
        <w:t xml:space="preserve"> </w:t>
      </w:r>
      <w:commentRangeEnd w:id="8"/>
      <w:r w:rsidRPr="00FD60E2">
        <w:rPr>
          <w:rStyle w:val="CommentReference"/>
          <w:color w:val="FF0000"/>
        </w:rPr>
        <w:commentReference w:id="8"/>
      </w:r>
    </w:p>
    <w:p w14:paraId="05AC37AA" w14:textId="77777777" w:rsidR="00FD60E2" w:rsidRDefault="00FD60E2" w:rsidP="000B02C5">
      <w:pPr>
        <w:pStyle w:val="ListParagraph"/>
        <w:spacing w:line="480" w:lineRule="auto"/>
        <w:rPr>
          <w:rFonts w:ascii="Arial" w:hAnsi="Arial" w:cs="Arial"/>
          <w:color w:val="333333"/>
        </w:rPr>
      </w:pPr>
    </w:p>
    <w:p w14:paraId="3AE03439" w14:textId="77777777" w:rsidR="00FD60E2" w:rsidRPr="00FD60E2" w:rsidRDefault="00FD60E2" w:rsidP="000B02C5">
      <w:pPr>
        <w:numPr>
          <w:ilvl w:val="0"/>
          <w:numId w:val="1"/>
        </w:numPr>
        <w:spacing w:before="100" w:beforeAutospacing="1" w:after="100" w:afterAutospacing="1" w:line="480" w:lineRule="auto"/>
        <w:ind w:left="0"/>
        <w:rPr>
          <w:rFonts w:ascii="Arial" w:hAnsi="Arial" w:cs="Arial"/>
          <w:color w:val="FF0000"/>
        </w:rPr>
      </w:pPr>
      <w:commentRangeStart w:id="9"/>
      <w:r w:rsidRPr="00FD60E2">
        <w:rPr>
          <w:rFonts w:ascii="Arial" w:hAnsi="Arial" w:cs="Arial"/>
          <w:b/>
          <w:bCs/>
          <w:color w:val="FF0000"/>
        </w:rPr>
        <w:t>Figures</w:t>
      </w:r>
      <w:commentRangeEnd w:id="9"/>
      <w:r w:rsidRPr="00FD60E2">
        <w:rPr>
          <w:rStyle w:val="CommentReference"/>
          <w:color w:val="FF0000"/>
        </w:rPr>
        <w:commentReference w:id="9"/>
      </w:r>
      <w:r w:rsidRPr="00FD60E2">
        <w:rPr>
          <w:rFonts w:ascii="Arial" w:hAnsi="Arial" w:cs="Arial"/>
          <w:b/>
          <w:bCs/>
          <w:color w:val="FF0000"/>
        </w:rPr>
        <w:t>.</w:t>
      </w:r>
      <w:r w:rsidRPr="00FD60E2">
        <w:rPr>
          <w:rStyle w:val="apple-converted-space"/>
          <w:rFonts w:ascii="Arial" w:hAnsi="Arial" w:cs="Arial"/>
          <w:color w:val="FF0000"/>
        </w:rPr>
        <w:t> </w:t>
      </w:r>
    </w:p>
    <w:p w14:paraId="464042C7" w14:textId="77777777" w:rsidR="00FD60E2" w:rsidRDefault="00FD60E2" w:rsidP="000B02C5">
      <w:pPr>
        <w:spacing w:before="100" w:beforeAutospacing="1" w:after="100" w:afterAutospacing="1" w:line="480" w:lineRule="auto"/>
        <w:rPr>
          <w:rFonts w:ascii="Arial" w:hAnsi="Arial" w:cs="Arial"/>
          <w:color w:val="333333"/>
        </w:rPr>
      </w:pPr>
    </w:p>
    <w:p w14:paraId="2A4E9E7E" w14:textId="77777777" w:rsidR="00FD60E2" w:rsidRPr="00FD60E2" w:rsidRDefault="00FD60E2" w:rsidP="000B02C5">
      <w:pPr>
        <w:numPr>
          <w:ilvl w:val="0"/>
          <w:numId w:val="1"/>
        </w:numPr>
        <w:spacing w:before="100" w:beforeAutospacing="1" w:after="100" w:afterAutospacing="1" w:line="480" w:lineRule="auto"/>
        <w:ind w:left="0"/>
        <w:rPr>
          <w:rFonts w:ascii="Arial" w:hAnsi="Arial" w:cs="Arial"/>
          <w:color w:val="FF0000"/>
        </w:rPr>
      </w:pPr>
      <w:commentRangeStart w:id="10"/>
      <w:r w:rsidRPr="00FD60E2">
        <w:rPr>
          <w:rFonts w:ascii="Arial" w:hAnsi="Arial" w:cs="Arial"/>
          <w:b/>
          <w:bCs/>
          <w:color w:val="FF0000"/>
        </w:rPr>
        <w:t>Tables</w:t>
      </w:r>
      <w:commentRangeEnd w:id="10"/>
      <w:r w:rsidRPr="00FD60E2">
        <w:rPr>
          <w:rStyle w:val="CommentReference"/>
          <w:color w:val="FF0000"/>
        </w:rPr>
        <w:commentReference w:id="10"/>
      </w:r>
      <w:r w:rsidRPr="00FD60E2">
        <w:rPr>
          <w:rFonts w:ascii="Arial" w:hAnsi="Arial" w:cs="Arial"/>
          <w:b/>
          <w:bCs/>
          <w:color w:val="FF0000"/>
        </w:rPr>
        <w:t>.</w:t>
      </w:r>
      <w:r w:rsidRPr="00FD60E2">
        <w:rPr>
          <w:rStyle w:val="apple-converted-space"/>
          <w:rFonts w:ascii="Arial" w:hAnsi="Arial" w:cs="Arial"/>
          <w:color w:val="FF0000"/>
        </w:rPr>
        <w:t> </w:t>
      </w:r>
      <w:r w:rsidRPr="00FD60E2">
        <w:rPr>
          <w:rFonts w:ascii="Arial" w:hAnsi="Arial" w:cs="Arial"/>
          <w:color w:val="FF0000"/>
        </w:rPr>
        <w:t xml:space="preserve"> </w:t>
      </w:r>
    </w:p>
    <w:p w14:paraId="25230537" w14:textId="77777777" w:rsidR="00FD60E2" w:rsidRDefault="00FD60E2" w:rsidP="000B02C5">
      <w:pPr>
        <w:spacing w:before="100" w:beforeAutospacing="1" w:after="100" w:afterAutospacing="1" w:line="480" w:lineRule="auto"/>
        <w:rPr>
          <w:rFonts w:ascii="Arial" w:hAnsi="Arial" w:cs="Arial"/>
          <w:color w:val="333333"/>
        </w:rPr>
      </w:pPr>
    </w:p>
    <w:p w14:paraId="4B8BE6B9" w14:textId="77777777" w:rsidR="00FD60E2" w:rsidRPr="00FD60E2" w:rsidRDefault="00FD60E2" w:rsidP="000B02C5">
      <w:pPr>
        <w:numPr>
          <w:ilvl w:val="0"/>
          <w:numId w:val="1"/>
        </w:numPr>
        <w:spacing w:before="100" w:beforeAutospacing="1" w:after="100" w:afterAutospacing="1" w:line="480" w:lineRule="auto"/>
        <w:ind w:left="0"/>
        <w:rPr>
          <w:rFonts w:ascii="Arial" w:hAnsi="Arial" w:cs="Arial"/>
          <w:color w:val="FF0000"/>
        </w:rPr>
      </w:pPr>
      <w:commentRangeStart w:id="11"/>
      <w:r w:rsidRPr="00FD60E2">
        <w:rPr>
          <w:rFonts w:ascii="Arial" w:hAnsi="Arial" w:cs="Arial"/>
          <w:b/>
          <w:bCs/>
          <w:color w:val="FF0000"/>
        </w:rPr>
        <w:t>Equations</w:t>
      </w:r>
      <w:r w:rsidRPr="00FD60E2">
        <w:rPr>
          <w:rFonts w:ascii="Arial" w:hAnsi="Arial" w:cs="Arial"/>
          <w:color w:val="FF0000"/>
        </w:rPr>
        <w:t xml:space="preserve">. </w:t>
      </w:r>
      <w:commentRangeEnd w:id="11"/>
      <w:r w:rsidRPr="00FD60E2">
        <w:rPr>
          <w:rStyle w:val="CommentReference"/>
          <w:color w:val="FF0000"/>
        </w:rPr>
        <w:commentReference w:id="11"/>
      </w:r>
    </w:p>
    <w:p w14:paraId="511F1595" w14:textId="77777777" w:rsidR="00FD60E2" w:rsidRPr="00FD60E2" w:rsidRDefault="00FD60E2" w:rsidP="000B02C5">
      <w:pPr>
        <w:spacing w:before="100" w:beforeAutospacing="1" w:after="100" w:afterAutospacing="1" w:line="480" w:lineRule="auto"/>
        <w:rPr>
          <w:rFonts w:ascii="Arial" w:hAnsi="Arial" w:cs="Arial"/>
          <w:color w:val="333333"/>
        </w:rPr>
      </w:pPr>
    </w:p>
    <w:p w14:paraId="308BCED2" w14:textId="77777777" w:rsidR="00FD60E2" w:rsidRDefault="00FD60E2" w:rsidP="000B02C5">
      <w:pPr>
        <w:numPr>
          <w:ilvl w:val="0"/>
          <w:numId w:val="1"/>
        </w:numPr>
        <w:spacing w:before="100" w:beforeAutospacing="1" w:after="100" w:afterAutospacing="1" w:line="480" w:lineRule="auto"/>
        <w:ind w:left="0"/>
        <w:rPr>
          <w:rFonts w:ascii="Arial" w:hAnsi="Arial" w:cs="Arial"/>
          <w:color w:val="333333"/>
        </w:rPr>
      </w:pPr>
      <w:commentRangeStart w:id="12"/>
      <w:r>
        <w:rPr>
          <w:rFonts w:ascii="Arial" w:hAnsi="Arial" w:cs="Arial"/>
          <w:b/>
          <w:bCs/>
          <w:color w:val="333333"/>
        </w:rPr>
        <w:t>Units.</w:t>
      </w:r>
      <w:r>
        <w:rPr>
          <w:rStyle w:val="apple-converted-space"/>
          <w:rFonts w:ascii="Arial" w:hAnsi="Arial" w:cs="Arial"/>
          <w:color w:val="333333"/>
        </w:rPr>
        <w:t> </w:t>
      </w:r>
      <w:commentRangeEnd w:id="12"/>
      <w:r>
        <w:rPr>
          <w:rStyle w:val="CommentReference"/>
        </w:rPr>
        <w:commentReference w:id="12"/>
      </w:r>
    </w:p>
    <w:p w14:paraId="7E8A1205" w14:textId="77777777" w:rsidR="004D1C59" w:rsidRDefault="004D1C59" w:rsidP="000B02C5">
      <w:pPr>
        <w:spacing w:line="480" w:lineRule="auto"/>
        <w:sectPr w:rsidR="004D1C59">
          <w:footerReference w:type="default" r:id="rId12"/>
          <w:pgSz w:w="11906" w:h="16838"/>
          <w:pgMar w:top="1440" w:right="1440" w:bottom="1440" w:left="1440" w:header="708" w:footer="708" w:gutter="0"/>
          <w:cols w:space="708"/>
          <w:docGrid w:linePitch="360"/>
        </w:sectPr>
      </w:pPr>
    </w:p>
    <w:p w14:paraId="11E251D0" w14:textId="77777777" w:rsidR="00F119C2" w:rsidRDefault="00F1537E" w:rsidP="000B02C5">
      <w:pPr>
        <w:pStyle w:val="Heading1"/>
        <w:spacing w:line="480" w:lineRule="auto"/>
      </w:pPr>
      <w:r>
        <w:lastRenderedPageBreak/>
        <w:t>Manuscript [5000 words]</w:t>
      </w:r>
    </w:p>
    <w:p w14:paraId="3269661D" w14:textId="77777777" w:rsidR="00F1537E" w:rsidRDefault="00F1537E" w:rsidP="000B02C5">
      <w:pPr>
        <w:spacing w:line="480" w:lineRule="auto"/>
      </w:pPr>
    </w:p>
    <w:p w14:paraId="107F404D" w14:textId="0468F694" w:rsidR="00F1537E" w:rsidRDefault="005213D9" w:rsidP="000B02C5">
      <w:pPr>
        <w:pStyle w:val="Heading2"/>
        <w:spacing w:line="480" w:lineRule="auto"/>
      </w:pPr>
      <w:r>
        <w:t xml:space="preserve">Section one: </w:t>
      </w:r>
      <w:r w:rsidR="00F1537E">
        <w:t>Introduction [</w:t>
      </w:r>
      <w:r w:rsidR="000B02C5">
        <w:t>496</w:t>
      </w:r>
      <w:r w:rsidR="00CC1DA7">
        <w:t xml:space="preserve"> / </w:t>
      </w:r>
      <w:r w:rsidR="00F1537E">
        <w:t>1000 words]</w:t>
      </w:r>
    </w:p>
    <w:p w14:paraId="624C10FD" w14:textId="1866DD83" w:rsidR="006764AA" w:rsidRDefault="006764AA" w:rsidP="000B02C5">
      <w:pPr>
        <w:spacing w:line="480" w:lineRule="auto"/>
      </w:pPr>
      <w:r>
        <w:t>[Add preamble paragraph – little interest in NI before GE and during Brexit vote; now much more due to Hung Parliament and DUP]</w:t>
      </w:r>
    </w:p>
    <w:p w14:paraId="0958BD8A" w14:textId="41EFF2C3" w:rsidR="00975750" w:rsidRDefault="00D0423A" w:rsidP="000B02C5">
      <w:pPr>
        <w:spacing w:line="480" w:lineRule="auto"/>
      </w:pPr>
      <w:r>
        <w:t>This paper argues there is a pressing need for a deeper analysis and understanding of the causes and consequences of violent conflict in Northern Ireland</w:t>
      </w:r>
      <w:r w:rsidR="00203A77">
        <w:t xml:space="preserve">. </w:t>
      </w:r>
      <w:r w:rsidR="0041727A">
        <w:t xml:space="preserve">Such </w:t>
      </w:r>
      <w:r w:rsidR="00203A77">
        <w:t xml:space="preserve">issues seem particularly pertinent given a lack of clarity regarding plans for the Irish border in Brexit negotiations, and the importance of daily freedom of movement across the border in the island of Ireland for both cultural and economic reasons. </w:t>
      </w:r>
    </w:p>
    <w:p w14:paraId="48F3C7EE" w14:textId="77777777" w:rsidR="00975750" w:rsidRDefault="00203A77" w:rsidP="000B02C5">
      <w:pPr>
        <w:spacing w:line="480" w:lineRule="auto"/>
      </w:pPr>
      <w:r>
        <w:t xml:space="preserve">Three specific </w:t>
      </w:r>
      <w:r w:rsidR="00EE07C7">
        <w:t xml:space="preserve">empirical </w:t>
      </w:r>
      <w:r>
        <w:t xml:space="preserve">aims of this paper are: to use demographic data to visually illustrate the ‘excess deaths’ that appear attributable to the initiation of violent conflict in the early 1970s; to produce a number of estimates of total numbers of excess deaths </w:t>
      </w:r>
      <w:r w:rsidR="00EE07C7">
        <w:t xml:space="preserve">attributable to the conflict, based on observed patterns and trends in overall mortality, and compare these with estimates based on deaths directly attributed to violence; and to characterise the particular pattern of excess mortality observed in Northern Irish demographic data, and describe why this is consistent with a tit-for-tat form of sectarian conflict. </w:t>
      </w:r>
    </w:p>
    <w:p w14:paraId="359E8E5C" w14:textId="3E932B65" w:rsidR="00D0423A" w:rsidRDefault="006764AA" w:rsidP="000B02C5">
      <w:pPr>
        <w:spacing w:line="480" w:lineRule="auto"/>
      </w:pPr>
      <w:r>
        <w:t xml:space="preserve">Substantively ,we </w:t>
      </w:r>
      <w:proofErr w:type="spellStart"/>
      <w:r>
        <w:t>aregue</w:t>
      </w:r>
      <w:proofErr w:type="spellEnd"/>
      <w:r w:rsidR="00EE07C7">
        <w:t xml:space="preserve"> that t</w:t>
      </w:r>
      <w:r w:rsidR="005213D9">
        <w:t xml:space="preserve">he fundamentals which led to this earlier wave of death and instability may still be present within Northern Irish society, and that poorly handled Brexit negotiations risk re-initiating a fresh wave of violence that, once started, may take decades to settle down again. </w:t>
      </w:r>
      <w:r>
        <w:t xml:space="preserve">The logic of our model challenges a dominant narrative about the peace process in Northern Ireland, suggesting that key political events in the road to peace followed rather than led trends towards reduced violence in the </w:t>
      </w:r>
      <w:proofErr w:type="spellStart"/>
      <w:r>
        <w:t>rregion</w:t>
      </w:r>
      <w:proofErr w:type="spellEnd"/>
      <w:r>
        <w:t>.</w:t>
      </w:r>
      <w:r w:rsidR="005213D9">
        <w:t xml:space="preserve"> </w:t>
      </w:r>
    </w:p>
    <w:p w14:paraId="1EC82D46" w14:textId="10466105" w:rsidR="00203A77" w:rsidRDefault="006764AA" w:rsidP="000B02C5">
      <w:pPr>
        <w:spacing w:line="480" w:lineRule="auto"/>
      </w:pPr>
      <w:r>
        <w:lastRenderedPageBreak/>
        <w:t xml:space="preserve">In </w:t>
      </w:r>
      <w:r w:rsidR="005213D9">
        <w:t>section two</w:t>
      </w:r>
      <w:r>
        <w:t xml:space="preserve"> we</w:t>
      </w:r>
      <w:r w:rsidR="005213D9">
        <w:t xml:space="preserve"> will provide a brief history of the origins of Northern Ireland as a distinctly administered political territory, of the events which led to an initiation of violence in the early 1970s, and of key events and trends </w:t>
      </w:r>
      <w:r w:rsidR="001D2C6E">
        <w:t xml:space="preserve">in violence and peace which occurred in the decades since. Section three will introduce the data and methods </w:t>
      </w:r>
      <w:proofErr w:type="spellStart"/>
      <w:r w:rsidR="001D2C6E">
        <w:t>used</w:t>
      </w:r>
      <w:r>
        <w:t>to</w:t>
      </w:r>
      <w:proofErr w:type="spellEnd"/>
      <w:r>
        <w:t xml:space="preserve"> explore the impact of the Troubles on mortality patterns in Northern Ireland</w:t>
      </w:r>
      <w:r w:rsidR="001D2C6E">
        <w:t xml:space="preserve">. Section four will present </w:t>
      </w:r>
      <w:r>
        <w:t xml:space="preserve">descriptive data visualisation and predicted mortality surfaces from the model, </w:t>
      </w:r>
      <w:r w:rsidR="001D2C6E">
        <w:t xml:space="preserve">and estimates </w:t>
      </w:r>
      <w:r>
        <w:t xml:space="preserve">of </w:t>
      </w:r>
      <w:r w:rsidR="001D2C6E">
        <w:t xml:space="preserve">total excess mortality associated with the conflict. Finally, section five, the discussion, will begin by comparing my estimates of conflict-attributable mortality with extant estimates of conflict-attributable deaths; then conclude with a discussion of political, sociological and social psychological literature which may shed light on the patterns </w:t>
      </w:r>
      <w:r w:rsidR="00CC1DA7">
        <w:t>uncovered, before highlighting a number of critical pitfalls that Westminster should be mindful of in Brexit negotiations to reduce the risk of a new initiation of conflict in the region.</w:t>
      </w:r>
      <w:r w:rsidR="001D2C6E">
        <w:t xml:space="preserve"> </w:t>
      </w:r>
    </w:p>
    <w:p w14:paraId="007DA5B5" w14:textId="49C833B4" w:rsidR="00203A77" w:rsidRDefault="00CC1DA7" w:rsidP="000B02C5">
      <w:pPr>
        <w:pStyle w:val="Heading2"/>
        <w:spacing w:line="480" w:lineRule="auto"/>
      </w:pPr>
      <w:r>
        <w:t>Section two: History: Ireland, Northern Ireland, and the Troubles [</w:t>
      </w:r>
      <w:r w:rsidR="000B02C5">
        <w:t xml:space="preserve">934 </w:t>
      </w:r>
      <w:r w:rsidR="00023023">
        <w:t xml:space="preserve">/ </w:t>
      </w:r>
      <w:r>
        <w:t>1000 words]</w:t>
      </w:r>
    </w:p>
    <w:p w14:paraId="06F2D6CB" w14:textId="7704C844" w:rsidR="00F130E9" w:rsidRDefault="00924589" w:rsidP="000B02C5">
      <w:pPr>
        <w:spacing w:line="480" w:lineRule="auto"/>
      </w:pPr>
      <w:r>
        <w:t xml:space="preserve">The mathematical ecologist turned historian Peter </w:t>
      </w:r>
      <w:proofErr w:type="spellStart"/>
      <w:r>
        <w:t>Turchin</w:t>
      </w:r>
      <w:proofErr w:type="spellEnd"/>
      <w:r>
        <w:t xml:space="preserve"> has </w:t>
      </w:r>
      <w:r w:rsidR="0062486B">
        <w:t xml:space="preserve">argued that one of the central challenges in the establishment and maintenance of complex, large, hierarchical societies – </w:t>
      </w:r>
      <w:r w:rsidR="006764AA">
        <w:t xml:space="preserve">states and </w:t>
      </w:r>
      <w:r w:rsidR="0062486B">
        <w:t xml:space="preserve">empires – </w:t>
      </w:r>
      <w:r w:rsidR="006764AA">
        <w:t xml:space="preserve">is </w:t>
      </w:r>
      <w:r w:rsidR="0062486B">
        <w:t xml:space="preserve">the promotion of social cohesiveness across ethnic groups. </w:t>
      </w:r>
      <w:proofErr w:type="spellStart"/>
      <w:r w:rsidR="0062486B">
        <w:t>Turchin</w:t>
      </w:r>
      <w:proofErr w:type="spellEnd"/>
      <w:r w:rsidR="0062486B">
        <w:t xml:space="preserve"> thus suggests that complex societies can emerge only once </w:t>
      </w:r>
      <w:r w:rsidR="0062486B">
        <w:softHyphen/>
      </w:r>
      <w:proofErr w:type="spellStart"/>
      <w:r w:rsidR="0062486B">
        <w:rPr>
          <w:i/>
        </w:rPr>
        <w:t>meta</w:t>
      </w:r>
      <w:r w:rsidR="0062486B">
        <w:rPr>
          <w:i/>
        </w:rPr>
        <w:softHyphen/>
        <w:t>ethnic</w:t>
      </w:r>
      <w:proofErr w:type="spellEnd"/>
      <w:r w:rsidR="0062486B">
        <w:rPr>
          <w:i/>
        </w:rPr>
        <w:t xml:space="preserve"> </w:t>
      </w:r>
      <w:r w:rsidR="0062486B">
        <w:rPr>
          <w:i/>
        </w:rPr>
        <w:softHyphen/>
      </w:r>
      <w:r w:rsidR="0062486B">
        <w:t xml:space="preserve">communities, in which group membership can be readily identified </w:t>
      </w:r>
      <w:r w:rsidR="003D0EC1">
        <w:t xml:space="preserve">through ‘symbolic markers’, have been established and agreed upon. </w:t>
      </w:r>
      <w:proofErr w:type="spellStart"/>
      <w:r w:rsidR="003D0EC1">
        <w:t>Turchin</w:t>
      </w:r>
      <w:proofErr w:type="spellEnd"/>
      <w:r w:rsidR="003D0EC1">
        <w:t xml:space="preserve"> states that the “most commonly used kind of symbolic marker to delineate </w:t>
      </w:r>
      <w:proofErr w:type="spellStart"/>
      <w:r w:rsidR="003D0EC1">
        <w:t>metaethnic</w:t>
      </w:r>
      <w:proofErr w:type="spellEnd"/>
      <w:r w:rsidR="003D0EC1">
        <w:t xml:space="preserve"> communities is religion – particularly, the exclusive, proselytizing kinds such as Christianity or Islam.” [p. 181] Common </w:t>
      </w:r>
      <w:proofErr w:type="spellStart"/>
      <w:r w:rsidR="003D0EC1">
        <w:t>metaethnic</w:t>
      </w:r>
      <w:proofErr w:type="spellEnd"/>
      <w:r w:rsidR="003D0EC1">
        <w:t xml:space="preserve"> identity allows for greater within-group cohesiveness and for the assimilation of otherwise ethnically heterogeneous populations, but where distinct and mutually exclusive </w:t>
      </w:r>
      <w:proofErr w:type="spellStart"/>
      <w:r w:rsidR="003D0EC1">
        <w:t>metaethnic</w:t>
      </w:r>
      <w:proofErr w:type="spellEnd"/>
      <w:r w:rsidR="003D0EC1">
        <w:t xml:space="preserve"> groups are territorially contiguous, </w:t>
      </w:r>
      <w:proofErr w:type="spellStart"/>
      <w:r w:rsidR="003D0EC1" w:rsidRPr="003D0EC1">
        <w:rPr>
          <w:i/>
        </w:rPr>
        <w:t>metaethnic</w:t>
      </w:r>
      <w:proofErr w:type="spellEnd"/>
      <w:r w:rsidR="003D0EC1">
        <w:t xml:space="preserve"> frontiers form</w:t>
      </w:r>
      <w:r w:rsidR="00F130E9">
        <w:t xml:space="preserve">, and at these frontiers competition and conflict between societies is often intense. Catholic religion pre-existed Protestantism, began in Southern Europe, and spread north and west, including to Ireland at Europe’s western periphery. Protestantism then emerged later, from Northern Europe, and spread </w:t>
      </w:r>
      <w:r w:rsidR="00F130E9">
        <w:lastRenderedPageBreak/>
        <w:t xml:space="preserve">south and west. The conditions for a </w:t>
      </w:r>
      <w:proofErr w:type="spellStart"/>
      <w:r w:rsidR="00F130E9">
        <w:t>metaethnic</w:t>
      </w:r>
      <w:proofErr w:type="spellEnd"/>
      <w:r w:rsidR="00F130E9">
        <w:t xml:space="preserve"> frontier</w:t>
      </w:r>
      <w:r w:rsidR="00CB6062">
        <w:t xml:space="preserve"> in the island of Ireland</w:t>
      </w:r>
      <w:r w:rsidR="00F130E9">
        <w:t>, demarcated along Catholic-Protestant religious distinction, were thus centuries in the making</w:t>
      </w:r>
      <w:r w:rsidR="00CB6062">
        <w:t xml:space="preserve">. </w:t>
      </w:r>
    </w:p>
    <w:p w14:paraId="331DF0CD" w14:textId="629080E7" w:rsidR="00CB6062" w:rsidRDefault="00CB6062" w:rsidP="000B02C5">
      <w:pPr>
        <w:spacing w:line="480" w:lineRule="auto"/>
      </w:pPr>
      <w:r>
        <w:t xml:space="preserve">Within the political organs of </w:t>
      </w:r>
      <w:r w:rsidR="006764AA">
        <w:t xml:space="preserve">Ireland under the British Empire - </w:t>
      </w:r>
      <w:r>
        <w:t>an imperious, expansionist state united by Protestant identity</w:t>
      </w:r>
      <w:r w:rsidR="006764AA">
        <w:t xml:space="preserve"> -</w:t>
      </w:r>
      <w:r>
        <w:t xml:space="preserve"> positions for Catholics were limited, and there were concerns amongst British imperialists that Ireland could be used as a cultural and potentially military ‘back door’ through which the Catholic Empires could undermine British imperial power and influence. Ireland thus held an ambivalent position within the British Empire, geographically proximate yet culturally distant, a ‘colony within the core’. Many of the patterns of political control and population management developed in the case of Ireland formed a blueprint for </w:t>
      </w:r>
      <w:r w:rsidR="006764AA">
        <w:t xml:space="preserve">later </w:t>
      </w:r>
      <w:r>
        <w:t xml:space="preserve">British colonialism. </w:t>
      </w:r>
      <w:r>
        <w:fldChar w:fldCharType="begin" w:fldLock="1"/>
      </w:r>
      <w:r w:rsidR="00023023">
        <w:instrText>ADDIN CSL_CITATION { "citationItems" : [ { "id" : "ITEM-1", "itemData" : { "DOI" : "10.1016/j.polgeo.2007.10.001", "ISSN" : "09626298", "PMID" : "1594", "abstract" : "This article explores relationships between imperialism and nationalism, illustrated by their interactions in the struggle over devolved Irish 'Home Rule' and partition between 1885 and 1925. Ireland's partition border was primarily an imperial creation shaped by the prolonged, complex and unequal interactions between Irish nationalism and British imperialism. But partition was by no means an inevitable outcome of a mutually constitutive and ambiguous relationship where British imperialism had long characterised Ireland as a frontier zone but one within the core of empire. The Irish case serves as a reminder of the role of imperial arbitration in modern state and nation-building, and also in sowing the seeds of contemporary conflicts. This argument draws on the recent 're-discovery of imperialism' and is advanced as a corrective to reading history backwards through the lenses of contemporary national states. It challenges the tendency to draw overly sharp temporal and spatial distinctions between imperialism and nationalism as rival ideologies and practices. (c) 2007 Elsevier Ltd. All rights reserved.", "author" : [ { "dropping-particle" : "", "family" : "Anderson", "given" : "James", "non-dropping-particle" : "", "parse-names" : false, "suffix" : "" }, { "dropping-particle" : "", "family" : "O'Dowd", "given" : "Liam", "non-dropping-particle" : "", "parse-names" : false, "suffix" : "" } ], "container-title" : "Political Geography", "id" : "ITEM-1", "issue" : "8", "issued" : { "date-parts" : [ [ "2007", "11" ] ] }, "note" : "Polit Geogr Polit Geogr\nISI:000252207400004; 249DO; Times Cited:8; Cited References Count:55", "page" : "934-950", "title" : "Imperialism and nationalism: The Home Rule struggle and border creation in Ireland, 1885\u20131925", "type" : "article-journal", "volume" : "26" }, "uris" : [ "http://www.mendeley.com/documents/?uuid=2d9892b4-b30d-4f2a-ad6d-7c67c11da85b" ] } ], "mendeley" : { "formattedCitation" : "(Anderson &amp; O\u2019Dowd, 2007)", "plainTextFormattedCitation" : "(Anderson &amp; O\u2019Dowd, 2007)", "previouslyFormattedCitation" : "(Anderson &amp; O\u2019Dowd, 2007)" }, "properties" : { "noteIndex" : 0 }, "schema" : "https://github.com/citation-style-language/schema/raw/master/csl-citation.json" }</w:instrText>
      </w:r>
      <w:r>
        <w:fldChar w:fldCharType="separate"/>
      </w:r>
      <w:r w:rsidRPr="00CB6062">
        <w:rPr>
          <w:noProof/>
        </w:rPr>
        <w:t>(Anderson &amp; O’Dowd, 2007)</w:t>
      </w:r>
      <w:r>
        <w:fldChar w:fldCharType="end"/>
      </w:r>
    </w:p>
    <w:p w14:paraId="46850601" w14:textId="0618AB36" w:rsidR="003426AF" w:rsidRDefault="005E7056" w:rsidP="000B02C5">
      <w:pPr>
        <w:spacing w:line="480" w:lineRule="auto"/>
      </w:pPr>
      <w:r>
        <w:t xml:space="preserve">The </w:t>
      </w:r>
      <w:r w:rsidR="007232AE">
        <w:t xml:space="preserve">Great Famine of the 1840s </w:t>
      </w:r>
      <w:r w:rsidR="006764AA">
        <w:t xml:space="preserve">led </w:t>
      </w:r>
      <w:r w:rsidR="007232AE">
        <w:t xml:space="preserve">to mass emigration and population decline. </w:t>
      </w:r>
      <w:r>
        <w:t>B</w:t>
      </w:r>
      <w:r w:rsidR="007232AE">
        <w:t>y the end of the 19</w:t>
      </w:r>
      <w:r w:rsidR="007232AE" w:rsidRPr="007232AE">
        <w:rPr>
          <w:vertAlign w:val="superscript"/>
        </w:rPr>
        <w:t>th</w:t>
      </w:r>
      <w:r w:rsidR="007232AE">
        <w:t xml:space="preserve"> century the demography and economy of Ireland had shifted to the North East of the island, in particular to the city of Belfast, and the populist Protestant Orange Order had emerged in response to increasing political agitation from Catholic populations for improved voting rights and the return of Irish Home Rule. The backlash to Home Rule from Ulster Unionists led to the establishment of paramilitary organisations by both sides, and a period of civil war which continued with the Great War of 1914, and culminated in the Easter Rising of 1916, in which fifteen Irish </w:t>
      </w:r>
      <w:r w:rsidR="00266368">
        <w:t xml:space="preserve">nationalists launched a failed coup attempt and were executed. </w:t>
      </w:r>
      <w:r>
        <w:t>I</w:t>
      </w:r>
      <w:r w:rsidR="00266368">
        <w:t xml:space="preserve">n 1918 Sinn </w:t>
      </w:r>
      <w:proofErr w:type="spellStart"/>
      <w:r w:rsidR="00266368" w:rsidRPr="00266368">
        <w:t>Féin</w:t>
      </w:r>
      <w:proofErr w:type="spellEnd"/>
      <w:r w:rsidR="00266368">
        <w:t xml:space="preserve"> were elected with more than three quarters of Irish seats in Westminster</w:t>
      </w:r>
      <w:r w:rsidR="006764AA">
        <w:t>,</w:t>
      </w:r>
      <w:r w:rsidR="00266368">
        <w:t xml:space="preserve"> civil war intensified, and the paramilitary Irish Republican Army (IRA) fought a guerrilla war into the 1920s. Ireland was partitioned, and a truce was established in 1921. The majority Protestant ‘Southern Ireland’ renamed itself the ‘Irish Free State’ and became an independent state in 1922, leading also </w:t>
      </w:r>
      <w:r w:rsidR="003426AF">
        <w:t xml:space="preserve">to the formation of Northern Ireland in that year as a distinct administrative geography, which voted against Home Rule and to remain a British territory. </w:t>
      </w:r>
    </w:p>
    <w:p w14:paraId="5D2813A9" w14:textId="6479CF10" w:rsidR="003426AF" w:rsidRDefault="003426AF" w:rsidP="000B02C5">
      <w:pPr>
        <w:spacing w:line="480" w:lineRule="auto"/>
      </w:pPr>
      <w:r>
        <w:lastRenderedPageBreak/>
        <w:fldChar w:fldCharType="begin" w:fldLock="1"/>
      </w:r>
      <w:r w:rsidR="005223FE">
        <w:instrText>ADDIN CSL_CITATION { "citationItems" : [ { "id" : "ITEM-1", "itemData" : { "DOI" : "10.1016/j.polgeo.2007.10.001", "ISSN" : "09626298", "PMID" : "1594", "abstract" : "This article explores relationships between imperialism and nationalism, illustrated by their interactions in the struggle over devolved Irish 'Home Rule' and partition between 1885 and 1925. Ireland's partition border was primarily an imperial creation shaped by the prolonged, complex and unequal interactions between Irish nationalism and British imperialism. But partition was by no means an inevitable outcome of a mutually constitutive and ambiguous relationship where British imperialism had long characterised Ireland as a frontier zone but one within the core of empire. The Irish case serves as a reminder of the role of imperial arbitration in modern state and nation-building, and also in sowing the seeds of contemporary conflicts. This argument draws on the recent 're-discovery of imperialism' and is advanced as a corrective to reading history backwards through the lenses of contemporary national states. It challenges the tendency to draw overly sharp temporal and spatial distinctions between imperialism and nationalism as rival ideologies and practices. (c) 2007 Elsevier Ltd. All rights reserved.", "author" : [ { "dropping-particle" : "", "family" : "Anderson", "given" : "James", "non-dropping-particle" : "", "parse-names" : false, "suffix" : "" }, { "dropping-particle" : "", "family" : "O'Dowd", "given" : "Liam", "non-dropping-particle" : "", "parse-names" : false, "suffix" : "" } ], "container-title" : "Political Geography", "id" : "ITEM-1", "issue" : "8", "issued" : { "date-parts" : [ [ "2007", "11" ] ] }, "note" : "Polit Geogr Polit Geogr\nISI:000252207400004; 249DO; Times Cited:8; Cited References Count:55", "page" : "934-950", "title" : "Imperialism and nationalism: The Home Rule struggle and border creation in Ireland, 1885\u20131925", "type" : "article-journal", "volume" : "26" }, "uris" : [ "http://www.mendeley.com/documents/?uuid=2d9892b4-b30d-4f2a-ad6d-7c67c11da85b" ] } ], "mendeley" : { "formattedCitation" : "(Anderson &amp; O\u2019Dowd, 2007)", "plainTextFormattedCitation" : "(Anderson &amp; O\u2019Dowd, 2007)", "previouslyFormattedCitation" : "(Anderson &amp; O\u2019Dowd, 2007)" }, "properties" : { "noteIndex" : 0 }, "schema" : "https://github.com/citation-style-language/schema/raw/master/csl-citation.json" }</w:instrText>
      </w:r>
      <w:r>
        <w:fldChar w:fldCharType="separate"/>
      </w:r>
      <w:r w:rsidR="00023023" w:rsidRPr="00023023">
        <w:rPr>
          <w:noProof/>
        </w:rPr>
        <w:t>(Anderson &amp; O’Dowd, 2007)</w:t>
      </w:r>
      <w:r>
        <w:fldChar w:fldCharType="end"/>
      </w:r>
      <w:r>
        <w:t xml:space="preserve"> summarise the legacy of the establishment of the Northern Irish border as follows:</w:t>
      </w:r>
    </w:p>
    <w:p w14:paraId="2387C1DA" w14:textId="1B57D829" w:rsidR="005F5990" w:rsidRDefault="003426AF" w:rsidP="000B02C5">
      <w:pPr>
        <w:spacing w:line="480" w:lineRule="auto"/>
        <w:ind w:left="720"/>
      </w:pPr>
      <w:r>
        <w:t xml:space="preserve">Under one-party unionist rule for 50 years, Northern Ireland </w:t>
      </w:r>
      <w:r w:rsidR="006764AA">
        <w:t xml:space="preserve">proved </w:t>
      </w:r>
      <w:r>
        <w:t xml:space="preserve">to be the most problematic legacy of partition. It provided a ‘cage’ for two communal blocs locked into a mutually antagonistic and self-reproducing relationship with each other. The sizeable nationalist minority – initially a third of its population but threatening to erode unionism’s ‘safe’ majority – was the main loser, disaffected and permanently excluded from state power. The majority unionist bloc maximised its micro-territorial control within Northern Ireland, but it retained endemic fears of being undermined by nationalist population growth, and/or physical attacks on partition, and/or being ‘sold out’ by British governments. </w:t>
      </w:r>
      <w:r w:rsidR="005E7056">
        <w:t xml:space="preserve"> […] </w:t>
      </w:r>
      <w:r>
        <w:t>The eruption of ethno-national violence a half-century after partition was part of the imperial legacy. [p. 947]</w:t>
      </w:r>
    </w:p>
    <w:p w14:paraId="4145393A" w14:textId="3CF9AF01" w:rsidR="003426AF" w:rsidRDefault="008D1A01" w:rsidP="000B02C5">
      <w:pPr>
        <w:spacing w:line="480" w:lineRule="auto"/>
      </w:pPr>
      <w:r>
        <w:t xml:space="preserve">In </w:t>
      </w:r>
      <w:r w:rsidR="003426AF">
        <w:t xml:space="preserve">the late 1960s a Catholic protest movement emerged, inspired by the civil rights’ movement in the United States, prompting an often violent Protestant counter-movement opposed to Catholic marches, leading to widespread clashes between sides. </w:t>
      </w:r>
      <w:r>
        <w:t xml:space="preserve">Such </w:t>
      </w:r>
      <w:r w:rsidR="003426AF">
        <w:t xml:space="preserve">clashes could not be controlled by the police forces, and the British Army were mobilised. The IRA was conflicted in its response to both the Army presence and Protestant reprisals, and in 1969 split into the less-militant Official IRA (OIRA), and the more militant Provisional IRA (PIRA). The Army, the OIRA and the PIRA competed to win favour and appear legitimate from the perspective of Catholic communities. Army attempts to disarm Catholic communities, combined with a lack of success defending them, further acted to delegitimise the Army amongst affected Catholic communities. </w:t>
      </w:r>
      <w:r w:rsidR="00975750">
        <w:t>T</w:t>
      </w:r>
      <w:r w:rsidR="003426AF">
        <w:t>he PIRA then began attacking the Army in 1971</w:t>
      </w:r>
      <w:r>
        <w:t xml:space="preserve">, and internment </w:t>
      </w:r>
      <w:r w:rsidR="003426AF">
        <w:t>swiftly followed</w:t>
      </w:r>
      <w:r w:rsidR="006764AA">
        <w:t>,</w:t>
      </w:r>
      <w:r w:rsidR="003426AF">
        <w:t xml:space="preserve"> leading to protests in which 23 people died</w:t>
      </w:r>
      <w:r w:rsidR="006764AA">
        <w:t>;</w:t>
      </w:r>
      <w:r w:rsidR="003426AF">
        <w:t xml:space="preserve"> </w:t>
      </w:r>
      <w:r w:rsidR="006764AA">
        <w:t xml:space="preserve">army </w:t>
      </w:r>
      <w:r w:rsidR="003426AF">
        <w:t xml:space="preserve">troop numbers increased, and PIRA bombings and killings intensified. </w:t>
      </w:r>
      <w:r w:rsidR="006C78A1">
        <w:t>After</w:t>
      </w:r>
      <w:r w:rsidR="003426AF">
        <w:t xml:space="preserve"> internment</w:t>
      </w:r>
      <w:r w:rsidR="006C78A1">
        <w:t>,</w:t>
      </w:r>
      <w:r w:rsidR="003426AF">
        <w:t xml:space="preserve"> amity then further increased through the deployment and actions of the Parachute Regiment (‘the Paras’)</w:t>
      </w:r>
      <w:r w:rsidR="000B02C5">
        <w:t xml:space="preserve">, </w:t>
      </w:r>
      <w:r w:rsidR="003426AF">
        <w:t xml:space="preserve">who faced a 7,000-strong Catholic civil rights march on 13 January 1972, ‘Bloody Sunday’, and shot dead </w:t>
      </w:r>
      <w:r w:rsidR="003426AF">
        <w:lastRenderedPageBreak/>
        <w:t>14 people later found to be unarmed. This event, more than any other, can be seen to have ignited the decades of sectarian conflict that followed.</w:t>
      </w:r>
      <w:r w:rsidR="003426AF">
        <w:fldChar w:fldCharType="begin" w:fldLock="1"/>
      </w:r>
      <w:r w:rsidR="003426AF">
        <w:instrText>ADDIN CSL_CITATION { "citationItems" : [ { "id" : "ITEM-1", "itemData" : { "DOI" : "10.1136/bmjopen-2015-009924", "ISSN" : "2044-6055", "PMID" : "237", "abstract" : "Introduction: Only one-third of the European population meets the minimum recommended levels of physical activity (PA). Physical inactivity is a major risk factor for non-communicable diseases. Walking and cycling for transport (active mobility, AM) are well suited to provide regular PA. The European research project Physical Activity through Sustainable Transport Approaches (PASTA) pursues the following aims: (1) to investigate correlates and interrelations of AM, PA, air pollution and crash risk; (2) to evaluate the effectiveness of selected interventions to promote AM; (3) to improve health impact assessment (HIA) of AM; (4) to foster the exchange between the disciplines of public health and transport planning, and between research and practice. Methods and analysis: PASTA pursues a mixed-method and multilevel approach that is consistently applied in seven case study cities. Determinants of AM and the evaluation of measures to increase AM are investigated through a large scale longitudinal survey, with overall 14 000 respondents participating in Antwerp, Barcelona, London, Orebro, Rome, Vienna and Zurich. Contextual factors are systematically gathered in each city. PASTA generates empirical findings to improve HIA for AM, for example, with estimates of crash risks, factors on AM-PA substitution and carbon emissions savings from mode shifts. Findings from PASTA will inform WHO's online Health Economic Assessment Tool on the health benefits from cycling and/or walking. The study's wide scope, the combination of qualitative and quantitative methods and health and transport methods, the innovative survey design, the general and city-specific analyses, and the transdisciplinary composition of the consortium and the wider network of partners promise highly relevant insights for research and practice. Ethics and dissemination: Ethics approval has been obtained by the local ethics committees in the countries where the work is being conducted, and sent to the European Commission before the start of the survey. The PASTA website (http://www.pastaproject.eu) is at the core of all communication and dissemination activities.", "author" : [ { "dropping-particle" : "", "family" : "Gerike", "given" : "Regine", "non-dropping-particle" : "", "parse-names" : false, "suffix" : "" }, { "dropping-particle" : "", "family" : "Nazelle", "given" : "Audrey", "non-dropping-particle" : "de", "parse-names" : false, "suffix" : "" }, { "dropping-particle" : "", "family" : "Nieuwenhuijsen", "given" : "Mark", "non-dropping-particle" : "", "parse-names" : false, "suffix" : "" }, { "dropping-particle" : "", "family" : "Panis", "given" : "Luc Int", "non-dropping-particle" : "", "parse-names" : false, "suffix" : "" }, { "dropping-particle" : "", "family" : "Anaya", "given" : "Esther", "non-dropping-particle" : "", "parse-names" : false, "suffix" : "" }, { "dropping-particle" : "", "family" : "Avila-Palencia", "given" : "Ione", "non-dropping-particle" : "", "parse-names" : false, "suffix" : "" }, { "dropping-particle" : "", "family" : "Boschetti", "given" : "Florinda", "non-dropping-particle" : "", "parse-names" : false, "suffix" : "" }, { "dropping-particle" : "", "family" : "Brand", "given" : "Christian", "non-dropping-particle" : "", "parse-names" : false, "suffix" : "" }, { "dropping-particle" : "", "family" : "Cole-Hunter", "given" : "Tom", "non-dropping-particle" : "", "parse-names" : false, "suffix" : "" }, { "dropping-particle" : "", "family" : "Dons", "given" : "Evi", "non-dropping-particle" : "", "parse-names" : false, "suffix" : "" }, { "dropping-particle" : "", "family" : "Eriksson", "given" : "Ulf", "non-dropping-particle" : "", "parse-names" : false, "suffix" : "" }, { "dropping-particle" : "", "family" : "Gaupp-Berghausen", "given" : "Mailin", "non-dropping-particle" : "", "parse-names" : false, "suffix" : "" }, { "dropping-particle" : "", "family" : "Kahlmeier", "given" : "Sonja", "non-dropping-particle" : "", "parse-names" : false, "suffix" : "" }, { "dropping-particle" : "", "family" : "Laeremans", "given" : "Michelle", "non-dropping-particle" : "", "parse-names" : false, "suffix" : "" }, { "dropping-particle" : "", "family" : "Mueller", "given" : "Natalie", "non-dropping-particle" : "", "parse-names" : false, "suffix" : "" }, { "dropping-particle" : "", "family" : "Orjuela", "given" : "Juan Pablo", "non-dropping-particle" : "", "parse-names" : false, "suffix" : "" }, { "dropping-particle" : "", "family" : "Racioppi", "given" : "Francesca", "non-dropping-particle" : "", "parse-names" : false, "suffix" : "" }, { "dropping-particle" : "", "family" : "Raser", "given" : "Elisabeth", "non-dropping-particle" : "", "parse-names" : false, "suffix" : "" }, { "dropping-particle" : "", "family" : "Rojas-Rueda", "given" : "David", "non-dropping-particle" : "", "parse-names" : false, "suffix" : "" }, { "dropping-particle" : "", "family" : "Schweizer", "given" : "Christian", "non-dropping-particle" : "", "parse-names" : false, "suffix" : "" }, { "dropping-particle" : "", "family" : "Standaert", "given" : "Arnout", "non-dropping-particle" : "", "parse-names" : false, "suffix" : "" }, { "dropping-particle" : "", "family" : "Uhlmann", "given" : "Tina", "non-dropping-particle" : "", "parse-names" : false, "suffix" : "" }, { "dropping-particle" : "", "family" : "Wegener", "given" : "Sandra", "non-dropping-particle" : "", "parse-names" : false, "suffix" : "" }, { "dropping-particle" : "", "family" : "G\u00f6tschi", "given" : "Thomas", "non-dropping-particle" : "", "parse-names" : false, "suffix" : "" } ], "container-title" : "BMJ Open", "id" : "ITEM-1", "issue" : "1", "issued" : { "date-parts" : [ [ "2016", "1", "7" ] ] }, "note" : "Bmj Open Bmj Open\nISI:000369993900146; Dd5Vx; Times Cited:1; Cited References Count:59", "page" : "e009924", "title" : "Physical Activity through Sustainable Transport Approaches (PASTA): a study protocol for a multicentre project", "type" : "article-journal", "volume" : "6" }, "uris" : [ "http://www.mendeley.com/documents/?uuid=159cfb9e-23e3-49d8-9a78-330d648545b0" ] } ], "mendeley" : { "formattedCitation" : "(Gerike et al., 2016)", "plainTextFormattedCitation" : "(Gerike et al., 2016)", "previouslyFormattedCitation" : "(Gerike et al., 2016)" }, "properties" : { "noteIndex" : 0 }, "schema" : "https://github.com/citation-style-language/schema/raw/master/csl-citation.json" }</w:instrText>
      </w:r>
      <w:r w:rsidR="003426AF">
        <w:fldChar w:fldCharType="separate"/>
      </w:r>
      <w:r w:rsidR="003426AF" w:rsidRPr="00F57631">
        <w:rPr>
          <w:noProof/>
        </w:rPr>
        <w:t>(</w:t>
      </w:r>
      <w:proofErr w:type="spellStart"/>
      <w:r w:rsidR="003426AF" w:rsidRPr="00F57631">
        <w:rPr>
          <w:noProof/>
        </w:rPr>
        <w:t>Gerike</w:t>
      </w:r>
      <w:proofErr w:type="spellEnd"/>
      <w:r w:rsidR="003426AF" w:rsidRPr="00F57631">
        <w:rPr>
          <w:noProof/>
        </w:rPr>
        <w:t xml:space="preserve"> et al., 2016)</w:t>
      </w:r>
      <w:r w:rsidR="003426AF">
        <w:fldChar w:fldCharType="end"/>
      </w:r>
      <w:r w:rsidR="006764AA" w:rsidRPr="006764AA">
        <w:t xml:space="preserve"> </w:t>
      </w:r>
      <w:r w:rsidR="006764AA">
        <w:fldChar w:fldCharType="begin" w:fldLock="1"/>
      </w:r>
      <w:r w:rsidR="006764AA">
        <w:instrText>ADDIN CSL_CITATION { "citationItems" : [ { "id" : "ITEM-1", "itemData" : { "DOI" : "10.1080/01402390701210848", "ISSN" : "0140-2390", "PMID" : "2376", "abstract" : "This article considers the way in which a military force committed to a 'stabilization' operation can, through its own mistakes, actually make that mission much more difficult than it need be. The British Army was committed to a peace support task in Northern Ireland in 1969 but the errors made by those within its ranks went a long way in moving that task away from one of peace support to one of countering a fully fledged insurgency. Through an examination of the clumsiness displayed by the British Army in Northern Ireland in its initial period of deployment (August 1969 - March 1972) several parallels can be drawn with events recently in Iraq. What is more, fundamental lessons can be learnt from the British experience. These lessons still have relevance today as the West continues to commit forces to interventionary operations; forces which are making the same mistakes the British Army did nearly 40 years ago.", "author" : [ { "dropping-particle" : "", "family" : "Thornton", "given" : "Rod", "non-dropping-particle" : "", "parse-names" : false, "suffix" : "" } ], "container-title" : "Journal of Strategic Studies", "id" : "ITEM-1", "issue" : "1", "issued" : { "date-parts" : [ [ "2007", "2", "22" ] ] }, "note" : "J Strategic Stud J Strategic Stud\nISI:000245984700004; 160ZS; Times Cited:9; Cited References Count:56", "page" : "73-107", "title" : "Getting it Wrong: The Crucial Mistakes Made in the Early Stages of the British Army's Deployment to Northern Ireland (August 1969 to March 1972)", "type" : "article-journal", "volume" : "30" }, "uris" : [ "http://www.mendeley.com/documents/?uuid=6b81bdd3-075f-4764-800e-a2f768226a78" ] } ], "mendeley" : { "formattedCitation" : "(Thornton, 2007)", "plainTextFormattedCitation" : "(Thornton, 2007)", "previouslyFormattedCitation" : "(Thornton, 2007)" }, "properties" : { "noteIndex" : 0 }, "schema" : "https://github.com/citation-style-language/schema/raw/master/csl-citation.json" }</w:instrText>
      </w:r>
      <w:r w:rsidR="006764AA">
        <w:fldChar w:fldCharType="separate"/>
      </w:r>
      <w:r w:rsidR="006764AA" w:rsidRPr="00F57631">
        <w:rPr>
          <w:noProof/>
        </w:rPr>
        <w:t>(Thornton, 2007)</w:t>
      </w:r>
      <w:r w:rsidR="006764AA">
        <w:fldChar w:fldCharType="end"/>
      </w:r>
    </w:p>
    <w:p w14:paraId="23599178" w14:textId="18737956" w:rsidR="00F1537E" w:rsidRDefault="00CC1DA7" w:rsidP="000B02C5">
      <w:pPr>
        <w:pStyle w:val="Heading2"/>
        <w:spacing w:line="480" w:lineRule="auto"/>
      </w:pPr>
      <w:r>
        <w:t xml:space="preserve">Section three: Data and </w:t>
      </w:r>
      <w:r w:rsidR="00F1537E">
        <w:t>Methods [</w:t>
      </w:r>
      <w:r w:rsidR="000B02C5">
        <w:t>644</w:t>
      </w:r>
      <w:r w:rsidR="003726C0">
        <w:t>/</w:t>
      </w:r>
      <w:r w:rsidR="00F1537E">
        <w:t>500 words]</w:t>
      </w:r>
    </w:p>
    <w:p w14:paraId="354E3D0E" w14:textId="5C16FD31" w:rsidR="00500E6F" w:rsidRDefault="00842964" w:rsidP="000B02C5">
      <w:pPr>
        <w:spacing w:line="480" w:lineRule="auto"/>
      </w:pPr>
      <w:r>
        <w:t xml:space="preserve">Data on all-cause mortality and population size, disaggregated by gender, age in single years and year, were extracted from the Human Mortality Database (HMD). </w:t>
      </w:r>
      <w:r w:rsidR="006D095E">
        <w:fldChar w:fldCharType="begin" w:fldLock="1"/>
      </w:r>
      <w:r w:rsidR="006D095E">
        <w:instrText>ADDIN CSL_CITATION { "citationItems" : [ { "id" : "ITEM-1", "itemData" : { "URL" : "www.mortality.org", "accessed" : { "date-parts" : [ [ "2017", "6", "13" ] ] }, "author" : [ { "dropping-particle" : "", "family" : "University of California", "given" : "Berkeley (USA); Max Plank Institute for Demographic Research (Germany)", "non-dropping-particle" : "", "parse-names" : false, "suffix" : "" } ], "id" : "ITEM-1", "issued" : { "date-parts" : [ [ "2017" ] ] }, "title" : "Human Mortality Database", "type" : "webpage" }, "uris" : [ "http://www.mendeley.com/documents/?uuid=58f3b93d-f91e-4ac6-a981-7aa46d2d4863" ] } ], "mendeley" : { "formattedCitation" : "(University of California, 2017)", "plainTextFormattedCitation" : "(University of California, 2017)", "previouslyFormattedCitation" : "(University of California, 2017)" }, "properties" : { "noteIndex" : 0 }, "schema" : "https://github.com/citation-style-language/schema/raw/master/csl-citation.json" }</w:instrText>
      </w:r>
      <w:r w:rsidR="006D095E">
        <w:fldChar w:fldCharType="separate"/>
      </w:r>
      <w:r w:rsidR="006D095E" w:rsidRPr="006D095E">
        <w:rPr>
          <w:noProof/>
        </w:rPr>
        <w:t>(University of California, 2017)</w:t>
      </w:r>
      <w:r w:rsidR="006D095E">
        <w:fldChar w:fldCharType="end"/>
      </w:r>
      <w:r w:rsidR="006D095E">
        <w:t xml:space="preserve"> </w:t>
      </w:r>
      <w:r>
        <w:t xml:space="preserve">Mortality rates were calculated by dividing death counts by population exposure (adjusted population counts). </w:t>
      </w:r>
      <w:r w:rsidR="00500E6F">
        <w:t xml:space="preserve">All data management and analyses were performed using the R statistical programming environment. </w:t>
      </w:r>
      <w:r w:rsidR="006D095E">
        <w:fldChar w:fldCharType="begin" w:fldLock="1"/>
      </w:r>
      <w:r w:rsidR="006D095E">
        <w:instrText>ADDIN CSL_CITATION { "citationItems" : [ { "id" : "ITEM-1", "itemData" : { "author" : [ { "dropping-particle" : "", "family" : "R Core Team", "given" : "", "non-dropping-particle" : "", "parse-names" : false, "suffix" : "" } ], "id" : "ITEM-1", "issued" : { "date-parts" : [ [ "2016" ] ] }, "number" : "3.3.0", "publisher" : "Foundation for Statistical Computing,", "publisher-place" : "Vienna, Austria", "title" : "R: A language and environment for statistical computing", "type" : "article" }, "uris" : [ "http://www.mendeley.com/documents/?uuid=4e7b17cd-0633-4dae-9200-f8d0ec01c485" ] } ], "mendeley" : { "formattedCitation" : "(R Core Team, 2016)", "plainTextFormattedCitation" : "(R Core Team, 2016)", "previouslyFormattedCitation" : "(R Core Team, 2016)" }, "properties" : { "noteIndex" : 0 }, "schema" : "https://github.com/citation-style-language/schema/raw/master/csl-citation.json" }</w:instrText>
      </w:r>
      <w:r w:rsidR="006D095E">
        <w:fldChar w:fldCharType="separate"/>
      </w:r>
      <w:r w:rsidR="006D095E" w:rsidRPr="006D095E">
        <w:rPr>
          <w:noProof/>
        </w:rPr>
        <w:t>(R Core Team, 2016)</w:t>
      </w:r>
      <w:r w:rsidR="006D095E">
        <w:fldChar w:fldCharType="end"/>
      </w:r>
    </w:p>
    <w:p w14:paraId="3AE0F486" w14:textId="0831D0B7" w:rsidR="00500E6F" w:rsidRDefault="00500E6F" w:rsidP="000B02C5">
      <w:pPr>
        <w:spacing w:line="480" w:lineRule="auto"/>
      </w:pPr>
      <w:r>
        <w:t>In the first stage of the analysis</w:t>
      </w:r>
      <w:r w:rsidR="00842964">
        <w:t>, mortality rates by age and year were explored visually using level</w:t>
      </w:r>
      <w:r>
        <w:t xml:space="preserve"> </w:t>
      </w:r>
      <w:r w:rsidR="00842964">
        <w:t xml:space="preserve">plots in which each column is a different year, each row a different age, and each cell is a mortality rate </w:t>
      </w:r>
      <w:r>
        <w:t xml:space="preserve">or log mortality rate </w:t>
      </w:r>
      <w:r w:rsidR="00842964">
        <w:t xml:space="preserve">for a specific </w:t>
      </w:r>
      <w:r>
        <w:t xml:space="preserve">combination of year and age in single years. This arrangement is known as a Lexis surface. </w:t>
      </w:r>
      <w:r w:rsidR="006D095E">
        <w:fldChar w:fldCharType="begin" w:fldLock="1"/>
      </w:r>
      <w:r w:rsidR="00A96270">
        <w:instrText>ADDIN CSL_CITATION { "citationItems" : [ { "id" : "ITEM-1", "itemData" : { "DOI" : "10.1016/j.sste.2014.04.003", "ISSN" : "18775853", "PMID" : "25113591", "abstract" : "This paper describes how shaded contour plots, applied to mortality data from the Human Mortality Database, can be used to compare between nations, and start to tease out some of the ways that place and space matters. A number of shaded contour plots are presented, in order to describe the age, period and cohort effects which are apparent within them. They show variations between different subpopulations within the same nation, over time, and between nations. In illustrating these intra- and international variations in the patterns, we hope to encourage the development of hypotheses about the influence of such factors on mortality rates. We conclude with a brief discussion about how such hypotheses might be developed into statistical models, allowing for more rigourous testing of hypotheses and projection across time, place and space. \u00a9 2014 Elsevier Ltd.", "author" : [ { "dropping-particle" : "", "family" : "Minton", "given" : "Jonathan", "non-dropping-particle" : "", "parse-names" : false, "suffix" : "" } ], "container-title" : "Spatial and Spatio-temporal Epidemiology", "id" : "ITEM-1", "issued" : { "date-parts" : [ [ "2014" ] ] }, "page" : "49-66", "title" : "Real geographies and virtual landscapes: Exploring the influence on place and space on mortality Lexis surfaces using shaded contour maps", "type" : "article-journal", "volume" : "10" }, "uris" : [ "http://www.mendeley.com/documents/?uuid=bf336db6-b374-4b11-bea8-b2772f74d9f8" ] }, { "id" : "ITEM-2", "itemData" : { "ISBN" : "8778383382", "author" : [ { "dropping-particle" : "", "family" : "Vaupel", "given" : "J. W.", "non-dropping-particle" : "", "parse-names" : false, "suffix" : "" }, { "dropping-particle" : "", "family" : "Wang", "given" : "Z.", "non-dropping-particle" : "", "parse-names" : false, "suffix" : "" }, { "dropping-particle" : "", "family" : "Andreev", "given" : "K.", "non-dropping-particle" : "", "parse-names" : false, "suffix" : "" }, { "dropping-particle" : "", "family" : "Yashin", "given" : "A. I.", "non-dropping-particle" : "", "parse-names" : false, "suffix" : "" } ], "collection-title" : "Odense Monographis on Population Ageing", "id" : "ITEM-2", "issued" : { "date-parts" : [ [ "1997" ] ] }, "number" : "Volume Four", "publisher" : "University Press of Southern Denmark", "title" : "Population Data at a Glance: Shaded Contour Maps of Demographic Surfaces over Age and Time", "type" : "book" }, "uris" : [ "http://www.mendeley.com/documents/?uuid=84ac875b-72f1-4685-87d8-5a5f233468cc" ] } ], "mendeley" : { "formattedCitation" : "(Jonathan Minton, 2014; Vaupel, Wang, Andreev, &amp; Yashin, 1997)", "plainTextFormattedCitation" : "(Jonathan Minton, 2014; Vaupel, Wang, Andreev, &amp; Yashin, 1997)", "previouslyFormattedCitation" : "(Jonathan Minton, 2014; Vaupel, Wang, Andreev, &amp; Yashin, 1997)" }, "properties" : { "noteIndex" : 0 }, "schema" : "https://github.com/citation-style-language/schema/raw/master/csl-citation.json" }</w:instrText>
      </w:r>
      <w:r w:rsidR="006D095E">
        <w:fldChar w:fldCharType="separate"/>
      </w:r>
      <w:r w:rsidR="009140E4" w:rsidRPr="009140E4">
        <w:rPr>
          <w:noProof/>
        </w:rPr>
        <w:t>(Jonathan Minton, 2014; Vaupel, Wang, Andreev, &amp; Yashin, 1997)</w:t>
      </w:r>
      <w:r w:rsidR="006D095E">
        <w:fldChar w:fldCharType="end"/>
      </w:r>
    </w:p>
    <w:p w14:paraId="3E2E73E6" w14:textId="180EF47D" w:rsidR="00F1537E" w:rsidRDefault="00500E6F" w:rsidP="000B02C5">
      <w:pPr>
        <w:spacing w:line="480" w:lineRule="auto"/>
      </w:pPr>
      <w:r>
        <w:t xml:space="preserve">In the second stage of the analysis, level plots for males aged between 15 and 45 years inclusive </w:t>
      </w:r>
      <w:r w:rsidR="0049186E">
        <w:t xml:space="preserve">were </w:t>
      </w:r>
      <w:r>
        <w:t>pr</w:t>
      </w:r>
      <w:r w:rsidR="0049186E">
        <w:t xml:space="preserve">oduced. This gender and age range was focused on as </w:t>
      </w:r>
      <w:r>
        <w:t>a mortality pattern that appears attributable to the conflict post 1972 appears very clearly</w:t>
      </w:r>
      <w:r w:rsidR="0049186E">
        <w:t xml:space="preserve"> for this group</w:t>
      </w:r>
      <w:r>
        <w:t xml:space="preserve">, whereas in females and males at other ages no similar pattern is apparent. </w:t>
      </w:r>
    </w:p>
    <w:p w14:paraId="498E5C27" w14:textId="37896B20" w:rsidR="0049186E" w:rsidRDefault="0049186E" w:rsidP="000B02C5">
      <w:pPr>
        <w:spacing w:line="480" w:lineRule="auto"/>
      </w:pPr>
      <w:r>
        <w:t>In the third stage of the analysis, a model was developed which aims to reproduce the main features of the level plot of mortality values over this Lexis surface, in which conflict-attributable pattern of excess deaths is modelled as a separate variable. The final model specification was developed by comparing the penalised model fit of different model specifications using AIC and BIC, as well as t</w:t>
      </w:r>
      <w:r w:rsidR="006D78AC">
        <w:t xml:space="preserve">he root mean square (RMS) error, and by visually exploring both the Lexis surfaces of predicted values, and of residuals (differences between predicted and actual values) to assess whether the model appears to capture the most salient features of the Lexis surface of the data itself. </w:t>
      </w:r>
      <w:r w:rsidR="006D095E">
        <w:fldChar w:fldCharType="begin" w:fldLock="1"/>
      </w:r>
      <w:r w:rsidR="009140E4">
        <w:instrText>ADDIN CSL_CITATION { "citationItems" : [ { "id" : "ITEM-1", "itemData" : { "DOI" : "10.1109/TAC.1974.1100705", "ISSN" : "0018-9286", "author" : [ { "dropping-particle" : "", "family" : "Akaike", "given" : "H.", "non-dropping-particle" : "", "parse-names" : false, "suffix" : "" } ], "container-title" : "IEEE Transactions on Automatic Control", "id" : "ITEM-1", "issue" : "6", "issued" : { "date-parts" : [ [ "1974", "12" ] ] }, "page" : "716-723", "title" : "A new look at the statistical model identification", "type" : "article-journal", "volume" : "19" }, "uris" : [ "http://www.mendeley.com/documents/?uuid=e8164473-8c0b-4256-b6eb-b7b40a4a26d4" ] } ], "mendeley" : { "formattedCitation" : "(Akaike, 1974)", "plainTextFormattedCitation" : "(Akaike, 1974)", "previouslyFormattedCitation" : "(Akaike, 1974)" }, "properties" : { "noteIndex" : 0 }, "schema" : "https://github.com/citation-style-language/schema/raw/master/csl-citation.json" }</w:instrText>
      </w:r>
      <w:r w:rsidR="006D095E">
        <w:fldChar w:fldCharType="separate"/>
      </w:r>
      <w:r w:rsidR="006D095E" w:rsidRPr="006D095E">
        <w:rPr>
          <w:noProof/>
        </w:rPr>
        <w:t>(Akaike, 1974)</w:t>
      </w:r>
      <w:r w:rsidR="006D095E">
        <w:fldChar w:fldCharType="end"/>
      </w:r>
      <w:r w:rsidR="006D095E">
        <w:t xml:space="preserve"> </w:t>
      </w:r>
      <w:r w:rsidR="006D78AC">
        <w:t xml:space="preserve">The </w:t>
      </w:r>
      <w:r w:rsidR="005D4F12">
        <w:t>model specification is as follows</w:t>
      </w:r>
      <w:r w:rsidR="007029A2">
        <w:t>:</w:t>
      </w:r>
    </w:p>
    <w:p w14:paraId="39394AFF" w14:textId="69EBFFF6" w:rsidR="005D4F12" w:rsidRPr="005D4F12" w:rsidRDefault="00A96270" w:rsidP="000B02C5">
      <w:pPr>
        <w:spacing w:line="480" w:lineRule="auto"/>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xml:space="preserve">= </m:t>
          </m:r>
          <m:sSubSup>
            <m:sSubSupPr>
              <m:ctrlPr>
                <w:rPr>
                  <w:rFonts w:ascii="Cambria Math" w:hAnsi="Cambria Math"/>
                  <w:i/>
                </w:rPr>
              </m:ctrlPr>
            </m:sSubSupPr>
            <m:e>
              <m:r>
                <w:rPr>
                  <w:rFonts w:ascii="Cambria Math" w:hAnsi="Cambria Math"/>
                </w:rPr>
                <m:t>β</m:t>
              </m:r>
            </m:e>
            <m:sub>
              <m:r>
                <w:rPr>
                  <w:rFonts w:ascii="Cambria Math" w:hAnsi="Cambria Math"/>
                </w:rPr>
                <m:t>0, i</m:t>
              </m:r>
            </m:sub>
            <m:sup>
              <m:d>
                <m:dPr>
                  <m:ctrlPr>
                    <w:rPr>
                      <w:rFonts w:ascii="Cambria Math" w:hAnsi="Cambria Math"/>
                      <w:i/>
                    </w:rPr>
                  </m:ctrlPr>
                </m:dPr>
                <m:e>
                  <m:r>
                    <w:rPr>
                      <w:rFonts w:ascii="Cambria Math" w:hAnsi="Cambria Math"/>
                    </w:rPr>
                    <m:t>P</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β</m:t>
              </m:r>
            </m:e>
            <m:sub>
              <m:r>
                <w:rPr>
                  <w:rFonts w:ascii="Cambria Math" w:hAnsi="Cambria Math"/>
                </w:rPr>
                <m:t>1, i</m:t>
              </m:r>
            </m:sub>
            <m:sup>
              <m:d>
                <m:dPr>
                  <m:ctrlPr>
                    <w:rPr>
                      <w:rFonts w:ascii="Cambria Math" w:hAnsi="Cambria Math"/>
                      <w:i/>
                    </w:rPr>
                  </m:ctrlPr>
                </m:dPr>
                <m:e>
                  <m:r>
                    <w:rPr>
                      <w:rFonts w:ascii="Cambria Math" w:hAnsi="Cambria Math"/>
                    </w:rPr>
                    <m:t>P</m:t>
                  </m:r>
                </m:e>
              </m:d>
            </m:sup>
          </m:sSubSup>
          <m:sSup>
            <m:sSupPr>
              <m:ctrlPr>
                <w:rPr>
                  <w:rFonts w:ascii="Cambria Math" w:hAnsi="Cambria Math"/>
                  <w:i/>
                </w:rPr>
              </m:ctrlPr>
            </m:sSupPr>
            <m:e>
              <m:r>
                <w:rPr>
                  <w:rFonts w:ascii="Cambria Math" w:hAnsi="Cambria Math"/>
                </w:rPr>
                <m:t>t</m:t>
              </m:r>
            </m:e>
            <m:sup>
              <m:r>
                <w:rPr>
                  <w:rFonts w:ascii="Cambria Math" w:hAnsi="Cambria Math"/>
                </w:rPr>
                <m:t>(P)</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2,i</m:t>
              </m:r>
            </m:sub>
          </m:sSub>
          <m:r>
            <w:rPr>
              <w:rFonts w:ascii="Cambria Math" w:hAnsi="Cambria Math"/>
            </w:rPr>
            <m:t>T</m:t>
          </m:r>
          <m:d>
            <m:dPr>
              <m:ctrlPr>
                <w:rPr>
                  <w:rFonts w:ascii="Cambria Math" w:hAnsi="Cambria Math"/>
                  <w:i/>
                </w:rPr>
              </m:ctrlPr>
            </m:dPr>
            <m:e>
              <m:r>
                <w:rPr>
                  <w:rFonts w:ascii="Cambria Math" w:hAnsi="Cambria Math"/>
                </w:rPr>
                <m:t>t</m:t>
              </m:r>
            </m:e>
          </m:d>
        </m:oMath>
      </m:oMathPara>
    </w:p>
    <w:p w14:paraId="158813DC" w14:textId="29B86CB8" w:rsidR="005D4F12" w:rsidRPr="005D4F12" w:rsidRDefault="005D4F12" w:rsidP="000B02C5">
      <w:pPr>
        <w:spacing w:line="480" w:lineRule="auto"/>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(1-k)</m:t>
              </m:r>
            </m:e>
            <m:sup>
              <m:r>
                <w:rPr>
                  <w:rFonts w:ascii="Cambria Math" w:eastAsiaTheme="minorEastAsia" w:hAnsi="Cambria Math"/>
                </w:rPr>
                <m:t>(t-1972)</m:t>
              </m:r>
            </m:sup>
          </m:sSup>
          <m:r>
            <w:rPr>
              <w:rFonts w:ascii="Cambria Math" w:eastAsiaTheme="minorEastAsia" w:hAnsi="Cambria Math"/>
            </w:rPr>
            <m:t xml:space="preserve"> IFF t≥1972;0 otherwise</m:t>
          </m:r>
        </m:oMath>
      </m:oMathPara>
    </w:p>
    <w:p w14:paraId="6DC7AAC5" w14:textId="77777777" w:rsidR="007B2477" w:rsidRDefault="007029A2" w:rsidP="000B02C5">
      <w:pPr>
        <w:spacing w:line="480" w:lineRule="auto"/>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oMath>
      <w:r>
        <w:rPr>
          <w:rFonts w:eastAsiaTheme="minorEastAsia"/>
        </w:rPr>
        <w:t xml:space="preserve"> indicates the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oMath>
      <w:r>
        <w:rPr>
          <w:rFonts w:eastAsiaTheme="minorEastAsia"/>
        </w:rPr>
        <w:t xml:space="preserve"> mortality rate for males of age </w:t>
      </w:r>
      <m:oMath>
        <m:r>
          <w:rPr>
            <w:rFonts w:ascii="Cambria Math" w:hAnsi="Cambria Math"/>
          </w:rPr>
          <m:t>i</m:t>
        </m:r>
      </m:oMath>
      <w:r>
        <w:rPr>
          <w:rFonts w:eastAsiaTheme="minorEastAsia"/>
        </w:rPr>
        <w:t xml:space="preserve"> in year </w:t>
      </w:r>
      <m:oMath>
        <m:r>
          <w:rPr>
            <w:rFonts w:ascii="Cambria Math" w:hAnsi="Cambria Math"/>
          </w:rPr>
          <m:t>t</m:t>
        </m:r>
      </m:oMath>
      <w:r>
        <w:rPr>
          <w:rFonts w:eastAsiaTheme="minorEastAsia"/>
        </w:rPr>
        <w:t xml:space="preserve">, the superscript </w:t>
      </w:r>
      <m:oMath>
        <m:d>
          <m:dPr>
            <m:ctrlPr>
              <w:rPr>
                <w:rFonts w:ascii="Cambria Math" w:hAnsi="Cambria Math"/>
                <w:i/>
              </w:rPr>
            </m:ctrlPr>
          </m:dPr>
          <m:e>
            <m:r>
              <w:rPr>
                <w:rFonts w:ascii="Cambria Math" w:hAnsi="Cambria Math"/>
              </w:rPr>
              <m:t>P</m:t>
            </m:r>
          </m:e>
        </m:d>
      </m:oMath>
      <w:r>
        <w:rPr>
          <w:rFonts w:eastAsiaTheme="minorEastAsia"/>
        </w:rPr>
        <w:t xml:space="preserve"> indicates which of three distinct phases in mortality improvement to which year </w:t>
      </w:r>
      <m:oMath>
        <m:r>
          <w:rPr>
            <w:rFonts w:ascii="Cambria Math" w:hAnsi="Cambria Math"/>
          </w:rPr>
          <m:t>t</m:t>
        </m:r>
      </m:oMath>
      <w:r>
        <w:rPr>
          <w:rFonts w:eastAsiaTheme="minorEastAsia"/>
        </w:rPr>
        <w:t xml:space="preserve"> belongs, and </w:t>
      </w:r>
      <m:oMath>
        <m:sSup>
          <m:sSupPr>
            <m:ctrlPr>
              <w:rPr>
                <w:rFonts w:ascii="Cambria Math" w:hAnsi="Cambria Math"/>
                <w:i/>
              </w:rPr>
            </m:ctrlPr>
          </m:sSupPr>
          <m:e>
            <m:r>
              <w:rPr>
                <w:rFonts w:ascii="Cambria Math" w:hAnsi="Cambria Math"/>
              </w:rPr>
              <m:t>t</m:t>
            </m:r>
          </m:e>
          <m:sup>
            <m:r>
              <w:rPr>
                <w:rFonts w:ascii="Cambria Math" w:hAnsi="Cambria Math"/>
              </w:rPr>
              <m:t>(P)</m:t>
            </m:r>
          </m:sup>
        </m:sSup>
      </m:oMath>
      <w:r>
        <w:rPr>
          <w:rFonts w:eastAsiaTheme="minorEastAsia"/>
        </w:rPr>
        <w:t xml:space="preserve"> indicates the number of years since the start of the mortality improvement phase to which year </w:t>
      </w:r>
      <m:oMath>
        <m:r>
          <w:rPr>
            <w:rFonts w:ascii="Cambria Math" w:hAnsi="Cambria Math"/>
          </w:rPr>
          <m:t>t</m:t>
        </m:r>
      </m:oMath>
      <w:r>
        <w:rPr>
          <w:rFonts w:eastAsiaTheme="minorEastAsia"/>
        </w:rPr>
        <w:t xml:space="preserve"> belongs. </w:t>
      </w:r>
      <w:r w:rsidR="007B2477">
        <w:rPr>
          <w:rFonts w:eastAsiaTheme="minorEastAsia"/>
        </w:rPr>
        <w:t xml:space="preserve">The three mortality improvement phases, identified through visual exploration of the Lexis surfaces, are: Phase One: 1922 to 1938 inclusive; Phase Two: 1939 to 1955 inclusive; and Phase Three: 1956 and later. Within these three phases, the rate of age specific mortality improvement tended to be greatest in Phase Two (1939 to 1955), despite this period including World War Two. </w:t>
      </w:r>
    </w:p>
    <w:p w14:paraId="4E69A5E8" w14:textId="54E93EC7" w:rsidR="005D4F12" w:rsidRDefault="007029A2" w:rsidP="000B02C5">
      <w:pPr>
        <w:spacing w:line="480" w:lineRule="auto"/>
        <w:rPr>
          <w:rFonts w:eastAsiaTheme="minorEastAsia"/>
        </w:rPr>
      </w:p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t>
      </w:r>
      <w:proofErr w:type="gramStart"/>
      <w:r>
        <w:rPr>
          <w:rFonts w:eastAsiaTheme="minorEastAsia"/>
        </w:rPr>
        <w:t>is</w:t>
      </w:r>
      <w:proofErr w:type="gramEnd"/>
      <w:r>
        <w:rPr>
          <w:rFonts w:eastAsiaTheme="minorEastAsia"/>
        </w:rPr>
        <w:t xml:space="preserve"> the function which models the mortality effect of the conflict. It assumes that the additional mortality effect is greatest in the first year of the conflict, then decays exponentially with each subsequent year. The rate of decay in additional mortality is modelled using the </w:t>
      </w:r>
      <w:proofErr w:type="gramStart"/>
      <w:r>
        <w:rPr>
          <w:rFonts w:eastAsiaTheme="minorEastAsia"/>
        </w:rPr>
        <w:t xml:space="preserve">parameter </w:t>
      </w:r>
      <w:proofErr w:type="gramEnd"/>
      <m:oMath>
        <m:r>
          <w:rPr>
            <w:rFonts w:ascii="Cambria Math" w:eastAsiaTheme="minorEastAsia" w:hAnsi="Cambria Math"/>
          </w:rPr>
          <m:t>k</m:t>
        </m:r>
      </m:oMath>
      <w:r w:rsidR="007B2477">
        <w:rPr>
          <w:rFonts w:eastAsiaTheme="minorEastAsia"/>
        </w:rPr>
        <w:t>, and can have any value from 0 to 1 inclusive</w:t>
      </w:r>
      <w:r>
        <w:rPr>
          <w:rFonts w:eastAsiaTheme="minorEastAsia"/>
        </w:rPr>
        <w:t xml:space="preserve">. In the fourth phase of the analysis, </w:t>
      </w:r>
      <w:r w:rsidR="007B2477">
        <w:rPr>
          <w:rFonts w:eastAsiaTheme="minorEastAsia"/>
        </w:rPr>
        <w:t xml:space="preserve">numerical optimisation is used to select k such that AIC (penalised model fit) is minimised. Given </w:t>
      </w:r>
      <m:oMath>
        <m:r>
          <w:rPr>
            <w:rFonts w:ascii="Cambria Math" w:eastAsiaTheme="minorEastAsia" w:hAnsi="Cambria Math"/>
          </w:rPr>
          <m:t>k</m:t>
        </m:r>
      </m:oMath>
      <w:r w:rsidR="000E2BEA">
        <w:rPr>
          <w:rFonts w:eastAsiaTheme="minorEastAsia"/>
        </w:rPr>
        <w:t>, the ‘half life’ of the conflict, i.e. number of years it takes for the additional</w:t>
      </w:r>
      <w:r w:rsidR="00B03DB4">
        <w:rPr>
          <w:rFonts w:eastAsiaTheme="minorEastAsia"/>
        </w:rPr>
        <w:t xml:space="preserve"> log</w:t>
      </w:r>
      <w:r w:rsidR="000E2BEA">
        <w:rPr>
          <w:rFonts w:eastAsiaTheme="minorEastAsia"/>
        </w:rPr>
        <w:t xml:space="preserve"> mortality risk to fall by half, can also be calculated using the formula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1/2</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log⁡</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(1-k)</m:t>
                </m:r>
              </m:e>
            </m:func>
          </m:den>
        </m:f>
      </m:oMath>
      <w:r w:rsidR="000E2BEA">
        <w:rPr>
          <w:rFonts w:eastAsiaTheme="minorEastAsia"/>
        </w:rPr>
        <w:t xml:space="preserve">. </w:t>
      </w:r>
    </w:p>
    <w:p w14:paraId="627D9036" w14:textId="6DA083EE" w:rsidR="007B2477" w:rsidRPr="005D4F12" w:rsidRDefault="007B2477" w:rsidP="000B02C5">
      <w:pPr>
        <w:spacing w:line="480" w:lineRule="auto"/>
        <w:rPr>
          <w:rFonts w:eastAsiaTheme="minorEastAsia"/>
        </w:rPr>
      </w:pPr>
      <w:r>
        <w:rPr>
          <w:rFonts w:eastAsiaTheme="minorEastAsia"/>
        </w:rPr>
        <w:t xml:space="preserve">Finally, in the fifth phase of the analysis, the numbers of deaths at each age and in each year are estimated by applying the model’s predicted mortality risks to the populations exposed to these </w:t>
      </w:r>
      <w:r w:rsidR="000E2BEA">
        <w:rPr>
          <w:rFonts w:eastAsiaTheme="minorEastAsia"/>
        </w:rPr>
        <w:t>risks</w:t>
      </w:r>
      <w:r w:rsidR="00C371AF">
        <w:rPr>
          <w:rFonts w:eastAsiaTheme="minorEastAsia"/>
        </w:rPr>
        <w:t>, i.e</w:t>
      </w:r>
      <w:proofErr w:type="gramStart"/>
      <w:r w:rsidR="00C371AF">
        <w:rPr>
          <w:rFonts w:eastAsiaTheme="minorEastAsia"/>
        </w:rPr>
        <w:t xml:space="preserve">. </w:t>
      </w:r>
      <w:proofErr w:type="gramEnd"/>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A</m:t>
            </m:r>
          </m:sup>
        </m:sSubSup>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10</m:t>
            </m:r>
          </m:e>
          <m:sup>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i</m:t>
                </m:r>
              </m:sub>
              <m:sup>
                <m:r>
                  <w:rPr>
                    <w:rFonts w:ascii="Cambria Math" w:eastAsiaTheme="minorEastAsia" w:hAnsi="Cambria Math"/>
                  </w:rPr>
                  <m:t>A</m:t>
                </m:r>
              </m:sup>
            </m:sSubSup>
            <m:d>
              <m:dPr>
                <m:ctrlPr>
                  <w:rPr>
                    <w:rFonts w:ascii="Cambria Math" w:eastAsiaTheme="minorEastAsia" w:hAnsi="Cambria Math"/>
                    <w:i/>
                  </w:rPr>
                </m:ctrlPr>
              </m:dPr>
              <m:e>
                <m:r>
                  <w:rPr>
                    <w:rFonts w:ascii="Cambria Math" w:eastAsiaTheme="minorEastAsia" w:hAnsi="Cambria Math"/>
                  </w:rPr>
                  <m:t>t</m:t>
                </m:r>
              </m:e>
            </m:d>
          </m:sup>
        </m:sSup>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(t)</m:t>
        </m:r>
      </m:oMath>
      <w:r w:rsidR="00C371AF">
        <w:rPr>
          <w:rFonts w:eastAsiaTheme="minorEastAsia"/>
        </w:rPr>
        <w:t xml:space="preserve">, where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A</m:t>
            </m:r>
          </m:sup>
        </m:sSubSup>
        <m:r>
          <w:rPr>
            <w:rFonts w:ascii="Cambria Math" w:eastAsiaTheme="minorEastAsia" w:hAnsi="Cambria Math"/>
          </w:rPr>
          <m:t>(t)</m:t>
        </m:r>
      </m:oMath>
      <w:r w:rsidR="00C371AF">
        <w:rPr>
          <w:rFonts w:eastAsiaTheme="minorEastAsia"/>
        </w:rPr>
        <w:t xml:space="preserve"> is the number of deaths at age</w:t>
      </w:r>
      <m:oMath>
        <m:r>
          <w:rPr>
            <w:rFonts w:ascii="Cambria Math" w:eastAsiaTheme="minorEastAsia" w:hAnsi="Cambria Math"/>
          </w:rPr>
          <m:t xml:space="preserve"> i</m:t>
        </m:r>
      </m:oMath>
      <w:r w:rsidR="00C371AF">
        <w:rPr>
          <w:rFonts w:eastAsiaTheme="minorEastAsia"/>
        </w:rPr>
        <w:t xml:space="preserve"> and in year </w:t>
      </w:r>
      <m:oMath>
        <m:r>
          <w:rPr>
            <w:rFonts w:ascii="Cambria Math" w:eastAsiaTheme="minorEastAsia" w:hAnsi="Cambria Math"/>
          </w:rPr>
          <m:t>t</m:t>
        </m:r>
      </m:oMath>
      <w:r w:rsidR="00C371AF">
        <w:rPr>
          <w:rFonts w:eastAsiaTheme="minorEastAsia"/>
        </w:rPr>
        <w:t xml:space="preserve"> under the active conflict scenario A,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(t)</m:t>
        </m:r>
      </m:oMath>
      <w:r w:rsidR="00C371AF">
        <w:rPr>
          <w:rFonts w:eastAsiaTheme="minorEastAsia"/>
        </w:rPr>
        <w:t xml:space="preserve"> indicates the size of the population at this age and in this year exposed to the mortality risk</w:t>
      </w:r>
      <w:r w:rsidR="000E2BEA">
        <w:rPr>
          <w:rFonts w:eastAsiaTheme="minorEastAsia"/>
        </w:rPr>
        <w:t xml:space="preserve">. A counterfactual surface of risks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C</m:t>
            </m:r>
          </m:sup>
        </m:sSubSup>
        <m:r>
          <w:rPr>
            <w:rFonts w:ascii="Cambria Math" w:eastAsiaTheme="minorEastAsia" w:hAnsi="Cambria Math"/>
          </w:rPr>
          <m:t>(t)</m:t>
        </m:r>
      </m:oMath>
      <w:r w:rsidR="00C371AF">
        <w:rPr>
          <w:rFonts w:eastAsiaTheme="minorEastAsia"/>
        </w:rPr>
        <w:t xml:space="preserve"> </w:t>
      </w:r>
      <w:r w:rsidR="000E2BEA">
        <w:rPr>
          <w:rFonts w:eastAsiaTheme="minorEastAsia"/>
        </w:rPr>
        <w:t xml:space="preserve">is modelled by setting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t</m:t>
            </m:r>
          </m:e>
        </m:d>
      </m:oMath>
      <w:r w:rsidR="000E2BEA">
        <w:rPr>
          <w:rFonts w:eastAsiaTheme="minorEastAsia"/>
        </w:rPr>
        <w:t xml:space="preserve"> to 0 in all years</w:t>
      </w:r>
      <w:r w:rsidR="00C371AF">
        <w:rPr>
          <w:rFonts w:eastAsiaTheme="minorEastAsia"/>
        </w:rPr>
        <w:t xml:space="preserve">. The total number of conflict-attributable deaths estimated by the model in this age range is then </w:t>
      </w:r>
      <w:r w:rsidR="003726C0">
        <w:rPr>
          <w:rFonts w:eastAsiaTheme="minorEastAsia"/>
        </w:rPr>
        <w:t xml:space="preserve">the sum of differences in deaths estimated under both scenarios, i.e. </w:t>
      </w:r>
      <m:oMath>
        <m:nary>
          <m:naryPr>
            <m:chr m:val="∑"/>
            <m:limLoc m:val="subSup"/>
            <m:ctrlPr>
              <w:rPr>
                <w:rFonts w:ascii="Cambria Math" w:eastAsiaTheme="minorEastAsia" w:hAnsi="Cambria Math"/>
                <w:i/>
              </w:rPr>
            </m:ctrlPr>
          </m:naryPr>
          <m:sub>
            <m:r>
              <w:rPr>
                <w:rFonts w:ascii="Cambria Math" w:eastAsiaTheme="minorEastAsia" w:hAnsi="Cambria Math"/>
              </w:rPr>
              <m:t>i=15</m:t>
            </m:r>
          </m:sub>
          <m:sup>
            <m:r>
              <w:rPr>
                <w:rFonts w:ascii="Cambria Math" w:eastAsiaTheme="minorEastAsia" w:hAnsi="Cambria Math"/>
              </w:rPr>
              <m:t>45</m:t>
            </m:r>
          </m:sup>
          <m:e>
            <m:nary>
              <m:naryPr>
                <m:chr m:val="∑"/>
                <m:limLoc m:val="subSup"/>
                <m:ctrlPr>
                  <w:rPr>
                    <w:rFonts w:ascii="Cambria Math" w:eastAsiaTheme="minorEastAsia" w:hAnsi="Cambria Math"/>
                    <w:i/>
                  </w:rPr>
                </m:ctrlPr>
              </m:naryPr>
              <m:sub>
                <m:r>
                  <w:rPr>
                    <w:rFonts w:ascii="Cambria Math" w:eastAsiaTheme="minorEastAsia" w:hAnsi="Cambria Math"/>
                  </w:rPr>
                  <m:t>t=1922</m:t>
                </m:r>
              </m:sub>
              <m:sup>
                <m:r>
                  <w:rPr>
                    <w:rFonts w:ascii="Cambria Math" w:eastAsiaTheme="minorEastAsia" w:hAnsi="Cambria Math"/>
                  </w:rPr>
                  <m:t>2013</m:t>
                </m:r>
              </m:sup>
              <m:e>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A</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C</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e>
            </m:nary>
          </m:e>
        </m:nary>
      </m:oMath>
      <w:r w:rsidR="003726C0">
        <w:rPr>
          <w:rFonts w:eastAsiaTheme="minorEastAsia"/>
        </w:rPr>
        <w:t>.</w:t>
      </w:r>
      <w:r w:rsidR="000E2BEA">
        <w:rPr>
          <w:rFonts w:eastAsiaTheme="minorEastAsia"/>
        </w:rPr>
        <w:t xml:space="preserve"> </w:t>
      </w:r>
    </w:p>
    <w:p w14:paraId="17210717" w14:textId="59BB997C" w:rsidR="00F1537E" w:rsidRDefault="00CC1DA7" w:rsidP="000B02C5">
      <w:pPr>
        <w:pStyle w:val="Heading2"/>
        <w:spacing w:line="480" w:lineRule="auto"/>
      </w:pPr>
      <w:r>
        <w:lastRenderedPageBreak/>
        <w:t xml:space="preserve">Section four: </w:t>
      </w:r>
      <w:r w:rsidR="00F1537E">
        <w:t>Results [</w:t>
      </w:r>
      <w:r w:rsidR="000B02C5">
        <w:t>1315/</w:t>
      </w:r>
      <w:r w:rsidR="00F1537E">
        <w:t>1500 words]</w:t>
      </w:r>
    </w:p>
    <w:p w14:paraId="6FD58C1E" w14:textId="21CEA7A4" w:rsidR="00A33838" w:rsidRDefault="0029467E" w:rsidP="000B02C5">
      <w:pPr>
        <w:pStyle w:val="Heading2"/>
        <w:spacing w:line="480" w:lineRule="auto"/>
      </w:pPr>
      <w:r>
        <w:t xml:space="preserve">Visual exploration of patterns </w:t>
      </w:r>
    </w:p>
    <w:p w14:paraId="6919AA3C" w14:textId="53272FCF" w:rsidR="00F1537E" w:rsidRDefault="00720800" w:rsidP="000B02C5">
      <w:pPr>
        <w:spacing w:line="480" w:lineRule="auto"/>
      </w:pPr>
      <w:r>
        <w:t>Figure 1 shows the Lexis surfaces of log</w:t>
      </w:r>
      <w:r>
        <w:softHyphen/>
      </w:r>
      <w:r>
        <w:rPr>
          <w:vertAlign w:val="subscript"/>
        </w:rPr>
        <w:t>10</w:t>
      </w:r>
      <w:r>
        <w:t xml:space="preserve"> mortality rates for both genders and for each age between </w:t>
      </w:r>
      <w:proofErr w:type="spellStart"/>
      <w:r>
        <w:t>newborns</w:t>
      </w:r>
      <w:proofErr w:type="spellEnd"/>
      <w:r>
        <w:t xml:space="preserve"> and 90 years. </w:t>
      </w:r>
      <w:r w:rsidR="006C78A1">
        <w:t>C</w:t>
      </w:r>
      <w:r>
        <w:t xml:space="preserve">ells are coloured according to mortality rate. The legend on the right show </w:t>
      </w:r>
      <w:bookmarkStart w:id="13" w:name="_GoBack"/>
      <w:bookmarkEnd w:id="13"/>
      <w:r>
        <w:t xml:space="preserve">which colours correspond </w:t>
      </w:r>
      <w:r w:rsidR="006D095E">
        <w:t xml:space="preserve">to </w:t>
      </w:r>
      <w:r>
        <w:t xml:space="preserve">which mortality values. </w:t>
      </w:r>
      <w:r w:rsidR="008D1A01">
        <w:t>T</w:t>
      </w:r>
      <w:r>
        <w:t>he values on this legend indicate the ‘number of zeros’ associated with the mortality risk</w:t>
      </w:r>
      <w:r w:rsidR="008D1A01">
        <w:t xml:space="preserve">, with ranges from </w:t>
      </w:r>
      <w:proofErr w:type="spellStart"/>
      <w:r>
        <w:t>from</w:t>
      </w:r>
      <w:proofErr w:type="spellEnd"/>
      <w:r>
        <w:t xml:space="preserve"> 10</w:t>
      </w:r>
      <w:r>
        <w:rPr>
          <w:vertAlign w:val="superscript"/>
        </w:rPr>
        <w:t>0</w:t>
      </w:r>
      <w:r>
        <w:rPr>
          <w:vertAlign w:val="subscript"/>
        </w:rPr>
        <w:t xml:space="preserve"> </w:t>
      </w:r>
      <w:r>
        <w:t>or 1.0 risk for light blue at the top, then to 10</w:t>
      </w:r>
      <w:r>
        <w:rPr>
          <w:vertAlign w:val="superscript"/>
        </w:rPr>
        <w:t>-1</w:t>
      </w:r>
      <w:r>
        <w:t xml:space="preserve"> (one in ten) for lighter green shades, 10</w:t>
      </w:r>
      <w:r>
        <w:rPr>
          <w:vertAlign w:val="superscript"/>
        </w:rPr>
        <w:t>-2</w:t>
      </w:r>
      <w:r>
        <w:t xml:space="preserve"> (one-in-100) for lighter reds, </w:t>
      </w:r>
      <w:r w:rsidR="008D1A01">
        <w:t xml:space="preserve">to  </w:t>
      </w:r>
      <w:r>
        <w:t>10</w:t>
      </w:r>
      <w:r>
        <w:rPr>
          <w:vertAlign w:val="superscript"/>
        </w:rPr>
        <w:t>-5</w:t>
      </w:r>
      <w:r>
        <w:t xml:space="preserve"> (one in a million) for the brown shade at the bottom of the scale. </w:t>
      </w:r>
    </w:p>
    <w:p w14:paraId="1FF81ACE" w14:textId="0C682479" w:rsidR="00B447E0" w:rsidRDefault="00B447E0" w:rsidP="000B02C5">
      <w:pPr>
        <w:spacing w:line="480" w:lineRule="auto"/>
      </w:pPr>
      <w:r>
        <w:t xml:space="preserve">Figure 2 provides a stylised ‘pen portrait’ of some of the main features seen in figure 1. As with in many other countries, there is a much sharper increase in mortality risk once males reach adulthood, not observed to the same extent in female. In more recent years this can be seen by noting that for males almost all purple cells are seen in childhood, with cells at older </w:t>
      </w:r>
      <w:proofErr w:type="gramStart"/>
      <w:r>
        <w:t>ages</w:t>
      </w:r>
      <w:proofErr w:type="gramEnd"/>
      <w:r>
        <w:t xml:space="preserve"> coloured light or dark orange. This broadly corresponds to somewhere between half an order of magnitude, to a full order of magnitude, increase in mortality risk after males reach adulthood compared with their risks in childhood. By contrast for females the difference in colour and shade in early adulthood is much less different to in childhood.</w:t>
      </w:r>
    </w:p>
    <w:p w14:paraId="0F1029F1" w14:textId="2162030D" w:rsidR="00963867" w:rsidRDefault="00B447E0" w:rsidP="000B02C5">
      <w:pPr>
        <w:spacing w:line="480" w:lineRule="auto"/>
        <w:rPr>
          <w:rFonts w:eastAsiaTheme="minorEastAsia"/>
        </w:rPr>
      </w:pPr>
      <w:r>
        <w:t xml:space="preserve">Within Figure 2 P1, P2 and P3 indicate ‘Phase 1’, ‘Phase 2’ and ‘Phase 3’, each demarcating periods of years in which there appeared to be systemic differences in the rate of change in mortality risk at different ages. </w:t>
      </w:r>
      <w:r>
        <w:rPr>
          <w:rFonts w:eastAsiaTheme="minorEastAsia"/>
        </w:rPr>
        <w:t>The much more rapid falls in both female and</w:t>
      </w:r>
      <w:r w:rsidR="00963867">
        <w:rPr>
          <w:rFonts w:eastAsiaTheme="minorEastAsia"/>
        </w:rPr>
        <w:t xml:space="preserve"> male young adult mortality over Phase Two is evident in the Figure 1 </w:t>
      </w:r>
      <w:proofErr w:type="spellStart"/>
      <w:r w:rsidR="00963867">
        <w:rPr>
          <w:rFonts w:eastAsiaTheme="minorEastAsia"/>
        </w:rPr>
        <w:t>levelplot</w:t>
      </w:r>
      <w:proofErr w:type="spellEnd"/>
      <w:r w:rsidR="00963867">
        <w:rPr>
          <w:rFonts w:eastAsiaTheme="minorEastAsia"/>
        </w:rPr>
        <w:t xml:space="preserve"> by noting that most of the cells in the age range 20 to 40 years are red before the late 1930s, whereas during this Phase they turn dark and light orange. This represents close to an order of magnitude fall in mortality risk at these ages over these years. This is despite the period including World War Two, indicated with a shaded polygon in Figure 2. </w:t>
      </w:r>
    </w:p>
    <w:p w14:paraId="010A2870" w14:textId="481BBDF3" w:rsidR="00B447E0" w:rsidRDefault="00963867" w:rsidP="000B02C5">
      <w:pPr>
        <w:spacing w:line="480" w:lineRule="auto"/>
        <w:rPr>
          <w:rFonts w:eastAsiaTheme="minorEastAsia"/>
        </w:rPr>
      </w:pPr>
      <w:r>
        <w:rPr>
          <w:rFonts w:eastAsiaTheme="minorEastAsia"/>
        </w:rPr>
        <w:t xml:space="preserve">The effect of the Troubles on mortality is evident by noting the faint vertical band of red cells which appears in the male level plot from around age 18 to 40 after the early 1970s. Before this red band </w:t>
      </w:r>
      <w:r>
        <w:rPr>
          <w:rFonts w:eastAsiaTheme="minorEastAsia"/>
        </w:rPr>
        <w:lastRenderedPageBreak/>
        <w:t xml:space="preserve">appeared cells tended to be a darker orange shade (slightly under </w:t>
      </w:r>
      <w:r w:rsidR="006C78A1">
        <w:rPr>
          <w:rFonts w:eastAsiaTheme="minorEastAsia"/>
        </w:rPr>
        <w:t xml:space="preserve">a </w:t>
      </w:r>
      <w:r>
        <w:rPr>
          <w:rFonts w:eastAsiaTheme="minorEastAsia"/>
        </w:rPr>
        <w:t xml:space="preserve">1-in-100 risk), and </w:t>
      </w:r>
      <w:r w:rsidR="000B2D22">
        <w:rPr>
          <w:rFonts w:eastAsiaTheme="minorEastAsia"/>
        </w:rPr>
        <w:t xml:space="preserve">a slightly lighter orange/yellow shade after. No similar discontinuity at this age range after the early 1970s is evident for females. </w:t>
      </w:r>
      <w:r w:rsidR="00A33838">
        <w:rPr>
          <w:rFonts w:eastAsiaTheme="minorEastAsia"/>
        </w:rPr>
        <w:t xml:space="preserve">Figure 3 explores this pattern further, by plotting the number of deaths for males and females aged between 18 and 40 years. A grey band is added indicating the years 1971-1973. Male deaths risk in 1971 and 1972, peak in 1973, and then remain above those seen in earlier years for many years afterwards; no similar increase is seen for females. </w:t>
      </w:r>
      <w:r w:rsidR="006C78A1">
        <w:rPr>
          <w:rFonts w:eastAsiaTheme="minorEastAsia"/>
        </w:rPr>
        <w:t xml:space="preserve">The </w:t>
      </w:r>
      <w:r w:rsidR="000B2D22">
        <w:rPr>
          <w:rFonts w:eastAsiaTheme="minorEastAsia"/>
        </w:rPr>
        <w:t>Troubles had a longer term effect than WW2 on male mortality.</w:t>
      </w:r>
      <w:r>
        <w:rPr>
          <w:rFonts w:eastAsiaTheme="minorEastAsia"/>
        </w:rPr>
        <w:t xml:space="preserve"> </w:t>
      </w:r>
    </w:p>
    <w:p w14:paraId="124BE338" w14:textId="15B8D844" w:rsidR="00B447E0" w:rsidRPr="0029467E" w:rsidRDefault="0029467E" w:rsidP="000B02C5">
      <w:pPr>
        <w:spacing w:line="480" w:lineRule="auto"/>
      </w:pPr>
      <w:r>
        <w:t>Within Figure 2, the large horizontal grey band indicates the age range 15 to 45 years, within which further analyses will focus. Figure 4 shows level plots for males and females for this age range only, using a slightly different colour scheme and range of log</w:t>
      </w:r>
      <w:r>
        <w:rPr>
          <w:vertAlign w:val="subscript"/>
        </w:rPr>
        <w:t>10</w:t>
      </w:r>
      <w:r>
        <w:t xml:space="preserve"> mortality values to before. Within this plot the effect of the Troubles on male mortality is clearer, and appears as a band of light red, then dark red, cells after the early 1970s after orange and dark red cells in earlier years. Again, no similar pattern is seen for females. The disruption to earlier trends for males appears mainly to affect males once they have reached adulthood, and to be sharpest at younger adult ages, from around the ages of 18 to 21 years of age. </w:t>
      </w:r>
    </w:p>
    <w:p w14:paraId="366AAC5A" w14:textId="41E53D1D" w:rsidR="0029467E" w:rsidRPr="00C94CE9" w:rsidRDefault="0029467E" w:rsidP="000B02C5">
      <w:pPr>
        <w:pStyle w:val="Heading2"/>
        <w:spacing w:line="480" w:lineRule="auto"/>
        <w:rPr>
          <w:color w:val="auto"/>
        </w:rPr>
      </w:pPr>
      <w:r w:rsidRPr="00C94CE9">
        <w:rPr>
          <w:color w:val="auto"/>
        </w:rPr>
        <w:t xml:space="preserve">Modelling </w:t>
      </w:r>
    </w:p>
    <w:p w14:paraId="56D99FD2" w14:textId="6B52DDE7" w:rsidR="00307E81" w:rsidRDefault="00D055BC" w:rsidP="000B02C5">
      <w:pPr>
        <w:spacing w:line="480" w:lineRule="auto"/>
      </w:pPr>
      <w:r>
        <w:t xml:space="preserve">Figure 5 </w:t>
      </w:r>
      <w:r w:rsidR="001F32F4">
        <w:t>comprises three rows, each presenting a log</w:t>
      </w:r>
      <w:r w:rsidR="001F32F4" w:rsidRPr="001F32F4">
        <w:rPr>
          <w:vertAlign w:val="subscript"/>
        </w:rPr>
        <w:t>10</w:t>
      </w:r>
      <w:r w:rsidR="001F32F4">
        <w:t xml:space="preserve"> mortality surface for males over the age range 15 to 40 years and for all years. On the top row, labelled ‘predicted’, the model predicted surface, including the parameter for the Troubles, is presented; on the middle row, labelled ‘counterfactual’, the model prediction for a counterfactual scenario, in which the Troubles term is not applied, is presented; and in the bottom row, labelled ‘actual’, the actual log</w:t>
      </w:r>
      <w:r w:rsidR="001F32F4" w:rsidRPr="001F32F4">
        <w:rPr>
          <w:vertAlign w:val="subscript"/>
        </w:rPr>
        <w:t>10</w:t>
      </w:r>
      <w:r w:rsidR="001F32F4">
        <w:t xml:space="preserve"> mortality values from the data are presented. </w:t>
      </w:r>
      <w:r w:rsidR="006C78A1">
        <w:t xml:space="preserve">We </w:t>
      </w:r>
      <w:r w:rsidR="001F32F4">
        <w:t xml:space="preserve">can see that the model is relatively effective at capturing the broad pattern and features of the actual surface, though is clearly and necessarily a somewhat stylised representation of the actual </w:t>
      </w:r>
      <w:r w:rsidR="009140E4">
        <w:t>data surface</w:t>
      </w:r>
      <w:r w:rsidR="001F32F4">
        <w:t xml:space="preserve">. </w:t>
      </w:r>
    </w:p>
    <w:p w14:paraId="77034B09" w14:textId="0201A23E" w:rsidR="00095E96" w:rsidRDefault="00095E96" w:rsidP="000B02C5">
      <w:pPr>
        <w:spacing w:line="480" w:lineRule="auto"/>
      </w:pPr>
      <w:r>
        <w:lastRenderedPageBreak/>
        <w:t>Systemic bias in over-estimation or under-estimation of age-year specific mortality risks can be explored by looking at the surface of residuals between the predicted and actual surfaces, as shown in Figure 6:</w:t>
      </w:r>
      <w:r w:rsidR="009140E4">
        <w:t xml:space="preserve"> </w:t>
      </w:r>
      <w:r w:rsidR="00D055BC">
        <w:t>within this figure red cells indicate model over-</w:t>
      </w:r>
      <w:r w:rsidR="009140E4">
        <w:t xml:space="preserve">estimation, </w:t>
      </w:r>
      <w:r w:rsidR="00D055BC">
        <w:t xml:space="preserve">blue cells under-estimation, and the shade of cells </w:t>
      </w:r>
      <w:r w:rsidR="009140E4">
        <w:t>the magnitude of error</w:t>
      </w:r>
      <w:r w:rsidR="00D055BC">
        <w:t xml:space="preserve">. </w:t>
      </w:r>
      <w:r w:rsidR="009140E4">
        <w:t>S</w:t>
      </w:r>
      <w:r>
        <w:t xml:space="preserve">ystemic biases in these estimates </w:t>
      </w:r>
      <w:r w:rsidR="009140E4">
        <w:t xml:space="preserve">appear </w:t>
      </w:r>
      <w:r>
        <w:t xml:space="preserve">as large ‘patches’ of cells with positive or negative residuals, as well as discontinuities in the data. </w:t>
      </w:r>
      <w:r w:rsidR="009140E4">
        <w:t xml:space="preserve">There is </w:t>
      </w:r>
      <w:r>
        <w:t xml:space="preserve">a vertical band of red cells at younger ages in 1939; </w:t>
      </w:r>
      <w:r w:rsidR="009140E4">
        <w:t xml:space="preserve">suggesting </w:t>
      </w:r>
      <w:r>
        <w:t>the model underestimates deaths in younger males during World War Two</w:t>
      </w:r>
      <w:r w:rsidR="009140E4">
        <w:t xml:space="preserve">; this </w:t>
      </w:r>
      <w:r>
        <w:t xml:space="preserve">should not be surprising given the model does not include any terms to represent this event. </w:t>
      </w:r>
    </w:p>
    <w:p w14:paraId="1EE4883A" w14:textId="579B1181" w:rsidR="00B447E0" w:rsidRDefault="009140E4" w:rsidP="000B02C5">
      <w:pPr>
        <w:spacing w:line="480" w:lineRule="auto"/>
      </w:pPr>
      <w:r>
        <w:t>F</w:t>
      </w:r>
      <w:r w:rsidR="00F73E1F">
        <w:t>igure 7</w:t>
      </w:r>
      <w:r>
        <w:t xml:space="preserve"> shows the model fit </w:t>
      </w:r>
      <w:proofErr w:type="gramStart"/>
      <w:r>
        <w:t>as  function</w:t>
      </w:r>
      <w:proofErr w:type="gramEnd"/>
      <w:r>
        <w:t xml:space="preserve"> of the decay rate, k. The model has a </w:t>
      </w:r>
      <w:r w:rsidR="00F73E1F">
        <w:t>best fit when k is 9.748%</w:t>
      </w:r>
      <w:r>
        <w:t xml:space="preserve">, suggesting a </w:t>
      </w:r>
      <w:r w:rsidR="00F73E1F">
        <w:t>half</w:t>
      </w:r>
      <w:r>
        <w:t>-</w:t>
      </w:r>
      <w:r w:rsidR="00F73E1F">
        <w:t xml:space="preserve">life of the Troubles </w:t>
      </w:r>
      <w:r>
        <w:t xml:space="preserve">of </w:t>
      </w:r>
      <w:r w:rsidR="00F73E1F">
        <w:t xml:space="preserve">6.76 years. </w:t>
      </w:r>
    </w:p>
    <w:p w14:paraId="1D937919" w14:textId="77777777" w:rsidR="00F73E1F" w:rsidRPr="00C94CE9" w:rsidRDefault="00F73E1F" w:rsidP="000B02C5">
      <w:pPr>
        <w:pStyle w:val="Heading2"/>
        <w:spacing w:line="480" w:lineRule="auto"/>
        <w:rPr>
          <w:color w:val="auto"/>
        </w:rPr>
      </w:pPr>
      <w:r w:rsidRPr="00C94CE9">
        <w:rPr>
          <w:color w:val="auto"/>
        </w:rPr>
        <w:t>Counterfactual estimation</w:t>
      </w:r>
    </w:p>
    <w:p w14:paraId="5E96AA0C" w14:textId="72FB5568" w:rsidR="00F73E1F" w:rsidRDefault="00F73E1F" w:rsidP="000B02C5">
      <w:pPr>
        <w:spacing w:line="480" w:lineRule="auto"/>
      </w:pPr>
      <w:r>
        <w:t xml:space="preserve">Using the approach described in the methods section, the number of additional deaths attributed to the Troubles by the model can be estimated by applying mortality risks to population sizes under both the ‘with-Troubles’ and ‘without-Troubles’ scenarios. </w:t>
      </w:r>
      <w:r w:rsidR="00F33FF6">
        <w:t>Figure 8 shows the estimated number of additional deaths at each age and year after 1972</w:t>
      </w:r>
      <w:r w:rsidR="00143745">
        <w:t>. These tend to be concentrated at the youngest adult ages, then reduce with age. This is further confirmed by extracting the coefficient associated with the Troubles for each age, as shown in Figure 9</w:t>
      </w:r>
      <w:r w:rsidR="00EF78B9">
        <w:t>, which include the equivalent coefficients for females if using the same model specification</w:t>
      </w:r>
      <w:r w:rsidR="00143745">
        <w:t xml:space="preserve">. </w:t>
      </w:r>
      <w:r w:rsidR="00EF78B9">
        <w:t xml:space="preserve">For males the effect is positive at almost all ages, and is largest at age 18, then falls at most older ages; for females it tends to be negative, suggesting the model may be </w:t>
      </w:r>
      <w:proofErr w:type="spellStart"/>
      <w:r w:rsidR="00EF78B9">
        <w:t>misspecified</w:t>
      </w:r>
      <w:proofErr w:type="spellEnd"/>
      <w:r w:rsidR="00EF78B9">
        <w:t xml:space="preserve"> for females, and instead </w:t>
      </w:r>
      <w:r w:rsidR="009140E4">
        <w:t xml:space="preserve">captures </w:t>
      </w:r>
      <w:r w:rsidR="00EF78B9">
        <w:t xml:space="preserve">broader continual improvements in mortality risks over this time period. </w:t>
      </w:r>
      <w:r w:rsidR="00143745">
        <w:t xml:space="preserve">Table 1 shows the number of estimated additional </w:t>
      </w:r>
      <w:r w:rsidR="00EF78B9">
        <w:t xml:space="preserve">male </w:t>
      </w:r>
      <w:r w:rsidR="00143745">
        <w:t>deaths by year and age group in five year interva</w:t>
      </w:r>
      <w:r w:rsidR="00C920BF">
        <w:t xml:space="preserve">ls to the nearest whole number for each year from 1972 to 2013, with margins indicating the total number by year and age. This estimates nearly 2800 additional deaths by 2013, with over 1000 occurring in the first three years of the conflict from 1972 </w:t>
      </w:r>
      <w:r w:rsidR="00C920BF">
        <w:lastRenderedPageBreak/>
        <w:t xml:space="preserve">to 1975. Looking by age, over half of the estimated deaths (1470 out of 2776) are estimated to have occurred in boys and men aged between 15 and 25 years inclusive. </w:t>
      </w:r>
    </w:p>
    <w:p w14:paraId="18A4B86F" w14:textId="39C41BCB" w:rsidR="00F1537E" w:rsidRPr="00C94CE9" w:rsidRDefault="00CC1DA7" w:rsidP="000B02C5">
      <w:pPr>
        <w:pStyle w:val="Heading2"/>
        <w:spacing w:line="480" w:lineRule="auto"/>
        <w:rPr>
          <w:color w:val="auto"/>
        </w:rPr>
      </w:pPr>
      <w:r w:rsidRPr="00C94CE9">
        <w:rPr>
          <w:color w:val="auto"/>
        </w:rPr>
        <w:t xml:space="preserve">Section five: </w:t>
      </w:r>
      <w:r w:rsidR="00F1537E" w:rsidRPr="00C94CE9">
        <w:rPr>
          <w:color w:val="auto"/>
        </w:rPr>
        <w:t>Discussion [</w:t>
      </w:r>
      <w:r w:rsidR="00EB1C4F" w:rsidRPr="00C94CE9">
        <w:rPr>
          <w:color w:val="auto"/>
        </w:rPr>
        <w:t>2</w:t>
      </w:r>
      <w:r w:rsidR="00EB1C4F">
        <w:rPr>
          <w:color w:val="auto"/>
        </w:rPr>
        <w:t>032</w:t>
      </w:r>
      <w:r w:rsidR="000B02C5" w:rsidRPr="00C94CE9">
        <w:rPr>
          <w:color w:val="auto"/>
        </w:rPr>
        <w:t>/</w:t>
      </w:r>
      <w:r w:rsidR="00F1537E" w:rsidRPr="00C94CE9">
        <w:rPr>
          <w:color w:val="auto"/>
        </w:rPr>
        <w:t>1500 words]</w:t>
      </w:r>
    </w:p>
    <w:p w14:paraId="6A8BB0EF" w14:textId="56175F17" w:rsidR="001B7B4E" w:rsidRPr="000B02C5" w:rsidRDefault="001B7B4E" w:rsidP="000B02C5">
      <w:pPr>
        <w:pStyle w:val="Heading3"/>
        <w:spacing w:line="480" w:lineRule="auto"/>
        <w:rPr>
          <w:color w:val="auto"/>
        </w:rPr>
      </w:pPr>
      <w:r w:rsidRPr="000B02C5">
        <w:rPr>
          <w:color w:val="auto"/>
        </w:rPr>
        <w:t>Comparison of mortality estimates</w:t>
      </w:r>
    </w:p>
    <w:p w14:paraId="0D80F440" w14:textId="7B3BC90A" w:rsidR="00AF371D" w:rsidRPr="000B02C5" w:rsidRDefault="00F119C2" w:rsidP="000B02C5">
      <w:pPr>
        <w:spacing w:line="480" w:lineRule="auto"/>
      </w:pPr>
      <w:r w:rsidRPr="000B02C5">
        <w:fldChar w:fldCharType="begin" w:fldLock="1"/>
      </w:r>
      <w:r w:rsidRPr="000B02C5">
        <w:instrText>ADDIN CSL_CITATION { "citationItems" : [ { "id" : "ITEM-1", "itemData" : { "ISBN" : "0 95333 05 2 4", "author" : [ { "dropping-particle" : "", "family" : "Smyth", "given" : "M", "non-dropping-particle" : "", "parse-names" : false, "suffix" : "" } ], "id" : "ITEM-1", "issued" : { "date-parts" : [ [ "1998" ] ] }, "publisher" : "INCORE", "publisher-place" : "Derry", "title" : "Half the Battle: Understanding the impact of 'the Troubles' on children and young people", "type" : "book" }, "uris" : [ "http://www.mendeley.com/documents/?uuid=313aa38d-d5b8-4e96-96fd-8c1414be3a17" ] } ], "mendeley" : { "formattedCitation" : "(Smyth, 1998)", "plainTextFormattedCitation" : "(Smyth, 1998)", "previouslyFormattedCitation" : "(Smyth, 1998)" }, "properties" : { "noteIndex" : 0 }, "schema" : "https://github.com/citation-style-language/schema/raw/master/csl-citation.json" }</w:instrText>
      </w:r>
      <w:r w:rsidRPr="000B02C5">
        <w:fldChar w:fldCharType="separate"/>
      </w:r>
      <w:r w:rsidRPr="000B02C5">
        <w:rPr>
          <w:noProof/>
        </w:rPr>
        <w:t>(Smyth, 1998)</w:t>
      </w:r>
      <w:r w:rsidRPr="000B02C5">
        <w:fldChar w:fldCharType="end"/>
      </w:r>
      <w:r w:rsidRPr="000B02C5">
        <w:t xml:space="preserve"> estimated a total of 3598 deaths were attributed killings in the conflict between 1969 and 1998</w:t>
      </w:r>
      <w:r w:rsidR="000D3EC9" w:rsidRPr="000B02C5">
        <w:t>; this compares with 26</w:t>
      </w:r>
      <w:r w:rsidR="006E3FB2" w:rsidRPr="000B02C5">
        <w:t>61</w:t>
      </w:r>
      <w:r w:rsidR="000D3EC9" w:rsidRPr="000B02C5">
        <w:t xml:space="preserve"> estimated in our model between 1969 and 1998 in younger adult males in Northern Ireland</w:t>
      </w:r>
      <w:r w:rsidR="0041727A" w:rsidRPr="000B02C5">
        <w:t xml:space="preserve"> only</w:t>
      </w:r>
      <w:r w:rsidRPr="000B02C5">
        <w:t xml:space="preserve">. </w:t>
      </w:r>
      <w:r w:rsidR="008D1A01" w:rsidRPr="000B02C5">
        <w:t xml:space="preserve">Other total mortality estimates for the Troubles tend to be similar, with </w:t>
      </w:r>
      <w:r w:rsidR="008D1A01" w:rsidRPr="000B02C5">
        <w:fldChar w:fldCharType="begin" w:fldLock="1"/>
      </w:r>
      <w:r w:rsidR="008D1A01" w:rsidRPr="000B02C5">
        <w:instrText>ADDIN CSL_CITATION { "citationItems" : [ { "id" : "ITEM-1", "itemData" : { "DOI" : "10.1080/13527250802284859", "ISSN" : "1352-7258", "PMID" : "2191", "abstract" : "The paramilitary ceasefires in 1994 and the ensuing peace negotiations brought to a close some three decades of ethno-nationalist violence in Northern Ireland. The conflict, colloquially termed the Troubles, cost almost 3,700 lives, and bequeathed both a tangible and intangible heritage of division and hurt. This paper considers the commodification of physical conflict 'heritage' such as military installations, memorials and street murals through an examination of various tourism initiatives. Such initiatives have been employed by a number of agents ranging from local councils and tourist boards to small community groups and ex-prisoner organisations. While 'official' agencies recognise the economic potential of this form of heritage, community-based groups often view the sites and symbols of the conflict as vehicles through which to propagate political perspectives. Those sold by the latter, in particular, are often supported by government bodies that fund such forms of tourism under the auspices of 'conflict transformation', a strategy that is aimed at transforming the nature of the conflict through fostering self-understanding within disputant communities. I participated in a number of these tours over the course of six months in 2005/2006.", "author" : [ { "dropping-particle" : "", "family" : "McDowell", "given" : "Sara", "non-dropping-particle" : "", "parse-names" : false, "suffix" : "" } ], "container-title" : "International Journal of Heritage Studies", "id" : "ITEM-1", "issue" : "5", "issued" : { "date-parts" : [ [ "2008", "9" ] ] }, "note" : "Int J Herit Stud Int J Herit Stud\nISI:000207690400002; V13Tz; Times Cited:19; Cited References Count:16", "page" : "405-421", "title" : "Selling Conflict Heritage through Tourism in Peacetime Northern Ireland: Transforming Conflict or Exacerbating Difference?", "type" : "article-journal", "volume" : "14" }, "uris" : [ "http://www.mendeley.com/documents/?uuid=ea84e679-4591-438b-bff2-688ae73f54ec" ] } ], "mendeley" : { "formattedCitation" : "(McDowell, 2008)", "plainTextFormattedCitation" : "(McDowell, 2008)", "previouslyFormattedCitation" : "(McDowell, 2008)" }, "properties" : { "noteIndex" : 0 }, "schema" : "https://github.com/citation-style-language/schema/raw/master/csl-citation.json" }</w:instrText>
      </w:r>
      <w:r w:rsidR="008D1A01" w:rsidRPr="000B02C5">
        <w:fldChar w:fldCharType="separate"/>
      </w:r>
      <w:r w:rsidR="008D1A01" w:rsidRPr="000B02C5">
        <w:rPr>
          <w:noProof/>
        </w:rPr>
        <w:t>(McDowell, 2008)</w:t>
      </w:r>
      <w:r w:rsidR="008D1A01" w:rsidRPr="000B02C5">
        <w:fldChar w:fldCharType="end"/>
      </w:r>
      <w:r w:rsidR="008D1A01" w:rsidRPr="000B02C5">
        <w:t xml:space="preserve"> estimating slightly under 3700 deaths, and </w:t>
      </w:r>
      <w:r w:rsidR="008D1A01" w:rsidRPr="000B02C5">
        <w:fldChar w:fldCharType="begin" w:fldLock="1"/>
      </w:r>
      <w:r w:rsidR="008D1A01" w:rsidRPr="000B02C5">
        <w:instrText>ADDIN CSL_CITATION { "citationItems" : [ { "id" : "ITEM-1", "itemData" : { "DOI" : "10.1192/apt.7.1.73", "ISSN" : "13555146", "author" : [ { "dropping-particle" : "", "family" : "Curran", "given" : "P. S.", "non-dropping-particle" : "", "parse-names" : false, "suffix" : "" } ], "container-title" : "Advances in Psychiatric Treatment", "id" : "ITEM-1", "issue" : "1", "issued" : { "date-parts" : [ [ "2001", "1", "1" ] ] }, "page" : "73-80", "title" : "Psychiatric implications of chronic civilian strife or war: Northern Ireland", "type" : "article-journal", "volume" : "7" }, "uris" : [ "http://www.mendeley.com/documents/?uuid=ea1729fb-3605-441a-a7be-62924814f2a1" ] } ], "mendeley" : { "formattedCitation" : "(Curran, 2001)", "plainTextFormattedCitation" : "(Curran, 2001)", "previouslyFormattedCitation" : "(Curran, 2001)" }, "properties" : { "noteIndex" : 0 }, "schema" : "https://github.com/citation-style-language/schema/raw/master/csl-citation.json" }</w:instrText>
      </w:r>
      <w:r w:rsidR="008D1A01" w:rsidRPr="000B02C5">
        <w:fldChar w:fldCharType="separate"/>
      </w:r>
      <w:r w:rsidR="008D1A01" w:rsidRPr="000B02C5">
        <w:rPr>
          <w:noProof/>
        </w:rPr>
        <w:t>(Curran, 2001)</w:t>
      </w:r>
      <w:r w:rsidR="008D1A01" w:rsidRPr="000B02C5">
        <w:fldChar w:fldCharType="end"/>
      </w:r>
      <w:r w:rsidR="008D1A01" w:rsidRPr="000B02C5">
        <w:t xml:space="preserve"> estimating 3740 additional deaths between 1969 and 1999 (compared with our estimate of 2675 between 1972 and 1999).</w:t>
      </w:r>
    </w:p>
    <w:p w14:paraId="5C036B83" w14:textId="52EF2238" w:rsidR="006E3FB2" w:rsidRPr="000B02C5" w:rsidRDefault="000D3EC9" w:rsidP="000B02C5">
      <w:pPr>
        <w:spacing w:line="480" w:lineRule="auto"/>
      </w:pPr>
      <w:r w:rsidRPr="000B02C5">
        <w:fldChar w:fldCharType="begin" w:fldLock="1"/>
      </w:r>
      <w:r w:rsidRPr="000B02C5">
        <w:instrText>ADDIN CSL_CITATION { "citationItems" : [ { "id" : "ITEM-1", "itemData" : { "ISBN" : "0 95333 05 2 4", "author" : [ { "dropping-particle" : "", "family" : "Smyth", "given" : "M", "non-dropping-particle" : "", "parse-names" : false, "suffix" : "" } ], "id" : "ITEM-1", "issued" : { "date-parts" : [ [ "1998" ] ] }, "publisher" : "INCORE", "publisher-place" : "Derry", "title" : "Half the Battle: Understanding the impact of 'the Troubles' on children and young people", "type" : "book" }, "uris" : [ "http://www.mendeley.com/documents/?uuid=313aa38d-d5b8-4e96-96fd-8c1414be3a17" ] } ], "mendeley" : { "formattedCitation" : "(Smyth, 1998)", "plainTextFormattedCitation" : "(Smyth, 1998)", "previouslyFormattedCitation" : "(Smyth, 1998)" }, "properties" : { "noteIndex" : 0 }, "schema" : "https://github.com/citation-style-language/schema/raw/master/csl-citation.json" }</w:instrText>
      </w:r>
      <w:r w:rsidRPr="000B02C5">
        <w:fldChar w:fldCharType="separate"/>
      </w:r>
      <w:r w:rsidRPr="000B02C5">
        <w:rPr>
          <w:noProof/>
        </w:rPr>
        <w:t>(Smyth, 1998)</w:t>
      </w:r>
      <w:r w:rsidRPr="000B02C5">
        <w:fldChar w:fldCharType="end"/>
      </w:r>
      <w:r w:rsidRPr="000B02C5">
        <w:t xml:space="preserve"> found that a disproportionate share of deaths occurred in young adults, with a quarter occurring in people aged 18-23 years, and attributable deaths then falling at older ages. </w:t>
      </w:r>
      <w:r w:rsidR="009140E4">
        <w:t>We found</w:t>
      </w:r>
      <w:r w:rsidRPr="000B02C5">
        <w:t xml:space="preserve"> a qualitatively similar pattern of mortality burden by age, though </w:t>
      </w:r>
      <w:r w:rsidR="009140E4">
        <w:t xml:space="preserve">with </w:t>
      </w:r>
      <w:r w:rsidRPr="000B02C5">
        <w:t xml:space="preserve">an even greater share in 18-23 age group, with 1053 deaths out of 2776, or 38% of all deaths, estimated. </w:t>
      </w:r>
    </w:p>
    <w:p w14:paraId="628C4639" w14:textId="065E32E1" w:rsidR="00045603" w:rsidRPr="000B02C5" w:rsidRDefault="006E3FB2" w:rsidP="000B02C5">
      <w:pPr>
        <w:spacing w:line="480" w:lineRule="auto"/>
      </w:pPr>
      <w:r w:rsidRPr="000B02C5">
        <w:t>Our model</w:t>
      </w:r>
      <w:r w:rsidR="009140E4">
        <w:t>,</w:t>
      </w:r>
      <w:r w:rsidRPr="000B02C5">
        <w:t xml:space="preserve"> based only on all-cause mortality data, </w:t>
      </w:r>
      <w:r w:rsidR="00045603" w:rsidRPr="000B02C5">
        <w:t xml:space="preserve">estimates around three quarters of the deaths that actually occurred, suggesting that the </w:t>
      </w:r>
      <w:r w:rsidR="009140E4">
        <w:t xml:space="preserve">key </w:t>
      </w:r>
      <w:r w:rsidR="00045603" w:rsidRPr="000B02C5">
        <w:t xml:space="preserve">modelling assumption - an initiation event leading to the sudden onset of a conflict whose intensity only slowly decays over many years – captures something of the essence of what occurred in Northern Ireland. </w:t>
      </w:r>
    </w:p>
    <w:p w14:paraId="3B8E2F0F" w14:textId="594CFE6A" w:rsidR="006E3FB2" w:rsidRPr="000B02C5" w:rsidRDefault="00045603" w:rsidP="000B02C5">
      <w:pPr>
        <w:spacing w:line="480" w:lineRule="auto"/>
      </w:pPr>
      <w:r w:rsidRPr="000B02C5">
        <w:t xml:space="preserve">There may be two reasons why our estimates are below </w:t>
      </w:r>
      <w:r w:rsidR="00563F5E" w:rsidRPr="000B02C5">
        <w:t>death counts directly attributed to political violence</w:t>
      </w:r>
      <w:r w:rsidRPr="000B02C5">
        <w:t xml:space="preserve">, in addition to our use of a more restrictive demographic group. Firstly, we did not explicitly model to include the particularly high spike of deaths in 1973. Secondly, adult males </w:t>
      </w:r>
      <w:r w:rsidR="001E1856" w:rsidRPr="000B02C5">
        <w:t>experience a</w:t>
      </w:r>
      <w:r w:rsidR="0041727A" w:rsidRPr="000B02C5">
        <w:t xml:space="preserve">n </w:t>
      </w:r>
      <w:r w:rsidR="001E1856" w:rsidRPr="000B02C5">
        <w:t>increase mortality once they reach adulthood, and young adult male mortality displacement effect</w:t>
      </w:r>
      <w:r w:rsidR="0041727A" w:rsidRPr="000B02C5">
        <w:t>s</w:t>
      </w:r>
      <w:r w:rsidR="001E1856" w:rsidRPr="000B02C5">
        <w:t xml:space="preserve"> </w:t>
      </w:r>
      <w:r w:rsidR="0041727A" w:rsidRPr="000B02C5">
        <w:t xml:space="preserve">may </w:t>
      </w:r>
      <w:r w:rsidR="001E1856" w:rsidRPr="000B02C5">
        <w:t>occurred in Northern Ireland after the Troubles</w:t>
      </w:r>
      <w:r w:rsidR="0041727A" w:rsidRPr="000B02C5">
        <w:t xml:space="preserve"> began</w:t>
      </w:r>
      <w:r w:rsidR="001E1856" w:rsidRPr="000B02C5">
        <w:t>. For example</w:t>
      </w:r>
      <w:r w:rsidR="005223FE" w:rsidRPr="000B02C5">
        <w:t xml:space="preserve"> rates of homicide risk and suicide risk tend to be inversely correlated, and that both disproportionately affect younger adult </w:t>
      </w:r>
      <w:r w:rsidR="005223FE" w:rsidRPr="000B02C5">
        <w:lastRenderedPageBreak/>
        <w:t xml:space="preserve">males. </w:t>
      </w:r>
      <w:r w:rsidR="005223FE" w:rsidRPr="000B02C5">
        <w:fldChar w:fldCharType="begin" w:fldLock="1"/>
      </w:r>
      <w:r w:rsidR="00C308A5" w:rsidRPr="000B02C5">
        <w:instrText>ADDIN CSL_CITATION { "citationItems" : [ { "id" : "ITEM-1", "itemData" : { "DOI" : "10.2307/2088294", "ISBN" : "0415278309", "ISSN" : "0033-2747", "PMID" : "748116", "abstract" : "There would be no need for sociology if everyone understood the social frameworks within which we operate. That we do have a connection to the larger picture is largely thanks to the pioneering thinker \u00c9mile Durkheim. He recognized that, if anything can explain how we as individuals relate to society, then it is suicide: Why does it happen? What goes wrong? Why is it more common in some places than others? In seeking answers to these questions, Durkheim wrote a work that has fascinated, challenged and informed its readers for over a hundred years. Far-sighted and trail-blazing in its conclusions, Suicide makes an immense contribution to our understanding to what must surely be one of the least understandable of acts. A brilliant study, it is regarded as one of the most important books Durkheim ever wrote.", "author" : [ { "dropping-particle" : "", "family" : "Durkheim", "given" : "Emile", "non-dropping-particle" : "", "parse-names" : false, "suffix" : "" } ], "container-title" : "New York Free Press", "id" : "ITEM-1", "issued" : { "date-parts" : [ [ "1951" ] ] }, "page" : "405", "title" : "Suicide, a study in sociology", "type" : "article-journal", "volume" : "3" }, "uris" : [ "http://www.mendeley.com/documents/?uuid=251925fe-70a1-4de5-a50c-fcc8f50092d7" ] }, { "id" : "ITEM-2", "itemData" : { "DOI" : "10.1192/apt.7.1.73", "ISSN" : "13555146", "author" : [ { "dropping-particle" : "", "family" : "Curran", "given" : "P. S.", "non-dropping-particle" : "", "parse-names" : false, "suffix" : "" } ], "container-title" : "Advances in Psychiatric Treatment", "id" : "ITEM-2", "issue" : "1", "issued" : { "date-parts" : [ [ "2001", "1", "1" ] ] }, "page" : "73-80", "title" : "Psychiatric implications of chronic civilian strife or war: Northern Ireland", "type" : "article-journal", "volume" : "7" }, "uris" : [ "http://www.mendeley.com/documents/?uuid=ea1729fb-3605-441a-a7be-62924814f2a1" ] }, { "id" : "ITEM-3", "itemData" : { "PMID" : "2963", "abstract" : "McCann and Stewin (1990) reported that the suicide rate (per 100,000 population) in the USA was positively associated over time with an index of social and political threat. Data on the number of deaths resulting from the civil unrest (The Troubles) in Northern Ireland from 1969 on are available from the CAIN Web Service (cain.ulst.ac.uk). The present analysis examined the association between the suicide rate in Northern Ireland an the number of deaths from civil unrest for the period 1965-1997 using, suicide rates from the World Health Organization (www.who.int). Suicide rates increased during the period (Pearson r =.66, two-tailed p &lt; .01), while deaths from civil unrest peaked in 1972 and did not change linearly over the period (r = -.20). The suicide rate was associated with the number of deaths (r = -.51, p &lt; .01) and in multiple regressions with deaths alone and with deaths and year taken into account (bs = -.009 and -.007, ps &lt;.003 and .003, respectively). Thus, suicide rates were higher when deaths from the civil unrest were lower.", "author" : [ { "dropping-particle" : "", "family" : "Lester", "given" : "D", "non-dropping-particle" : "", "parse-names" : false, "suffix" : "" } ], "container-title" : "Psychological Reports", "id" : "ITEM-3", "issue" : "3", "issued" : { "date-parts" : [ [ "2002" ] ] }, "note" : "Psychol Rep Psychol Rep\nISI:000176332000002; 564UM; Times Cited:2; Cited References Count:1", "page" : "722", "title" : "The 'troubles' in Northern Ireland and suicide", "type" : "article-journal", "volume" : "90" }, "uris" : [ "http://www.mendeley.com/documents/?uuid=11ca90c3-f826-4466-b3e5-a2a385acf80b" ] } ], "mendeley" : { "formattedCitation" : "(Curran, 2001; Durkheim, 1951; Lester, 2002)", "plainTextFormattedCitation" : "(Curran, 2001; Durkheim, 1951; Lester, 2002)", "previouslyFormattedCitation" : "(Curran, 2001; Durkheim, 1951; Lester, 2002)" }, "properties" : { "noteIndex" : 0 }, "schema" : "https://github.com/citation-style-language/schema/raw/master/csl-citation.json" }</w:instrText>
      </w:r>
      <w:r w:rsidR="005223FE" w:rsidRPr="000B02C5">
        <w:fldChar w:fldCharType="separate"/>
      </w:r>
      <w:r w:rsidR="005223FE" w:rsidRPr="000B02C5">
        <w:rPr>
          <w:noProof/>
        </w:rPr>
        <w:t>(Curran, 2001; Durkheim, 1951; Lester, 2002)</w:t>
      </w:r>
      <w:r w:rsidR="005223FE" w:rsidRPr="000B02C5">
        <w:fldChar w:fldCharType="end"/>
      </w:r>
      <w:r w:rsidR="005223FE" w:rsidRPr="000B02C5">
        <w:t xml:space="preserve"> </w:t>
      </w:r>
      <w:r w:rsidR="0041727A" w:rsidRPr="000B02C5">
        <w:t xml:space="preserve">It </w:t>
      </w:r>
      <w:r w:rsidR="005223FE" w:rsidRPr="000B02C5">
        <w:t>may be that the high rates of ‘bonding capital’ within Northern Irish communities, though responsible for the maintenance of sectarian conflict, w</w:t>
      </w:r>
      <w:r w:rsidR="002D4A9D" w:rsidRPr="000B02C5">
        <w:t>ere</w:t>
      </w:r>
      <w:r w:rsidR="005223FE" w:rsidRPr="000B02C5">
        <w:t xml:space="preserve"> also protective against some other forms of mortality risk, such as alcohol and drug-related deaths, that otherwise would have claimed more young adult males. </w:t>
      </w:r>
      <w:r w:rsidR="0041727A" w:rsidRPr="000B02C5">
        <w:fldChar w:fldCharType="begin" w:fldLock="1"/>
      </w:r>
      <w:r w:rsidR="0041727A" w:rsidRPr="000B02C5">
        <w:instrText>ADDIN CSL_CITATION { "citationItems" : [ { "id" : "ITEM-1", "itemData" : { "PMID" : "2677", "abstract" : "The purpose of this article is to question whether the concept of social capital has anything original to offer for understanding why some communities have weaker networks compared to others, Drawing on an empirical example from Belfast, the article illustrates that the themes embedded in social capital have a long history Moreover, rather than a benign phenomenon, social capital excludes as well as includes community members within its networks. While Putnam (2000) tries to deal with this negative effect through his distinction between 'bonding' and 'bridging' social capital, his analysis is flawed. Moving from bonding' to bridging social capital is beset with contradictions. In order to set in motion the framework for bridging social capital to emerge,the conditions that led to the development of bonding social capital need to be undermined. However removing the rationale for the existence of bonding social capital by, no, means ensures that the path is paved for the development of bridging social capital, The article examines some of the problematic aspects of this transition, through an examination of community networks and relationships in one Catholic community in West Belfast. Here, the wider political conflict in Northern Ireland facilitated the development of bonding social capital, while the peace process provided opportunities for bridging social capital to strengthen and develope. The example indicates that the exclusion aspect of social capital persists in the transition from bonding to bridging social capital.", "author" : [ { "dropping-particle" : "", "family" : "Leonard", "given" : "M", "non-dropping-particle" : "", "parse-names" : false, "suffix" : "" } ], "container-title" : "Sociology-the Journal of the British Sociological Association", "id" : "ITEM-1", "issue" : "5", "issued" : { "date-parts" : [ [ "2004" ] ] }, "note" : "Sociology Sociology\nISI:000226188400004; 885WQ; Times Cited:64; Cited References Count:33", "page" : "927-944", "title" : "Bonding and bridging social capital: Reflections from Belfast", "type" : "article-journal", "volume" : "38" }, "uris" : [ "http://www.mendeley.com/documents/?uuid=fe27d199-26ee-40ae-a1e2-6e1231dfbf17" ] } ], "mendeley" : { "formattedCitation" : "(Leonard, 2004)", "plainTextFormattedCitation" : "(Leonard, 2004)", "previouslyFormattedCitation" : "(Leonard, 2004)" }, "properties" : { "noteIndex" : 0 }, "schema" : "https://github.com/citation-style-language/schema/raw/master/csl-citation.json" }</w:instrText>
      </w:r>
      <w:r w:rsidR="0041727A" w:rsidRPr="000B02C5">
        <w:fldChar w:fldCharType="separate"/>
      </w:r>
      <w:r w:rsidR="0041727A" w:rsidRPr="000B02C5">
        <w:rPr>
          <w:noProof/>
        </w:rPr>
        <w:t>(Leonard, 2004)</w:t>
      </w:r>
      <w:r w:rsidR="0041727A" w:rsidRPr="000B02C5">
        <w:fldChar w:fldCharType="end"/>
      </w:r>
      <w:r w:rsidR="0041727A" w:rsidRPr="000B02C5">
        <w:t xml:space="preserve"> </w:t>
      </w:r>
      <w:r w:rsidR="005223FE" w:rsidRPr="000B02C5">
        <w:t>In the counterfactual scenario, therefore, it may well have been that</w:t>
      </w:r>
      <w:r w:rsidR="002D4A9D" w:rsidRPr="000B02C5">
        <w:t xml:space="preserve"> some of</w:t>
      </w:r>
      <w:r w:rsidR="005223FE" w:rsidRPr="000B02C5">
        <w:t xml:space="preserve"> those who did not die of sectarian violence instead died of some of these other causes</w:t>
      </w:r>
      <w:r w:rsidR="002D4A9D" w:rsidRPr="000B02C5">
        <w:t>, and so the net deaths ‘caused’ by the conflict may be less than the number of people who died of conflict-related violence</w:t>
      </w:r>
      <w:r w:rsidR="005223FE" w:rsidRPr="000B02C5">
        <w:t xml:space="preserve">. </w:t>
      </w:r>
    </w:p>
    <w:p w14:paraId="59A7CEE5" w14:textId="15B9035B" w:rsidR="001B7B4E" w:rsidRPr="000B02C5" w:rsidRDefault="001B7B4E" w:rsidP="000B02C5">
      <w:pPr>
        <w:pStyle w:val="Heading3"/>
        <w:spacing w:line="480" w:lineRule="auto"/>
        <w:rPr>
          <w:color w:val="auto"/>
        </w:rPr>
      </w:pPr>
      <w:r w:rsidRPr="000B02C5">
        <w:rPr>
          <w:color w:val="auto"/>
        </w:rPr>
        <w:t>Methodological considerations and implications</w:t>
      </w:r>
    </w:p>
    <w:p w14:paraId="12EFC59C" w14:textId="04D0C709" w:rsidR="005223FE" w:rsidRPr="000B02C5" w:rsidRDefault="0041727A" w:rsidP="000B02C5">
      <w:pPr>
        <w:spacing w:line="480" w:lineRule="auto"/>
      </w:pPr>
      <w:r w:rsidRPr="000B02C5">
        <w:t xml:space="preserve">This </w:t>
      </w:r>
      <w:r w:rsidR="005223FE" w:rsidRPr="000B02C5">
        <w:t xml:space="preserve">research originated through the use of Lexis surface visualisation to compare mortality trends in Scotland against neighbouring populations. </w:t>
      </w:r>
      <w:r w:rsidR="009140E4">
        <w:fldChar w:fldCharType="begin" w:fldLock="1"/>
      </w:r>
      <w:r w:rsidR="00A96270">
        <w:instrText>ADDIN CSL_CITATION { "citationItems" : [ { "id" : "ITEM-1", "itemData" : { "DOI" : "10.1136/jech-2016-207379", "ISSN" : "0143-005X", "author" : [ { "dropping-particle" : "", "family" : "Minton", "given" : "Jon", "non-dropping-particle" : "", "parse-names" : false, "suffix" : "" }, { "dropping-particle" : "", "family" : "Shaw", "given" : "Richard", "non-dropping-particle" : "", "parse-names" : false, "suffix" : "" }, { "dropping-particle" : "", "family" : "Green", "given" : "Mark A", "non-dropping-particle" : "", "parse-names" : false, "suffix" : "" }, { "dropping-particle" : "", "family" : "Vanderbloemen", "given" : "Laura", "non-dropping-particle" : "", "parse-names" : false, "suffix" : "" }, { "dropping-particle" : "", "family" : "Popham", "given" : "Frank", "non-dropping-particle" : "", "parse-names" : false, "suffix" : "" }, { "dropping-particle" : "", "family" : "McCartney", "given" : "Gerry", "non-dropping-particle" : "", "parse-names" : false, "suffix" : "" } ], "container-title" : "Journal of Epidemiology and Community Health", "id" : "ITEM-1", "issue" : "5", "issued" : { "date-parts" : [ [ "2017", "5" ] ] }, "page" : "461-467", "title" : "Visualising and quantifying 'excess deaths' in Scotland compared with the rest of the UK and the rest of Western Europe", "type" : "article-journal", "volume" : "71" }, "uris" : [ "http://www.mendeley.com/documents/?uuid=17a1df2d-baf4-4bf7-b34d-48a070dd75e5" ] } ], "mendeley" : { "formattedCitation" : "(Jon Minton et al., 2017)", "manualFormatting" : "( Minton et al., 2017)", "plainTextFormattedCitation" : "(Jon Minton et al., 2017)", "previouslyFormattedCitation" : "(Jon Minton et al., 2017)" }, "properties" : { "noteIndex" : 0 }, "schema" : "https://github.com/citation-style-language/schema/raw/master/csl-citation.json" }</w:instrText>
      </w:r>
      <w:r w:rsidR="009140E4">
        <w:fldChar w:fldCharType="separate"/>
      </w:r>
      <w:r w:rsidR="009140E4" w:rsidRPr="009140E4">
        <w:rPr>
          <w:noProof/>
        </w:rPr>
        <w:t>( Minton et al., 2017)</w:t>
      </w:r>
      <w:r w:rsidR="009140E4">
        <w:fldChar w:fldCharType="end"/>
      </w:r>
      <w:r w:rsidR="00A96270">
        <w:t xml:space="preserve"> </w:t>
      </w:r>
      <w:r w:rsidR="005223FE" w:rsidRPr="000B02C5">
        <w:t xml:space="preserve">Scotland was compared firstly against the rest of the UK, then against England and Wales, and Northern Ireland separately. </w:t>
      </w:r>
      <w:r w:rsidR="008D1A01" w:rsidRPr="000B02C5">
        <w:t>In this last comparison a</w:t>
      </w:r>
      <w:r w:rsidR="00725DD5" w:rsidRPr="000B02C5">
        <w:t xml:space="preserve"> distinct visual ‘signal’ in Northern Irish male mortality was </w:t>
      </w:r>
      <w:r w:rsidR="008D1A01" w:rsidRPr="000B02C5">
        <w:t xml:space="preserve">identified </w:t>
      </w:r>
      <w:r w:rsidR="00725DD5" w:rsidRPr="000B02C5">
        <w:t xml:space="preserve">after 1972 mortality risks in </w:t>
      </w:r>
      <w:r w:rsidR="008D1A01" w:rsidRPr="000B02C5">
        <w:t xml:space="preserve">in that Scottish young adult male mortality rates, which generally lag Northern Ireland’s, suddenly looked better in comparison, whereas female rates did not. Northern Irish </w:t>
      </w:r>
      <w:r w:rsidR="00A96270">
        <w:t xml:space="preserve">young adult </w:t>
      </w:r>
      <w:r w:rsidR="008D1A01" w:rsidRPr="000B02C5">
        <w:t xml:space="preserve">male mortality was </w:t>
      </w:r>
      <w:r w:rsidR="00A96270">
        <w:t xml:space="preserve">worse during the peak of the Troubles </w:t>
      </w:r>
      <w:r w:rsidR="008D1A01" w:rsidRPr="000B02C5">
        <w:t>worse than in Eastern Europe</w:t>
      </w:r>
      <w:r w:rsidR="00725DD5" w:rsidRPr="000B02C5">
        <w:t xml:space="preserve">. The incidental and accidental origins of this paper therefore highlight the value to us of the data visualisation approaches employed, and of what Robert K Merton called ‘theories of the middle range’, of </w:t>
      </w:r>
      <w:r w:rsidR="00A96270">
        <w:t>allowing</w:t>
      </w:r>
      <w:r w:rsidR="00725DD5" w:rsidRPr="000B02C5">
        <w:t xml:space="preserve"> social hypotheses </w:t>
      </w:r>
      <w:r w:rsidR="00A96270">
        <w:t xml:space="preserve">to </w:t>
      </w:r>
      <w:r w:rsidR="002D4A9D" w:rsidRPr="000B02C5">
        <w:t>‘</w:t>
      </w:r>
      <w:r w:rsidR="00725DD5" w:rsidRPr="000B02C5">
        <w:t xml:space="preserve">emerge </w:t>
      </w:r>
      <w:r w:rsidR="002D4A9D" w:rsidRPr="000B02C5">
        <w:t xml:space="preserve">upwards’, </w:t>
      </w:r>
      <w:r w:rsidR="00725DD5" w:rsidRPr="000B02C5">
        <w:t xml:space="preserve">inductively or </w:t>
      </w:r>
      <w:proofErr w:type="spellStart"/>
      <w:r w:rsidR="00725DD5" w:rsidRPr="000B02C5">
        <w:t>abductively</w:t>
      </w:r>
      <w:proofErr w:type="spellEnd"/>
      <w:r w:rsidR="00725DD5" w:rsidRPr="000B02C5">
        <w:t xml:space="preserve"> from data exploration, rather than </w:t>
      </w:r>
      <w:r w:rsidR="002D4A9D" w:rsidRPr="000B02C5">
        <w:t xml:space="preserve">simply </w:t>
      </w:r>
      <w:r w:rsidR="00A96270">
        <w:t xml:space="preserve">being </w:t>
      </w:r>
      <w:r w:rsidR="002D4A9D" w:rsidRPr="000B02C5">
        <w:t xml:space="preserve">‘applied downwards’, beginning in canonical social texts, then operationalised and empirically tested in a </w:t>
      </w:r>
      <w:proofErr w:type="spellStart"/>
      <w:r w:rsidR="002D4A9D" w:rsidRPr="000B02C5">
        <w:t>hypothetico</w:t>
      </w:r>
      <w:proofErr w:type="spellEnd"/>
      <w:r w:rsidR="002D4A9D" w:rsidRPr="000B02C5">
        <w:t xml:space="preserve">-deductive fashion. </w:t>
      </w:r>
      <w:r w:rsidR="00A96270">
        <w:fldChar w:fldCharType="begin" w:fldLock="1"/>
      </w:r>
      <w:r w:rsidR="00A96270">
        <w:instrText>ADDIN CSL_CITATION { "citationItems" : [ { "id" : "ITEM-1", "itemData" : { "ISBN" : "0-02-921130-1", "author" : [ { "dropping-particle" : "", "family" : "Merton", "given" : "R", "non-dropping-particle" : "", "parse-names" : false, "suffix" : "" } ], "id" : "ITEM-1", "issued" : { "date-parts" : [ [ "1968" ] ] }, "publisher" : "Free Press", "publisher-place" : "New York", "title" : "Social Theory and Social Structure", "type" : "book" }, "uris" : [ "http://www.mendeley.com/documents/?uuid=076ec491-90cb-4c00-b112-9faf78d53270" ] }, { "id" : "ITEM-2", "itemData" : { "ISBN" : "0374199639", "ISSN" : "00178136", "abstract" : "\"The Civil War made America a modern nation, unleashing forces of industrialism and expansion that had been kept in check for decades by the quarrel over slavery. But the war also discredited the ideas and beliefs of the era that preceded it. The Civil War swept away the slave civilization of the South, but almost the whole intellectual culture of the North went with it. It took nearly half a century for Americans to develop a set of ideas, a way of thinking, that would help them cope with the conditions of modern life. That struggle is the subject of this book.\" \"The story told in The Metaphysical Club runs through the lives of Oliver Wendell Holmes, Jr., a Civil War hero who became the dominant legal thinker of his time; his best friend as a young man, William James, son of an eccentric moral philosopher, brother of a great novelist, and the father of modern psychology in America; and the brilliant and troubled logician, scientist, and founder of semiotics, Charles Sanders Peirce. Together they belonged to an informal discussion group that met in Cambridge, Massachusetts, in 1872 and called itself the Metaphysical Club. The club was probably in existence for only nine months, and no records were kept. The one thing we know that came out of it was an idea - an idea about ideas, about the role beliefs play in people's lives. This idea informs the writings of these three thinkers, and the work of the fourth figure in the book, John Dewey - student of Peirce, friend and ally of James, admirer of Holmes.\" \"The Metaphysical Club begins with the Civil War and ends in 1919 with the Supreme Court's decision in U.S. v. Abrams, the basis for the modern law of free speech. It tells the story of the creation of ideas and values that changed the way Americans think and the way they live.\"--Jacket.", "author" : [ { "dropping-particle" : "", "family" : "Menand", "given" : "Louis", "non-dropping-particle" : "", "parse-names" : false, "suffix" : "" } ], "container-title" : "Harvard Library Bulletin", "id" : "ITEM-2", "issue" : "2", "issued" : { "date-parts" : [ [ "2009" ] ] }, "page" : "22-23", "title" : "The Metaphysical Club.", "type" : "article-journal", "volume" : "20" }, "uris" : [ "http://www.mendeley.com/documents/?uuid=c812b87e-7d28-48d8-8ffd-57e5ab0e9a31" ] } ], "mendeley" : { "formattedCitation" : "(Menand, 2009; Merton, 1968)", "plainTextFormattedCitation" : "(Menand, 2009; Merton, 1968)" }, "properties" : { "noteIndex" : 0 }, "schema" : "https://github.com/citation-style-language/schema/raw/master/csl-citation.json" }</w:instrText>
      </w:r>
      <w:r w:rsidR="00A96270">
        <w:fldChar w:fldCharType="separate"/>
      </w:r>
      <w:r w:rsidR="00A96270" w:rsidRPr="00A96270">
        <w:rPr>
          <w:noProof/>
        </w:rPr>
        <w:t>(Menand, 2009; Merton, 1968)</w:t>
      </w:r>
      <w:r w:rsidR="00A96270">
        <w:fldChar w:fldCharType="end"/>
      </w:r>
    </w:p>
    <w:p w14:paraId="1C1B363B" w14:textId="194798C8" w:rsidR="002D4A9D" w:rsidRDefault="00E34348" w:rsidP="000B02C5">
      <w:pPr>
        <w:spacing w:line="480" w:lineRule="auto"/>
      </w:pPr>
      <w:r w:rsidRPr="000B02C5">
        <w:t>The</w:t>
      </w:r>
      <w:r w:rsidR="002D4A9D" w:rsidRPr="000B02C5">
        <w:t xml:space="preserve"> specific model specification, including first an impulse component then an exponential decay, can be used to model particular types of mortality pattern disruption, likely attributable to violence or more general social disorder, even when only relatively limited all-cause mortality data are available, and specific death codes, such as ICD-10 codes</w:t>
      </w:r>
      <w:r w:rsidR="008D1A01" w:rsidRPr="000B02C5">
        <w:t>, are not recorded consistently</w:t>
      </w:r>
      <w:r w:rsidR="002D4A9D" w:rsidRPr="000B02C5">
        <w:t xml:space="preserve">. </w:t>
      </w:r>
      <w:r w:rsidRPr="000B02C5">
        <w:t>This</w:t>
      </w:r>
      <w:r w:rsidR="002D4A9D" w:rsidRPr="000B02C5">
        <w:t xml:space="preserve"> </w:t>
      </w:r>
      <w:r w:rsidR="002D4A9D" w:rsidRPr="000B02C5">
        <w:lastRenderedPageBreak/>
        <w:t>situation is likely to be the case both for less affluent nations in more recent years, as well as for historic demographic data from more affluen</w:t>
      </w:r>
      <w:r w:rsidR="001B7B4E" w:rsidRPr="000B02C5">
        <w:t xml:space="preserve">t data. </w:t>
      </w:r>
      <w:r w:rsidR="00CD5496" w:rsidRPr="000B02C5">
        <w:t>One specific benefit of the modelling approach used here is in allowing conflict-attributable mortality to be compared in terms of both initial inten</w:t>
      </w:r>
      <w:r w:rsidR="00322835" w:rsidRPr="000B02C5">
        <w:t>sity (the height of the initiation</w:t>
      </w:r>
      <w:r w:rsidR="00CD5496" w:rsidRPr="000B02C5">
        <w:t xml:space="preserve"> in the first year) and also duration in terms of decay rates and so conflict half-life. </w:t>
      </w:r>
    </w:p>
    <w:p w14:paraId="57D9D1F1" w14:textId="19A636CA" w:rsidR="009140E4" w:rsidRPr="000B02C5" w:rsidRDefault="009140E4" w:rsidP="009140E4">
      <w:pPr>
        <w:spacing w:line="480" w:lineRule="auto"/>
      </w:pPr>
      <w:r w:rsidRPr="000B02C5">
        <w:t>The model appears characteristic of a population that was in some senses ‘febrile’ or ‘fissile’ in its response to exogenous social, political and economic events and processes</w:t>
      </w:r>
      <w:r w:rsidR="00A96270">
        <w:t>, and is to some extent consistent with previous attempts to model processes of violence as complex systems involving either systems of nonlinear equations or agent-based models</w:t>
      </w:r>
      <w:r w:rsidRPr="000B02C5">
        <w:t xml:space="preserve">. </w:t>
      </w:r>
      <w:r w:rsidR="00A96270" w:rsidRPr="000B02C5">
        <w:fldChar w:fldCharType="begin" w:fldLock="1"/>
      </w:r>
      <w:r w:rsidR="00A96270" w:rsidRPr="000B02C5">
        <w:instrText>ADDIN CSL_CITATION { "citationItems" : [ { "id" : "ITEM-1", "itemData" : { "DOI" : "10.1108/03684920610640308", "ISSN" : "0368-492X", "PMID" : "2527", "abstract" : "Purpose - The purpose of this paper is to provide a more holistic approach to analysing the impact of all the behaviour of a conflict's participants its overall dynamics, using the example of the Northern Irish troubles. Design/methodology/approach - A novel multivariate time series approach developed by Professor Paul Smoker is presented which can map the dynamics of this conflict and its causal inferences as a series or \"systemograms\". Findings - The case example reveals high levels of autocorrelation in the variety of techniques used by the state security authorities to suppress terrorism, indicating their strong role in maintaining this conflict. When more than one party exhibits such behaviour, the conflict \"locks in\". Research limitations/imphcations - The work remains preliminary and historical. Data was collected on a month-by-month basis which suggests associated rather than direct causal influence. It would be useful to further explore these findings using data from similar conflicts. Practical implications - Suggests that some counter-terrorism approaches may be dysfunctional especially those adopting sub-lethal weapons. Provides some insight into behavioural changes required to prevent conflict destabilisation. Originality/value - Provides a novel conflict research methodology which allows the strong structural dynamics of the conflict to be seen - much the way that elapsed time photography enables hidden processes to be revealed. The raw statistics are presented here.", "author" : [ { "dropping-particle" : "", "family" : "Wright", "given" : "Steve", "non-dropping-particle" : "", "parse-names" : false, "suffix" : "" } ], "container-title" : "Kybernetes", "editor" : [ { "dropping-particle" : "", "family" : "Espinosa", "given" : "Angela", "non-dropping-particle" : "", "parse-names" : false, "suffix" : "" } ], "id" : "ITEM-1", "issue" : "1/2", "issued" : { "date-parts" : [ [ "2006", "1" ] ] }, "note" : "Kybernetes Kybernetes\nISI:000236842300014; 033JD; Times Cited:1; Cited References Count:16", "page" : "182-194", "title" : "A systems approach to analysing sub\u2010state conflicts", "type" : "article-journal", "volume" : "35" }, "uris" : [ "http://www.mendeley.com/documents/?uuid=4daf5dbe-65aa-4738-9620-ea0dcc529f5c" ] } ], "mendeley" : { "formattedCitation" : "(Wright, 2006)", "plainTextFormattedCitation" : "(Wright, 2006)", "previouslyFormattedCitation" : "(Wright, 2006)" }, "properties" : { "noteIndex" : 0 }, "schema" : "https://github.com/citation-style-language/schema/raw/master/csl-citation.json" }</w:instrText>
      </w:r>
      <w:r w:rsidR="00A96270" w:rsidRPr="000B02C5">
        <w:fldChar w:fldCharType="separate"/>
      </w:r>
      <w:r w:rsidR="00A96270" w:rsidRPr="000B02C5">
        <w:rPr>
          <w:noProof/>
        </w:rPr>
        <w:t>(Wright, 2006)</w:t>
      </w:r>
      <w:r w:rsidR="00A96270" w:rsidRPr="000B02C5">
        <w:fldChar w:fldCharType="end"/>
      </w:r>
      <w:r w:rsidR="004436DF" w:rsidRPr="004436DF">
        <w:t xml:space="preserve"> </w:t>
      </w:r>
      <w:r w:rsidR="004436DF" w:rsidRPr="000B02C5">
        <w:t>A paper describing an agent-based model of processes and dynamics of civil war emphasises the punctuated equilibria – sudden increases in violence punctuating longer periods of relative calm – can be expected in such complex systems, and that it is important to consider the ways that agents involved in war adapt over time in their attitudes and behaviour.</w:t>
      </w:r>
      <w:r w:rsidR="004436DF" w:rsidRPr="000B02C5">
        <w:fldChar w:fldCharType="begin" w:fldLock="1"/>
      </w:r>
      <w:r w:rsidR="004436DF" w:rsidRPr="000B02C5">
        <w:instrText>ADDIN CSL_CITATION { "citationItems" : [ { "id" : "ITEM-1", "itemData" : { "DOI" : "10.1002/cplx.20232", "ISSN" : "10762787", "PMID" : "2104", "abstract" : "Civil wars pose one of the most challenging threats to peace in the post-WWII era. The successful resolution of ongoing civil wars is particularly difficult. Parties opposing peace successfully subverted negotiated agreements in contexts as diverse as Rwanda, Northern Ireland, and Bosnia. Despite growing attention to civil wars in the empirical literature, little formal-theoretic work addresses the dynamics of civil wars. Empirical work demonstrates that the resolution of civil wars is both complex and uncertain: civil war combatants are heterogeneous in their traits, incompletely informed, and thus, boundedly rational, capable of learning from history and adapting their behavior - all hallmarks of a complex adaptive system. I employ an agent-based model, therefore, to capture these characteristics and address the conditions affecting the dynamics and evolution of civil wars. In particular, I focus on the evolutionary context Of civil wars including learning and adaption and find that civil wars with adaptive combatants exhibit vastly different behavior than those without adaptive agents. (C) 2008 Wiley Periodicals, Inc.", "author" : [ { "dropping-particle" : "", "family" : "Findley", "given" : "Michael G", "non-dropping-particle" : "", "parse-names" : false, "suffix" : "" } ], "container-title" : "Complexity", "editor" : [ { "dropping-particle" : "", "family" : "Scheffran", "given" : "J\u00fcrgen", "non-dropping-particle" : "", "parse-names" : false, "suffix" : "" } ], "id" : "ITEM-1", "issue" : "1", "issued" : { "date-parts" : [ [ "2008", "9" ] ] }, "note" : "Complexity Complexity\nISI:000259423500003; Sp. Iss. SI; 351KP; Times Cited:4; Cited References Count:21", "page" : "22-35", "title" : "Agents and conflict: Adaptation and the dynamics of war", "type" : "article-journal", "volume" : "14" }, "uris" : [ "http://www.mendeley.com/documents/?uuid=fac54ae0-b0e3-4b8d-ab28-2534895a18e0" ] } ], "mendeley" : { "formattedCitation" : "(Findley, 2008)", "plainTextFormattedCitation" : "(Findley, 2008)", "previouslyFormattedCitation" : "(Findley, 2008)" }, "properties" : { "noteIndex" : 0 }, "schema" : "https://github.com/citation-style-language/schema/raw/master/csl-citation.json" }</w:instrText>
      </w:r>
      <w:r w:rsidR="004436DF" w:rsidRPr="000B02C5">
        <w:fldChar w:fldCharType="separate"/>
      </w:r>
      <w:r w:rsidR="004436DF" w:rsidRPr="000B02C5">
        <w:rPr>
          <w:noProof/>
        </w:rPr>
        <w:t>(Findley, 2008)</w:t>
      </w:r>
      <w:r w:rsidR="004436DF" w:rsidRPr="000B02C5">
        <w:fldChar w:fldCharType="end"/>
      </w:r>
      <w:r w:rsidR="004436DF">
        <w:t xml:space="preserve"> </w:t>
      </w:r>
      <w:r w:rsidRPr="000B02C5">
        <w:t xml:space="preserve">Though it took a number of years, possibly three years, for the series of events which began in the late 1960s to lead to the initiation of conflict, this effect of this conflict was then sustained endogenously over many decades. This appears to represent the essence of cycles of violence driven by tit-for-tat processes of recrimination and revenge. For both sides, justice meant responding to violence with violence, a process of call and response in deadly conflict that, like an echo in a cave, only diminished slowly in intensity over time. Once this wave of conflict was initiated, it may have been that there was little that external agents could have done to either exacerbate or hasten the process of decline in violence. </w:t>
      </w:r>
    </w:p>
    <w:p w14:paraId="02BF06D3" w14:textId="77777777" w:rsidR="009140E4" w:rsidRPr="000B02C5" w:rsidRDefault="009140E4" w:rsidP="000B02C5">
      <w:pPr>
        <w:spacing w:line="480" w:lineRule="auto"/>
      </w:pPr>
    </w:p>
    <w:p w14:paraId="74A49F99" w14:textId="774E59B1" w:rsidR="001B7B4E" w:rsidRPr="000B02C5" w:rsidRDefault="001B7B4E" w:rsidP="000B02C5">
      <w:pPr>
        <w:pStyle w:val="Heading3"/>
        <w:spacing w:line="480" w:lineRule="auto"/>
        <w:rPr>
          <w:color w:val="auto"/>
        </w:rPr>
      </w:pPr>
      <w:r w:rsidRPr="000B02C5">
        <w:rPr>
          <w:color w:val="auto"/>
        </w:rPr>
        <w:t xml:space="preserve">Implications of the </w:t>
      </w:r>
      <w:r w:rsidR="00322835" w:rsidRPr="000B02C5">
        <w:rPr>
          <w:color w:val="auto"/>
        </w:rPr>
        <w:t>initiation</w:t>
      </w:r>
      <w:r w:rsidRPr="000B02C5">
        <w:rPr>
          <w:color w:val="auto"/>
        </w:rPr>
        <w:t>-decay model to conflict in Northern Ireland</w:t>
      </w:r>
    </w:p>
    <w:p w14:paraId="72453952" w14:textId="764E1B66" w:rsidR="008D1A01" w:rsidRPr="000B02C5" w:rsidRDefault="00A96270" w:rsidP="000B02C5">
      <w:pPr>
        <w:spacing w:line="480" w:lineRule="auto"/>
      </w:pPr>
      <w:r>
        <w:t>W</w:t>
      </w:r>
      <w:r w:rsidR="00EF2178" w:rsidRPr="000B02C5">
        <w:t>hereas ethno-national conflict since the establishment of Northern Ireland in 1921 sharpened the border with the Republic of Ireland, the European Single Market made it more permeable.</w:t>
      </w:r>
      <w:r w:rsidR="00EF2178" w:rsidRPr="000B02C5">
        <w:fldChar w:fldCharType="begin" w:fldLock="1"/>
      </w:r>
      <w:r w:rsidR="00EF2178" w:rsidRPr="000B02C5">
        <w:instrText>ADDIN CSL_CITATION { "citationItems" : [ { "id" : "ITEM-1", "itemData" : { "DOI" : "10.1080/00343409950078710", "ISSN" : "0034-3404", "PMID" : "3324", "abstract" : "The Irish state border provides an interesting case study of interrelationships between the sharpened borders of ethno-national conflict and the more permeable borders of the European Single Market. It highlights the interplay of state and ethno-national borders. It links questions often associated with the violent proliferation of borders in Eastern Europe with questions concerning the impact of European integration and other forms of globalization on borders in western Europe. The paper is divided into three main sections: (1) an outline of the origins and characteristics of a border which was imposed by an alliance between an imperial state and a cohesive ethno-national bloc in 1921, and subsequently consolidated by state building in Ireland, and by the growing significance of European state borders between the 1920s and the 1960s; (2) an analysis of how globalization and ethno-national division have interacted over the last 30 years to pose a major challenge to the 1921 border settlement; and (3) an assessment of how the recent Belfast Agreement (1998) has sought to utilize new opportunities afforded by globalization, including European integration, to underpin an accommodation between the two ethno-national groups and their conflicting territorial claims. The paper concludes by assessing how the Irish case illuminates the interactions between globalization and national conflict, and how these interactions are reshaping state borders. It considers the conditions under which the reconfiguration of state borders might help resolve or moderate national conflicts and the opposing territorial claims associated with them.", "author" : [ { "dropping-particle" : "", "family" : "Anderson", "given" : "James", "non-dropping-particle" : "", "parse-names" : false, "suffix" : "" }, { "dropping-particle" : "", "family" : "O'Dowd", "given" : "Liam", "non-dropping-particle" : "", "parse-names" : false, "suffix" : "" } ], "container-title" : "Regional Studies", "id" : "ITEM-1", "issue" : "7", "issued" : { "date-parts" : [ [ "1999", "10" ] ] }, "note" : "Reg Stud Reg Stud\nISI:000083100700008; 245HL; Times Cited:12; Cited References Count:55", "page" : "681-696", "title" : "Contested Borders: Globalization and Ethnonational Conflict in Ireland", "type" : "article-journal", "volume" : "33" }, "uris" : [ "http://www.mendeley.com/documents/?uuid=59fa70b7-cc9a-408c-9e78-7c8dd246c6c3" ] } ], "mendeley" : { "formattedCitation" : "(Anderson &amp; O\u2019Dowd, 1999)", "plainTextFormattedCitation" : "(Anderson &amp; O\u2019Dowd, 1999)", "previouslyFormattedCitation" : "(Anderson &amp; O\u2019Dowd, 1999)" }, "properties" : { "noteIndex" : 0 }, "schema" : "https://github.com/citation-style-language/schema/raw/master/csl-citation.json" }</w:instrText>
      </w:r>
      <w:r w:rsidR="00EF2178" w:rsidRPr="000B02C5">
        <w:fldChar w:fldCharType="separate"/>
      </w:r>
      <w:r w:rsidR="00EF2178" w:rsidRPr="000B02C5">
        <w:rPr>
          <w:noProof/>
        </w:rPr>
        <w:t>(Anderson &amp; O’Dowd, 1999)</w:t>
      </w:r>
      <w:r w:rsidR="00EF2178" w:rsidRPr="000B02C5">
        <w:fldChar w:fldCharType="end"/>
      </w:r>
      <w:r w:rsidR="00EF2178" w:rsidRPr="000B02C5">
        <w:t xml:space="preserve"> EU Peace Programmes for Northern Ireland and the Border Counties began in 1995 </w:t>
      </w:r>
      <w:r w:rsidR="00EF2178" w:rsidRPr="000B02C5">
        <w:lastRenderedPageBreak/>
        <w:t>with the Special Support Programme for Peace and Reconciliation (Peace I) which provided €500 million in structural funds to the region, supplemented with an additional €167 from government; followed by the Programme for Peace and Reconciliation (Peace II), which provided €531million via the EU and an additional €304 from national governments between 2000 and 2004.</w:t>
      </w:r>
      <w:r w:rsidR="00EF2178" w:rsidRPr="000B02C5">
        <w:fldChar w:fldCharType="begin" w:fldLock="1"/>
      </w:r>
      <w:r w:rsidR="00EF2178" w:rsidRPr="000B02C5">
        <w:instrText>ADDIN CSL_CITATION { "citationItems" : [ { "id" : "ITEM-1", "itemData" : { "DOI" : "10.1080/07907180802246719", "ISSN" : "0790-7184", "PMID" : "2249", "abstract" : "Many of the proposed solutions to the Northern Ireland conflict failed partly because of over-concentration on the political through 'Track I' actors. So once a political agreement was reached, the conflict was viewed as having been 'solved', rather than opening the door to a whole new process. The Peace I and Peace II Programmes in Northern Ireland and the Border Counties in the Republic of Ireland have taken the opposite approach. By concentrating on the involvement of 'Track III' actors through social and economic development they have highlighted the equal value of grassroots participatory democracy to top-level representative democracy. This article examines the significance of this aspect of the work of the Peace programmes as a key post-conflict transformation tool since 1995 as the third phase of the programme Peace III comes on stream.", "author" : [ { "dropping-particle" : "", "family" : "Buchanan", "given" : "Sandra", "non-dropping-particle" : "", "parse-names" : false, "suffix" : "" } ], "container-title" : "Irish Political Studies", "id" : "ITEM-1", "issue" : "3", "issued" : { "date-parts" : [ [ "2008", "9" ] ] }, "note" : "Irish Polit Stud Irish Polit Stud\nISI:000207741700003; V14Ns; Times Cited:13; Cited References Count:61", "page" : "387-409", "title" : "Transforming Conflict in Northern Ireland and the Border Counties: Some Lessons from the Peace Programmes on Valuing Participative Democracy", "type" : "article-journal", "volume" : "23" }, "uris" : [ "http://www.mendeley.com/documents/?uuid=3cd630bf-bd12-4086-bf03-1e5fd7e548ce" ] } ], "mendeley" : { "formattedCitation" : "(Buchanan, 2008)", "plainTextFormattedCitation" : "(Buchanan, 2008)", "previouslyFormattedCitation" : "(Buchanan, 2008)" }, "properties" : { "noteIndex" : 0 }, "schema" : "https://github.com/citation-style-language/schema/raw/master/csl-citation.json" }</w:instrText>
      </w:r>
      <w:r w:rsidR="00EF2178" w:rsidRPr="000B02C5">
        <w:fldChar w:fldCharType="separate"/>
      </w:r>
      <w:r w:rsidR="00EF2178" w:rsidRPr="000B02C5">
        <w:rPr>
          <w:noProof/>
        </w:rPr>
        <w:t>(Buchanan, 2008)</w:t>
      </w:r>
      <w:r w:rsidR="00EF2178" w:rsidRPr="000B02C5">
        <w:fldChar w:fldCharType="end"/>
      </w:r>
      <w:r w:rsidR="00EF2178" w:rsidRPr="000B02C5">
        <w:t xml:space="preserve">  </w:t>
      </w:r>
      <w:r w:rsidR="008D1A01" w:rsidRPr="000B02C5">
        <w:t xml:space="preserve">The third phase of the EU programme for Peace and Reconciliation in Northern Ireland took place over the years 2007 to 2013. </w:t>
      </w:r>
      <w:r w:rsidR="008D1A01" w:rsidRPr="000B02C5">
        <w:fldChar w:fldCharType="begin" w:fldLock="1"/>
      </w:r>
      <w:r w:rsidR="008D1A01" w:rsidRPr="000B02C5">
        <w:instrText>ADDIN CSL_CITATION { "citationItems" : [ { "id" : "ITEM-1", "itemData" : { "DOI" : "10.1093/cdj/bss054", "ISSN" : "0010-3802", "PMID" : "909", "abstract" : "Protracted ethnopolitical conflicts often emanate from structural violence, and from the vulnerability and marginalization of sections of a community. During the Troubles, Northern Ireland and the Border areas were characterized by an intractable conflict between Nationalists and Unionists. External economic assistance could be a key peacebuilding intervention in facilitating cross-community contacts and reconciliation, thereby addressing historical injustices in Northern Ireland by promoting justice, equality, and dignity. The European Union (EU) Programme for Peace and Reconciliation in Northern Ireland and the Border Region of Ireland, 2007-2013 (EU Peace III) is aimed at promoting reconciliation and in facilitating progress towards the building of a peaceful and stable society. This study examines the perceptions of 120 community group leaders, and community development officers in Derry and the Border Counties about the impact of the International Fund for Ireland (IFI) and the EU Peace III Fund in encouraging cross-community contact and reconciliation between the Nationalist and Unionist communities. While the IFI and the Peace III Fund have successfully promoted cross-community contact and reconciliation in Northern Ireland and the Border Area, this study indicates that both funders bureaucracy hinders sustainable community development. This study recommends the need to decentralize community peace projects to facilitate community ownership and their sustainability.", "author" : [ { "dropping-particle" : "", "family" : "Karari", "given" : "P", "non-dropping-particle" : "", "parse-names" : false, "suffix" : "" }, { "dropping-particle" : "", "family" : "Byrne", "given" : "S", "non-dropping-particle" : "", "parse-names" : false, "suffix" : "" }, { "dropping-particle" : "", "family" : "Skarlato", "given" : "O", "non-dropping-particle" : "", "parse-names" : false, "suffix" : "" }, { "dropping-particle" : "", "family" : "Ahmed", "given" : "K", "non-dropping-particle" : "", "parse-names" : false, "suffix" : "" }, { "dropping-particle" : "", "family" : "Hyde", "given" : "J M", "non-dropping-particle" : "", "parse-names" : false, "suffix" : "" } ], "container-title" : "Community Development Journal", "id" : "ITEM-1", "issue" : "4", "issued" : { "date-parts" : [ [ "2013", "10", "1" ] ] }, "note" : "Community Dev J Community Dev J\nISI:000325487200007; 232IO; Times Cited:2; Cited References Count:47", "page" : "587-604", "title" : "The role of external economic assistance in nurturing cross-community contact and reconciliation in Northern Ireland and the Border Counties", "type" : "article-journal", "volume" : "48" }, "uris" : [ "http://www.mendeley.com/documents/?uuid=52800283-631a-4b4c-8cd3-17bd4564b8ac" ] } ], "mendeley" : { "formattedCitation" : "(Karari, Byrne, Skarlato, Ahmed, &amp; Hyde, 2013)", "plainTextFormattedCitation" : "(Karari, Byrne, Skarlato, Ahmed, &amp; Hyde, 2013)", "previouslyFormattedCitation" : "(Karari, Byrne, Skarlato, Ahmed, &amp; Hyde, 2013)" }, "properties" : { "noteIndex" : 0 }, "schema" : "https://github.com/citation-style-language/schema/raw/master/csl-citation.json" }</w:instrText>
      </w:r>
      <w:r w:rsidR="008D1A01" w:rsidRPr="000B02C5">
        <w:fldChar w:fldCharType="separate"/>
      </w:r>
      <w:r w:rsidR="008D1A01" w:rsidRPr="000B02C5">
        <w:rPr>
          <w:noProof/>
        </w:rPr>
        <w:t>(Karari, Byrne, Skarlato, Ahmed, &amp; Hyde, 2013)</w:t>
      </w:r>
      <w:r w:rsidR="008D1A01" w:rsidRPr="000B02C5">
        <w:fldChar w:fldCharType="end"/>
      </w:r>
    </w:p>
    <w:p w14:paraId="12AA3F28" w14:textId="788E903B" w:rsidR="00EF2178" w:rsidRPr="000B02C5" w:rsidRDefault="00EF2178" w:rsidP="000B02C5">
      <w:pPr>
        <w:spacing w:line="480" w:lineRule="auto"/>
      </w:pPr>
    </w:p>
    <w:p w14:paraId="38794390" w14:textId="28D9368B" w:rsidR="00FD52DB" w:rsidRPr="000B02C5" w:rsidRDefault="00FD52DB" w:rsidP="000B02C5">
      <w:pPr>
        <w:spacing w:line="480" w:lineRule="auto"/>
      </w:pPr>
    </w:p>
    <w:p w14:paraId="07CE1E25" w14:textId="42B5FFC2" w:rsidR="00C308A5" w:rsidRPr="000B02C5" w:rsidRDefault="00C308A5" w:rsidP="000B02C5">
      <w:pPr>
        <w:spacing w:line="480" w:lineRule="auto"/>
      </w:pPr>
      <w:r w:rsidRPr="000B02C5">
        <w:t xml:space="preserve">If, once initiated, the conflict was largely endogenously </w:t>
      </w:r>
      <w:r w:rsidR="00C94CE9">
        <w:t>sustained</w:t>
      </w:r>
      <w:r w:rsidRPr="000B02C5">
        <w:t xml:space="preserve">, this has important implications for how the various peace initiatives and processes which were attempted after 1972 should be interpreted in terms of their effectiveness. </w:t>
      </w:r>
      <w:r w:rsidR="00B03DB4" w:rsidRPr="000B02C5">
        <w:t xml:space="preserve">Up to seven prior attempts at bringing peace to Northern Ireland were made between 1969 and the Belfast Agreement of 1998, including the </w:t>
      </w:r>
      <w:proofErr w:type="spellStart"/>
      <w:r w:rsidR="00B03DB4" w:rsidRPr="000B02C5">
        <w:t>Sunningdale</w:t>
      </w:r>
      <w:proofErr w:type="spellEnd"/>
      <w:r w:rsidR="00B03DB4" w:rsidRPr="000B02C5">
        <w:t xml:space="preserve"> Agreement of 1973. It has been argued that what made the Belfast successful was the presence of key individuals acting effectively as ‘brokers’ in the complex social networks which had to be negotiated at the time.</w:t>
      </w:r>
      <w:r w:rsidR="00B03DB4" w:rsidRPr="000B02C5">
        <w:fldChar w:fldCharType="begin" w:fldLock="1"/>
      </w:r>
      <w:r w:rsidR="00B03DB4" w:rsidRPr="000B02C5">
        <w:instrText>ADDIN CSL_CITATION { "citationItems" : [ { "id" : "ITEM-1", "itemData" : { "DOI" : "10.1111/j.1468-2478.2012.00737.x", "ISSN" : "00208833", "abstract" : "After over 20 years of fighting in Northern Ireland, the Belfast Agreement of 1998 has successfully implemented a power-sharing agreement. Belfast was not the first attempt at a peaceful settlement; indeed, some scholars count as many as seven prior peace attempts in Northern Ireland, the most significant being the Sunningdale Agreement of 1973. Why was it that politicians successfully negotiated the peace in 1998, while these prior attempts failed? Drawing from social network theory, I argue that the Belfast Agreement succeeded, not because of a change of interests or disappearance of spoilers, but because of the presence of brokers at the bargaining table. Brokers, in particular, have the capacity to legitimate settlements\u2014to frame settlements in such a way that they appear consistent with principles held by multiple coalitions. As a result, brokers are both more likely to build a winning coalition for a settlement, as well as marginalize spoilers who seek to undermine the peace.", "author" : [ { "dropping-particle" : "", "family" : "Goddard", "given" : "STACIE E.", "non-dropping-particle" : "", "parse-names" : false, "suffix" : "" } ], "container-title" : "International Studies Quarterly", "id" : "ITEM-1", "issue" : "3", "issued" : { "date-parts" : [ [ "2012", "9" ] ] }, "page" : "501-515", "title" : "Brokering Peace: Networks, Legitimacy, and the Northern Ireland Peace Process", "type" : "article-journal", "volume" : "56" }, "uris" : [ "http://www.mendeley.com/documents/?uuid=6aaa144c-3a63-4738-bea1-ff66df641697" ] } ], "mendeley" : { "formattedCitation" : "(Goddard, 2012)", "plainTextFormattedCitation" : "(Goddard, 2012)", "previouslyFormattedCitation" : "(Goddard, 2012)" }, "properties" : { "noteIndex" : 0 }, "schema" : "https://github.com/citation-style-language/schema/raw/master/csl-citation.json" }</w:instrText>
      </w:r>
      <w:r w:rsidR="00B03DB4" w:rsidRPr="000B02C5">
        <w:fldChar w:fldCharType="separate"/>
      </w:r>
      <w:r w:rsidR="00B03DB4" w:rsidRPr="000B02C5">
        <w:rPr>
          <w:noProof/>
        </w:rPr>
        <w:t>(Goddard, 2012)</w:t>
      </w:r>
      <w:r w:rsidR="00B03DB4" w:rsidRPr="000B02C5">
        <w:fldChar w:fldCharType="end"/>
      </w:r>
      <w:r w:rsidR="00B03DB4" w:rsidRPr="000B02C5">
        <w:t xml:space="preserve">  However, if the underlying dynamics of the model are accurate, then </w:t>
      </w:r>
      <w:r w:rsidR="00C94CE9">
        <w:t xml:space="preserve">such </w:t>
      </w:r>
      <w:r w:rsidR="00B03DB4" w:rsidRPr="000B02C5">
        <w:t xml:space="preserve">factors may be </w:t>
      </w:r>
      <w:r w:rsidR="00FD52DB" w:rsidRPr="000B02C5">
        <w:t xml:space="preserve">greatly </w:t>
      </w:r>
      <w:r w:rsidR="00B03DB4" w:rsidRPr="000B02C5">
        <w:t xml:space="preserve">overstated. </w:t>
      </w:r>
      <w:r w:rsidR="008E371F" w:rsidRPr="000B02C5">
        <w:t>If the half-life of the conflict was 6.76 years and began in 1972, it follows that by 1994 the intensity of the conflict had diminished to around one-tenth of its initial level. (</w:t>
      </w:r>
      <w:r w:rsidR="005B3129" w:rsidRPr="000B02C5">
        <w:t>i.e</w:t>
      </w:r>
      <w:proofErr w:type="gramStart"/>
      <w:r w:rsidR="005B3129" w:rsidRPr="000B02C5">
        <w:t xml:space="preserve">. </w:t>
      </w:r>
      <w:proofErr w:type="gramEnd"/>
      <m:oMath>
        <m:sSup>
          <m:sSupPr>
            <m:ctrlPr>
              <w:rPr>
                <w:rFonts w:ascii="Cambria Math" w:eastAsiaTheme="minorEastAsia" w:hAnsi="Cambria Math"/>
                <w:i/>
              </w:rPr>
            </m:ctrlPr>
          </m:sSupPr>
          <m:e>
            <m:r>
              <w:rPr>
                <w:rFonts w:ascii="Cambria Math" w:eastAsiaTheme="minorEastAsia" w:hAnsi="Cambria Math"/>
              </w:rPr>
              <m:t>(1-k)</m:t>
            </m:r>
          </m:e>
          <m:sup>
            <m:r>
              <w:rPr>
                <w:rFonts w:ascii="Cambria Math" w:eastAsiaTheme="minorEastAsia" w:hAnsi="Cambria Math"/>
              </w:rPr>
              <m:t>(1994-1972)</m:t>
            </m:r>
          </m:sup>
        </m:sSup>
        <m:r>
          <w:rPr>
            <w:rFonts w:ascii="Cambria Math" w:eastAsiaTheme="minorEastAsia" w:hAnsi="Cambria Math"/>
          </w:rPr>
          <m:t>=0.105</m:t>
        </m:r>
      </m:oMath>
      <w:r w:rsidR="005B3129" w:rsidRPr="000B02C5">
        <w:rPr>
          <w:rFonts w:eastAsiaTheme="minorEastAsia"/>
        </w:rPr>
        <w:t xml:space="preserve">). Similarly, by the time of the Good Friday Agreement in </w:t>
      </w:r>
      <w:r w:rsidR="00E34348" w:rsidRPr="000B02C5">
        <w:rPr>
          <w:rFonts w:eastAsiaTheme="minorEastAsia"/>
        </w:rPr>
        <w:t xml:space="preserve">1998 </w:t>
      </w:r>
      <w:r w:rsidR="005B3129" w:rsidRPr="000B02C5">
        <w:rPr>
          <w:rFonts w:eastAsiaTheme="minorEastAsia"/>
        </w:rPr>
        <w:t xml:space="preserve">the underlying conflict intensity had diminished to around 7% of its initial value </w:t>
      </w:r>
      <w:r w:rsidR="005B3129" w:rsidRPr="000B02C5">
        <w:t>(i.e</w:t>
      </w:r>
      <w:proofErr w:type="gramStart"/>
      <w:r w:rsidR="005B3129" w:rsidRPr="000B02C5">
        <w:t xml:space="preserve">. </w:t>
      </w:r>
      <w:proofErr w:type="gramEnd"/>
      <m:oMath>
        <m:sSup>
          <m:sSupPr>
            <m:ctrlPr>
              <w:rPr>
                <w:rFonts w:ascii="Cambria Math" w:eastAsiaTheme="minorEastAsia" w:hAnsi="Cambria Math"/>
                <w:i/>
              </w:rPr>
            </m:ctrlPr>
          </m:sSupPr>
          <m:e>
            <m:r>
              <w:rPr>
                <w:rFonts w:ascii="Cambria Math" w:eastAsiaTheme="minorEastAsia" w:hAnsi="Cambria Math"/>
              </w:rPr>
              <m:t>(1-k)</m:t>
            </m:r>
          </m:e>
          <m:sup>
            <m:r>
              <w:rPr>
                <w:rFonts w:ascii="Cambria Math" w:eastAsiaTheme="minorEastAsia" w:hAnsi="Cambria Math"/>
              </w:rPr>
              <m:t>(1998-1972)</m:t>
            </m:r>
          </m:sup>
        </m:sSup>
        <m:r>
          <w:rPr>
            <w:rFonts w:ascii="Cambria Math" w:eastAsiaTheme="minorEastAsia" w:hAnsi="Cambria Math"/>
          </w:rPr>
          <m:t>=0.069</m:t>
        </m:r>
      </m:oMath>
      <w:r w:rsidR="005B3129" w:rsidRPr="000B02C5">
        <w:rPr>
          <w:rFonts w:eastAsiaTheme="minorEastAsia"/>
        </w:rPr>
        <w:t>). Note that these intensity values apply to log</w:t>
      </w:r>
      <w:r w:rsidR="005B3129" w:rsidRPr="000B02C5">
        <w:rPr>
          <w:rFonts w:eastAsiaTheme="minorEastAsia"/>
          <w:vertAlign w:val="subscript"/>
        </w:rPr>
        <w:t>10</w:t>
      </w:r>
      <w:r w:rsidR="005B3129" w:rsidRPr="000B02C5">
        <w:rPr>
          <w:rFonts w:eastAsiaTheme="minorEastAsia"/>
        </w:rPr>
        <w:t xml:space="preserve"> mortality risks, so the actual level of decline of conflict intensity on deaths by the mid to late 1990s will have been even greater. </w:t>
      </w:r>
      <w:r w:rsidR="008E371F" w:rsidRPr="000B02C5">
        <w:t xml:space="preserve"> </w:t>
      </w:r>
    </w:p>
    <w:p w14:paraId="340C66CF" w14:textId="1EAFAD88" w:rsidR="007A7A42" w:rsidRPr="000B02C5" w:rsidRDefault="007A7A42" w:rsidP="000B02C5">
      <w:pPr>
        <w:spacing w:line="480" w:lineRule="auto"/>
      </w:pPr>
      <w:r w:rsidRPr="000B02C5">
        <w:t>The power sharing arrangement following the Good Friday Agreement (GFA) has been described as an example of ‘</w:t>
      </w:r>
      <w:proofErr w:type="spellStart"/>
      <w:r w:rsidRPr="000B02C5">
        <w:t>consociationalism</w:t>
      </w:r>
      <w:proofErr w:type="spellEnd"/>
      <w:r w:rsidRPr="000B02C5">
        <w:t>’, a system of government in which coalition by both Republicans and Loyalists is mandated.</w:t>
      </w:r>
      <w:r w:rsidRPr="000B02C5">
        <w:fldChar w:fldCharType="begin" w:fldLock="1"/>
      </w:r>
      <w:r w:rsidRPr="000B02C5">
        <w:instrText>ADDIN CSL_CITATION { "citationItems" : [ { "id" : "ITEM-1", "itemData" : { "DOI" : "10.1111/j.1469-8129.2008.00340.x", "ISSN" : "13545078", "PMID" : "2212", "abstract" : "Outlining Ireland's long history of ethno-national conflict, and the recent protracted 'peace process' in Northern Ireland, contextualises a critique of the problems underlying such conflicts, and the difficulties in transforming externally imposed conflict management into self-sustaining conflict resolution. It is argued that the problems and difficulties are deeply rooted in a thoroughly modern complex of nationalism, ethnicity, sovereignty and representative democracy. These are knotted together in a common denominator of territoriality, and the nub of the problem is the 'double paradox' of democracy's undemocratic origins in the present. Territoriality, the use of bordered geographical space, is a powerful and ubiquitous mode of social organisation which simplifies social control. But it can grossly oversimplify and distort social realities, particularly at borders and especially where territory is contested, thereby reinforcing other distorting simplifications typically found in ethno-national conflicts. In consequence, radical remedies are needed if the problems are to be overcome. Making ethno-national peace paradoxically calls for more creative border-crossing conflicts around other issues.", "author" : [ { "dropping-particle" : "", "family" : "ANDERSON", "given" : "JAMES", "non-dropping-particle" : "", "parse-names" : false, "suffix" : "" } ], "container-title" : "Nations and Nationalism", "id" : "ITEM-1", "issue" : "1", "issued" : { "date-parts" : [ [ "2008", "1", "21" ] ] }, "note" : "Nations Natl Nations Natl\nISI:000255821500005; 300KA; Times Cited:6; Cited References Count:33", "page" : "85-104", "title" : "Partition, consociation, border-crossing: some lessons from the national conflict in Ireland/Northern Ireland", "type" : "article-journal", "volume" : "14" }, "uris" : [ "http://www.mendeley.com/documents/?uuid=6f2e0db4-06f4-4be9-81ea-f1be957c3539" ] } ], "mendeley" : { "formattedCitation" : "(ANDERSON, 2008)", "plainTextFormattedCitation" : "(ANDERSON, 2008)", "previouslyFormattedCitation" : "(ANDERSON, 2008)" }, "properties" : { "noteIndex" : 0 }, "schema" : "https://github.com/citation-style-language/schema/raw/master/csl-citation.json" }</w:instrText>
      </w:r>
      <w:r w:rsidRPr="000B02C5">
        <w:fldChar w:fldCharType="separate"/>
      </w:r>
      <w:r w:rsidRPr="000B02C5">
        <w:rPr>
          <w:noProof/>
        </w:rPr>
        <w:t>(ANDERSON, 2008)</w:t>
      </w:r>
      <w:r w:rsidRPr="000B02C5">
        <w:fldChar w:fldCharType="end"/>
      </w:r>
      <w:r w:rsidRPr="000B02C5">
        <w:t xml:space="preserve"> </w:t>
      </w:r>
      <w:r w:rsidR="004436DF" w:rsidRPr="000B02C5">
        <w:t xml:space="preserve">The </w:t>
      </w:r>
      <w:proofErr w:type="spellStart"/>
      <w:r w:rsidR="004436DF" w:rsidRPr="000B02C5">
        <w:t>consociational</w:t>
      </w:r>
      <w:proofErr w:type="spellEnd"/>
      <w:r w:rsidR="004436DF" w:rsidRPr="000B02C5">
        <w:t xml:space="preserve"> arrangement following the GFA has </w:t>
      </w:r>
      <w:r w:rsidR="004436DF" w:rsidRPr="000B02C5">
        <w:lastRenderedPageBreak/>
        <w:t>led to little change in the ethno-sectarian identity focus of any of the main parties within Northern Ireland. Indeed, the political success of Sinn Fein at the expense of the more moderate Social Democratic and Labour Party (SDLP) in capturing the Irish Nationalist voting block after the GFA suggests sectarian identity may have come to matter more, not less, to voting intentions following the GFA.</w:t>
      </w:r>
      <w:r w:rsidR="004436DF" w:rsidRPr="000B02C5">
        <w:fldChar w:fldCharType="begin" w:fldLock="1"/>
      </w:r>
      <w:r w:rsidR="004436DF" w:rsidRPr="000B02C5">
        <w:instrText>ADDIN CSL_CITATION { "citationItems" : [ { "id" : "ITEM-1", "itemData" : { "DOI" : "10.1111/j.1467-856X.2012.00528.x", "ISSN" : "1369-1481", "abstract" : "Research Highlights and Abstract Offers one of the first detailed considerations of how political parties in Northern Ireland have adapted to the impact of the dual legitimacy of Protestant-British-Unionist and Catholic-Irish-Nationalist identities central to the Good Friday/Belfast Agreement Extends debates about devolution and party competition which have been centred on Great Britain to the United Kingdom. Outlines how the continuing bi-communalism of the electorate discourages parties from reshaping identity or chasing votes beyond the ethnic divide Analyses how nationalist parties, Sinn F\u00e9in in particular, have developed the rights of all citizens on the island of Ireland to be Irish, under the post-Good Friday Agreement Irish constitution Assesses the data indicating a modest growth of a common Northern Irish identity In this article we examine how party political competition in Northern Ireland impacts on understandings of national identity and citizenship both within the region and elsewhere in the UK. These dynamics can be seen in expressions of political identity and through organisational change and electoral strategies. The consociational framework in which Northern Irish parties operate is one of the most powerful dynamics and we assess how it has shaped intra-community party competition, most notably through the emergence of the Democratic Unionist Party and Sinn F\u00e9in as the strongest unionist and nationalist parties respectively. However, our analysis of campaigning and voting in the 2010 General Election and 2011 Assembly elections also shows that the transformation of party political competition in the UK after devolution is an important dynamic and one that has shaped unionist electoral strategies in particular.", "author" : [ { "dropping-particle" : "", "family" : "McGlynn", "given" : "Catherine", "non-dropping-particle" : "", "parse-names" : false, "suffix" : "" }, { "dropping-particle" : "", "family" : "Tonge", "given" : "Jonathan", "non-dropping-particle" : "", "parse-names" : false, "suffix" : "" }, { "dropping-particle" : "", "family" : "McAuley", "given" : "Jim", "non-dropping-particle" : "", "parse-names" : false, "suffix" : "" } ], "container-title" : "The British Journal of Politics and International Relations", "id" : "ITEM-1", "issue" : "2", "issued" : { "date-parts" : [ [ "2014", "5" ] ] }, "page" : "273-290", "title" : "The Party Politics of Post-Devolution Identity in Northern Ireland", "type" : "article-journal", "volume" : "16" }, "uris" : [ "http://www.mendeley.com/documents/?uuid=fb4bda3e-f672-4509-bebb-01bc3e856296" ] } ], "mendeley" : { "formattedCitation" : "(McGlynn, Tonge, &amp; McAuley, 2014)", "plainTextFormattedCitation" : "(McGlynn, Tonge, &amp; McAuley, 2014)", "previouslyFormattedCitation" : "(McGlynn, Tonge, &amp; McAuley, 2014)" }, "properties" : { "noteIndex" : 0 }, "schema" : "https://github.com/citation-style-language/schema/raw/master/csl-citation.json" }</w:instrText>
      </w:r>
      <w:r w:rsidR="004436DF" w:rsidRPr="000B02C5">
        <w:fldChar w:fldCharType="separate"/>
      </w:r>
      <w:r w:rsidR="004436DF" w:rsidRPr="000B02C5">
        <w:rPr>
          <w:noProof/>
        </w:rPr>
        <w:t>(</w:t>
      </w:r>
      <w:proofErr w:type="spellStart"/>
      <w:r w:rsidR="004436DF" w:rsidRPr="000B02C5">
        <w:rPr>
          <w:noProof/>
        </w:rPr>
        <w:t>McGlynn</w:t>
      </w:r>
      <w:proofErr w:type="spellEnd"/>
      <w:r w:rsidR="004436DF" w:rsidRPr="000B02C5">
        <w:rPr>
          <w:noProof/>
        </w:rPr>
        <w:t>, Tonge, &amp; McAuley, 2014)</w:t>
      </w:r>
      <w:r w:rsidR="004436DF" w:rsidRPr="000B02C5">
        <w:fldChar w:fldCharType="end"/>
      </w:r>
      <w:r w:rsidR="004436DF" w:rsidRPr="000B02C5">
        <w:t xml:space="preserve"> Cross-ethnic political parties have seen only limited success after the GFA compared with sectarian political parties, and this lack of success has been attributed to the </w:t>
      </w:r>
      <w:proofErr w:type="spellStart"/>
      <w:r w:rsidR="004436DF" w:rsidRPr="000B02C5">
        <w:t>consocational</w:t>
      </w:r>
      <w:proofErr w:type="spellEnd"/>
      <w:r w:rsidR="004436DF" w:rsidRPr="000B02C5">
        <w:t xml:space="preserve"> institutions established in the wake of the GFA to accommodate (rather than attempt to blend) rival identities.</w:t>
      </w:r>
      <w:r w:rsidR="004436DF" w:rsidRPr="000B02C5">
        <w:fldChar w:fldCharType="begin" w:fldLock="1"/>
      </w:r>
      <w:r w:rsidR="004436DF" w:rsidRPr="000B02C5">
        <w:instrText>ADDIN CSL_CITATION { "citationItems" : [ { "id" : "ITEM-1", "itemData" : { "DOI" : "10.1111/nana.12129", "ISSN" : "13545078", "abstract" : "This paper investigates the paradox in post-conflict societies of continued marginality of cross-ethnic parties despite significant convergence in public attitudes and identities. In so doing, it examines the argument that parties that attempt to reach across the divide are constrained by consocational institutions designed to accommodate rival identities in such environments. The paper explores this puzzle in the context of Northern Ireland, drawing upon qualitative evidence from elite interviews and focus groups collected in 2012 and 2013. It concludes that cross-community parties operating in the region do encounter formal institutional barriers, but that such barriers only partially explain the phenomenon and an interplay between formal and informal constraints underlies their position of relatively limited electoral success.", "author" : [ { "dropping-particle" : "", "family" : "Murtagh", "given" : "Cera", "non-dropping-particle" : "", "parse-names" : false, "suffix" : "" } ], "container-title" : "Nations and Nationalism", "id" : "ITEM-1", "issue" : "3", "issued" : { "date-parts" : [ [ "2015", "7" ] ] }, "page" : "544-565", "title" : "Reaching across: institutional barriers to cross-ethnic parties in post-conflict societies and the case of Northern Ireland", "type" : "article-journal", "volume" : "21" }, "uris" : [ "http://www.mendeley.com/documents/?uuid=259dbb53-0f2e-40fb-8179-dd08f3883008" ] } ], "mendeley" : { "formattedCitation" : "(Murtagh, 2015)", "plainTextFormattedCitation" : "(Murtagh, 2015)", "previouslyFormattedCitation" : "(Murtagh, 2015)" }, "properties" : { "noteIndex" : 0 }, "schema" : "https://github.com/citation-style-language/schema/raw/master/csl-citation.json" }</w:instrText>
      </w:r>
      <w:r w:rsidR="004436DF" w:rsidRPr="000B02C5">
        <w:fldChar w:fldCharType="separate"/>
      </w:r>
      <w:r w:rsidR="004436DF" w:rsidRPr="000B02C5">
        <w:rPr>
          <w:noProof/>
        </w:rPr>
        <w:t>(</w:t>
      </w:r>
      <w:proofErr w:type="spellStart"/>
      <w:r w:rsidR="004436DF" w:rsidRPr="000B02C5">
        <w:rPr>
          <w:noProof/>
        </w:rPr>
        <w:t>Murtagh</w:t>
      </w:r>
      <w:proofErr w:type="spellEnd"/>
      <w:r w:rsidR="004436DF" w:rsidRPr="000B02C5">
        <w:rPr>
          <w:noProof/>
        </w:rPr>
        <w:t>, 2015)</w:t>
      </w:r>
      <w:r w:rsidR="004436DF" w:rsidRPr="000B02C5">
        <w:fldChar w:fldCharType="end"/>
      </w:r>
      <w:r w:rsidRPr="000B02C5">
        <w:t xml:space="preserve">Questions have therefore been raised about whether the GFA represents or helps to bring about conflict </w:t>
      </w:r>
      <w:r w:rsidRPr="000B02C5">
        <w:rPr>
          <w:i/>
        </w:rPr>
        <w:t>resolution</w:t>
      </w:r>
      <w:r w:rsidRPr="000B02C5">
        <w:t xml:space="preserve">, or is simply conflict </w:t>
      </w:r>
      <w:r w:rsidRPr="000B02C5">
        <w:rPr>
          <w:i/>
        </w:rPr>
        <w:t>management</w:t>
      </w:r>
      <w:r w:rsidRPr="000B02C5">
        <w:t xml:space="preserve"> (or more pessimistically conflict deferment).</w:t>
      </w:r>
      <w:r w:rsidRPr="000B02C5">
        <w:fldChar w:fldCharType="begin" w:fldLock="1"/>
      </w:r>
      <w:r w:rsidRPr="000B02C5">
        <w:instrText>ADDIN CSL_CITATION { "citationItems" : [ { "id" : "ITEM-1", "itemData" : { "DOI" : "10.1111/j.1469-8129.2008.00340.x", "ISSN" : "13545078", "PMID" : "2212", "abstract" : "Outlining Ireland's long history of ethno-national conflict, and the recent protracted 'peace process' in Northern Ireland, contextualises a critique of the problems underlying such conflicts, and the difficulties in transforming externally imposed conflict management into self-sustaining conflict resolution. It is argued that the problems and difficulties are deeply rooted in a thoroughly modern complex of nationalism, ethnicity, sovereignty and representative democracy. These are knotted together in a common denominator of territoriality, and the nub of the problem is the 'double paradox' of democracy's undemocratic origins in the present. Territoriality, the use of bordered geographical space, is a powerful and ubiquitous mode of social organisation which simplifies social control. But it can grossly oversimplify and distort social realities, particularly at borders and especially where territory is contested, thereby reinforcing other distorting simplifications typically found in ethno-national conflicts. In consequence, radical remedies are needed if the problems are to be overcome. Making ethno-national peace paradoxically calls for more creative border-crossing conflicts around other issues.", "author" : [ { "dropping-particle" : "", "family" : "ANDERSON", "given" : "JAMES", "non-dropping-particle" : "", "parse-names" : false, "suffix" : "" } ], "container-title" : "Nations and Nationalism", "id" : "ITEM-1", "issue" : "1", "issued" : { "date-parts" : [ [ "2008", "1", "21" ] ] }, "note" : "Nations Natl Nations Natl\nISI:000255821500005; 300KA; Times Cited:6; Cited References Count:33", "page" : "85-104", "title" : "Partition, consociation, border-crossing: some lessons from the national conflict in Ireland/Northern Ireland", "type" : "article-journal", "volume" : "14" }, "uris" : [ "http://www.mendeley.com/documents/?uuid=6f2e0db4-06f4-4be9-81ea-f1be957c3539" ] } ], "mendeley" : { "formattedCitation" : "(ANDERSON, 2008)", "plainTextFormattedCitation" : "(ANDERSON, 2008)", "previouslyFormattedCitation" : "(ANDERSON, 2008)" }, "properties" : { "noteIndex" : 0 }, "schema" : "https://github.com/citation-style-language/schema/raw/master/csl-citation.json" }</w:instrText>
      </w:r>
      <w:r w:rsidRPr="000B02C5">
        <w:fldChar w:fldCharType="separate"/>
      </w:r>
      <w:r w:rsidRPr="000B02C5">
        <w:rPr>
          <w:noProof/>
        </w:rPr>
        <w:t>(ANDERSON, 2008)</w:t>
      </w:r>
      <w:r w:rsidRPr="000B02C5">
        <w:fldChar w:fldCharType="end"/>
      </w:r>
      <w:r w:rsidRPr="000B02C5">
        <w:t xml:space="preserve"> </w:t>
      </w:r>
    </w:p>
    <w:p w14:paraId="65457151" w14:textId="60542056" w:rsidR="004436DF" w:rsidRDefault="004436DF" w:rsidP="000B02C5">
      <w:pPr>
        <w:spacing w:line="480" w:lineRule="auto"/>
      </w:pPr>
      <w:r>
        <w:t>T</w:t>
      </w:r>
      <w:r w:rsidR="00E37237" w:rsidRPr="000B02C5">
        <w:t xml:space="preserve">he </w:t>
      </w:r>
      <w:proofErr w:type="spellStart"/>
      <w:r w:rsidR="00E37237" w:rsidRPr="000B02C5">
        <w:t>consociational</w:t>
      </w:r>
      <w:proofErr w:type="spellEnd"/>
      <w:r w:rsidR="00E37237" w:rsidRPr="000B02C5">
        <w:t xml:space="preserve"> emphasis of the GFA, </w:t>
      </w:r>
      <w:r>
        <w:t>emphasising difference rather than integration may not have helped develop a united Northern Irish identity, and instead further cemented distinction, meaning the underlying dynamics which led to the violence erupting and then being sustained in the 1970s still remain.</w:t>
      </w:r>
      <w:r w:rsidR="00FD52DB" w:rsidRPr="000B02C5">
        <w:t xml:space="preserve"> </w:t>
      </w:r>
      <w:r w:rsidR="00C94CE9">
        <w:t>Positive</w:t>
      </w:r>
      <w:r w:rsidR="00E37237" w:rsidRPr="000B02C5">
        <w:t xml:space="preserve"> contact with a primary outgroup </w:t>
      </w:r>
      <w:r w:rsidR="00E34348" w:rsidRPr="000B02C5">
        <w:t xml:space="preserve">can </w:t>
      </w:r>
      <w:r w:rsidR="00E37237" w:rsidRPr="000B02C5">
        <w:t xml:space="preserve">lead to generalised positivity towards other outgroups is known as the secondary transfer effect (STE). </w:t>
      </w:r>
      <w:r w:rsidR="00E37237" w:rsidRPr="000B02C5">
        <w:fldChar w:fldCharType="begin" w:fldLock="1"/>
      </w:r>
      <w:r w:rsidR="006D095E">
        <w:instrText>ADDIN CSL_CITATION { "citationItems" : [ { "id" : "ITEM-1", "itemData" : { "DOI" : "10.1037/a0018553", "ISSN" : "1939-1315", "PMID" : "20658844", "abstract" : "Although intergroup contact is one of the most prominent interventions to reduce prejudice, the generalization of contact effects is still a contentious issue. This research further examined the rarely studied secondary transfer effect (STE; Pettigrew, 2009), by which contact with a primary outgroup reduces prejudice toward secondary groups that are not directly involved in the contact. Across 3 cross-sectional studies conducted in Cyprus (N = 1,653), Northern Ireland (N = 1,973), and Texas (N = 275) and 1 longitudinal study conducted in Northern Ireland (N = 411), the present research sought to systematically rule out alternative accounts of the STE and to investigate 2 potential mediating mechanisms (ingroup reappraisal and attitude generalization). Results indicated that, consistent with the STE, contact with a primary outgroup predicts attitudes toward secondary outgroups, over and above contact with the secondary outgroup, socially desirable responding, and prior attitudes. Mediation analyses found strong evidence for attitude generalization but only limited evidence for ingroup reappraisal as an underlying process. Two out of 3 tests of a reverse model, where contact with the secondary outgroup predicts attitudes toward the primary outgroup, provide further evidence for an indirect effect through attitude generalization. Theoretical and practical implications of these results are discussed, and directions for future research are identified.", "author" : [ { "dropping-particle" : "", "family" : "Tausch", "given" : "Nicole", "non-dropping-particle" : "", "parse-names" : false, "suffix" : "" }, { "dropping-particle" : "", "family" : "Hewstone", "given" : "Miles", "non-dropping-particle" : "", "parse-names" : false, "suffix" : "" }, { "dropping-particle" : "", "family" : "Kenworthy", "given" : "Jared B", "non-dropping-particle" : "", "parse-names" : false, "suffix" : "" }, { "dropping-particle" : "", "family" : "Psaltis", "given" : "Charis", "non-dropping-particle" : "", "parse-names" : false, "suffix" : "" }, { "dropping-particle" : "", "family" : "Schmid", "given" : "Katharina", "non-dropping-particle" : "", "parse-names" : false, "suffix" : "" }, { "dropping-particle" : "", "family" : "Popan", "given" : "Jason R", "non-dropping-particle" : "", "parse-names" : false, "suffix" : "" }, { "dropping-particle" : "", "family" : "Cairns", "given" : "Ed", "non-dropping-particle" : "", "parse-names" : false, "suffix" : "" }, { "dropping-particle" : "", "family" : "Hughes", "given" : "Joanne", "non-dropping-particle" : "", "parse-names" : false, "suffix" : "" } ], "container-title" : "Journal of personality and social psychology", "id" : "ITEM-1", "issue" : "2", "issued" : { "date-parts" : [ [ "2010", "8" ] ] }, "note" : "J Pers Soc Psychol J Pers Soc Psychol\nISI:000280389200006; 631ZK; Times Cited:64; Cited References Count:98", "page" : "282-302", "title" : "Secondary transfer effects of intergroup contact: Alternative accounts and underlying processes.", "type" : "article-journal", "volume" : "99" }, "uris" : [ "http://www.mendeley.com/documents/?uuid=05a967bb-8c29-466a-ad9c-887eb04933d5" ] } ], "mendeley" : { "formattedCitation" : "(Tausch et al., 2010)", "plainTextFormattedCitation" : "(Tausch et al., 2010)", "previouslyFormattedCitation" : "(Tausch et al., 2010)" }, "properties" : { "noteIndex" : 0 }, "schema" : "https://github.com/citation-style-language/schema/raw/master/csl-citation.json" }</w:instrText>
      </w:r>
      <w:r w:rsidR="00E37237" w:rsidRPr="000B02C5">
        <w:fldChar w:fldCharType="separate"/>
      </w:r>
      <w:r w:rsidR="00C94CE9" w:rsidRPr="00C94CE9">
        <w:rPr>
          <w:noProof/>
        </w:rPr>
        <w:t>(Tausch et al., 2010)</w:t>
      </w:r>
      <w:r w:rsidR="00E37237" w:rsidRPr="000B02C5">
        <w:fldChar w:fldCharType="end"/>
      </w:r>
      <w:r w:rsidR="00E37237" w:rsidRPr="000B02C5">
        <w:t xml:space="preserve"> </w:t>
      </w:r>
      <w:r w:rsidR="008001D5" w:rsidRPr="000B02C5">
        <w:t>The conflict and its revolution may have affected broader social attitudes held by prominent individuals in the region, such as attitudes towards homosexuality.</w:t>
      </w:r>
      <w:r w:rsidR="008001D5" w:rsidRPr="000B02C5">
        <w:fldChar w:fldCharType="begin" w:fldLock="1"/>
      </w:r>
      <w:r w:rsidR="008001D5" w:rsidRPr="000B02C5">
        <w:instrText>ADDIN CSL_CITATION { "citationItems" : [ { "id" : "ITEM-1", "itemData" : { "PMID" : "1962", "abstract" : "In the summer of 2008, the Westminster MP and Member of the Northern Ireland Assembly, Iris Robinson, made homophobic statements during interviews with the media. Robinson's anti-gay remarks highlight the continuing challenges for sexual politics in Northern Ireland. However, conflict transformation literature in the region has elided issues of sexuality. This article, drawing on elements of Judith Butler's analysis of injurious speech, assesses the issues that Robinson's homophobic speech highlights in relation to sexual equality in Northern Ireland. It concludes by assessing the role of conflict transformation literature in charting sexual politics in the region.", "author" : [ { "dropping-particle" : "", "family" : "Ashe", "given" : "F", "non-dropping-particle" : "", "parse-names" : false, "suffix" : "" } ], "container-title" : "Politics", "id" : "ITEM-1", "issue" : "1", "issued" : { "date-parts" : [ [ "2009" ] ] }, "note" : "Politics-Oxford Politics-Oxford\nISI:000208124800003; V20Fb; Times Cited:6; Cited References Count:26", "page" : "20-27", "title" : "Iris Robinson's Excitable Speech: Sexuality and Conflict Transformation in Northern Ireland", "type" : "article-journal", "volume" : "29" }, "uris" : [ "http://www.mendeley.com/documents/?uuid=b7af78a2-c9e8-42e3-865a-e157ce3ade10" ] } ], "mendeley" : { "formattedCitation" : "(Ashe, 2009)", "plainTextFormattedCitation" : "(Ashe, 2009)", "previouslyFormattedCitation" : "(Ashe, 2009)" }, "properties" : { "noteIndex" : 0 }, "schema" : "https://github.com/citation-style-language/schema/raw/master/csl-citation.json" }</w:instrText>
      </w:r>
      <w:r w:rsidR="008001D5" w:rsidRPr="000B02C5">
        <w:fldChar w:fldCharType="separate"/>
      </w:r>
      <w:r w:rsidR="008001D5" w:rsidRPr="000B02C5">
        <w:rPr>
          <w:noProof/>
        </w:rPr>
        <w:t>(Ashe, 2009)</w:t>
      </w:r>
      <w:r w:rsidR="008001D5" w:rsidRPr="000B02C5">
        <w:fldChar w:fldCharType="end"/>
      </w:r>
      <w:r w:rsidR="008001D5" w:rsidRPr="000B02C5">
        <w:t xml:space="preserve">  </w:t>
      </w:r>
    </w:p>
    <w:p w14:paraId="4D7AA72D" w14:textId="34191CB3" w:rsidR="00E37237" w:rsidRPr="000B02C5" w:rsidRDefault="00E37237" w:rsidP="000B02C5">
      <w:pPr>
        <w:spacing w:line="480" w:lineRule="auto"/>
      </w:pPr>
      <w:r w:rsidRPr="000B02C5">
        <w:t>Northern Ireland remains by many measures the most socially conservative part of the UK, including being the only part of the UK where abortions are illegal</w:t>
      </w:r>
      <w:r w:rsidR="008001D5" w:rsidRPr="000B02C5">
        <w:t xml:space="preserve">. Gay marriage is legal within the Republic of Ireland, while remaining illegal in Northern Ireland. It may well be that some of this social conservatism stems from high levels of antipathy towards primary outgroups, leading to lower empathy towards secondary outgroups – such as immigrants, homosexuals and teenage parents – about which some of these socially conservative policies are targeted; conversely, increased integration between Protestants and Catholics in Northern Ireland may lead to increased social liberalism more generally. Perhaps because there is further to travel along this social liberalism axis, </w:t>
      </w:r>
      <w:r w:rsidR="008001D5" w:rsidRPr="000B02C5">
        <w:lastRenderedPageBreak/>
        <w:t>r</w:t>
      </w:r>
      <w:r w:rsidRPr="000B02C5">
        <w:t xml:space="preserve">esearch assessing the extent of </w:t>
      </w:r>
      <w:r w:rsidR="008001D5" w:rsidRPr="000B02C5">
        <w:t xml:space="preserve">STEs </w:t>
      </w:r>
      <w:r w:rsidRPr="000B02C5">
        <w:t>suggests that the effects of positive contact on attitudes to secondary groups may be stronger in Northern Ireland than in Germany.</w:t>
      </w:r>
      <w:r w:rsidRPr="000B02C5">
        <w:fldChar w:fldCharType="begin" w:fldLock="1"/>
      </w:r>
      <w:r w:rsidRPr="000B02C5">
        <w:instrText>ADDIN CSL_CITATION { "citationItems" : [ { "id" : "ITEM-1", "itemData" : { "DOI" : "10.1111/bjso.12045", "ISSN" : "2044-8309", "PMID" : "23879325", "abstract" : "Secondary transfer effects (STEs) of intergroup contact refer to the generalization of contact effects from a primary encountered outgroup to attitudes towards secondary outgroups (Pettigrew, 2009). Using two large, cross-sectional data sets from Germany (N = 1,381) and Northern Ireland (N = 1,948), this article examined the extent to which STEs of intergroup contact on attitudes towards a range of secondary outgroups occur via a previously unexplored psychological construct, social identity complexity (operationalized as similarity complexity and overlap complexity). Study 1 found primary outgroup contact to be associated with greater similarity complexity, but no indirect effects on secondary outgroup attitudes via complexity emerged. Study 2, however, revealed indirect positive relationships between primary outgroup contact and secondary outgroup attitudes via increased similarity complexity and overlap complexity. These relationships were obtained while controlling for two previously tested mediating mechanisms, attitude generalization (operationalized as primary outgroup attitude) and deprovincialization (operationalized as ingroup attitude and identification). We discuss the theoretical implications of these findings and the contribution of social identity complexity to understanding processes underlying STEs of contact.", "author" : [ { "dropping-particle" : "", "family" : "Schmid", "given" : "Katharina", "non-dropping-particle" : "", "parse-names" : false, "suffix" : "" }, { "dropping-particle" : "", "family" : "Hewstone", "given" : "Miles", "non-dropping-particle" : "", "parse-names" : false, "suffix" : "" }, { "dropping-particle" : "", "family" : "Tausch", "given" : "Nicole", "non-dropping-particle" : "", "parse-names" : false, "suffix" : "" } ], "container-title" : "The British journal of social psychology", "id" : "ITEM-1", "issue" : "3", "issued" : { "date-parts" : [ [ "2014", "9" ] ] }, "note" : "Brit J Soc Psychol Brit J Soc Psychol\nISI:000342987800003; Aq7Jb; Times Cited:2; Cited References Count:36", "page" : "443-62", "title" : "Secondary transfer effects of intergroup contact via social identity complexity.", "type" : "article-journal", "volume" : "53" }, "uris" : [ "http://www.mendeley.com/documents/?uuid=f3b55b93-3b2b-46c0-a0b8-b73569e4991f" ] } ], "mendeley" : { "formattedCitation" : "(Schmid, Hewstone, &amp; Tausch, 2014)", "plainTextFormattedCitation" : "(Schmid, Hewstone, &amp; Tausch, 2014)", "previouslyFormattedCitation" : "(Schmid, Hewstone, &amp; Tausch, 2014)" }, "properties" : { "noteIndex" : 0 }, "schema" : "https://github.com/citation-style-language/schema/raw/master/csl-citation.json" }</w:instrText>
      </w:r>
      <w:r w:rsidRPr="000B02C5">
        <w:fldChar w:fldCharType="separate"/>
      </w:r>
      <w:r w:rsidRPr="000B02C5">
        <w:rPr>
          <w:noProof/>
        </w:rPr>
        <w:t>(</w:t>
      </w:r>
      <w:proofErr w:type="spellStart"/>
      <w:r w:rsidRPr="000B02C5">
        <w:rPr>
          <w:noProof/>
        </w:rPr>
        <w:t>Schmid</w:t>
      </w:r>
      <w:proofErr w:type="spellEnd"/>
      <w:r w:rsidRPr="000B02C5">
        <w:rPr>
          <w:noProof/>
        </w:rPr>
        <w:t>, Hewstone, &amp; Tausch, 2014)</w:t>
      </w:r>
      <w:r w:rsidRPr="000B02C5">
        <w:fldChar w:fldCharType="end"/>
      </w:r>
    </w:p>
    <w:p w14:paraId="5AD0E58B" w14:textId="7075D2C6" w:rsidR="007A7A42" w:rsidRPr="000B02C5" w:rsidRDefault="00EF2178" w:rsidP="000B02C5">
      <w:pPr>
        <w:spacing w:line="480" w:lineRule="auto"/>
      </w:pPr>
      <w:r w:rsidRPr="000B02C5">
        <w:t xml:space="preserve">Catholics in Northern Ireland had disadvantaged class positions relative to Protestants for much of the period 1922 to 1972, but these inequalities had sharply reduced by 1996. </w:t>
      </w:r>
      <w:r w:rsidRPr="000B02C5">
        <w:fldChar w:fldCharType="begin" w:fldLock="1"/>
      </w:r>
      <w:r w:rsidRPr="000B02C5">
        <w:instrText>ADDIN CSL_CITATION { "citationItems" : [ { "id" : "ITEM-1", "itemData" : { "PMID" : "3225", "abstract" : "Data from 1973 and 1996 are used to examine changes in the class structures and patterns of social mobility of Catholic and Protestant men in Northern Ireland. Specifically, this study investigates whether the disadvantaged class position that Catholics occupied under the Stormont regime (1922-1972) has been ameliorated and if so, to what extent. The class structures of Protestant and Catholic men have become more similar over the 1973-1996 period, and there has also been a decline in the importance of ascriptive features (e.g., class origins and ethnic group membership) in determining class position. For both Catholics and Protestants, advantages that in 1973 accrued to those from favorable class origins were much reduced by 1996 Similarly, the advantages that Protestants held over Catholics, controlling for class origins, have been greatly reduced. Explanations for these trends are suggested, and the implications of these trends for the extent of anti-Catholic discrimination in Northern Ireland are discussed.", "author" : [ { "dropping-particle" : "", "family" : "Breen", "given" : "R", "non-dropping-particle" : "", "parse-names" : false, "suffix" : "" } ], "container-title" : "American Sociological Review", "id" : "ITEM-1", "issue" : "3", "issued" : { "date-parts" : [ [ "2000" ] ] }, "note" : "Am Sociol Rev Am Sociol Rev\nISI:000089045800004; 349LD; Times Cited:16; Cited References Count:40", "page" : "392-406", "title" : "Class inequality and social mobility in Northern Ireland, 1973 to 1996", "type" : "article-journal", "volume" : "65" }, "uris" : [ "http://www.mendeley.com/documents/?uuid=b8ccf982-0cd2-44a6-b5f3-2d98f840469d" ] } ], "mendeley" : { "formattedCitation" : "(Breen, 2000)", "plainTextFormattedCitation" : "(Breen, 2000)", "previouslyFormattedCitation" : "(Breen, 2000)" }, "properties" : { "noteIndex" : 0 }, "schema" : "https://github.com/citation-style-language/schema/raw/master/csl-citation.json" }</w:instrText>
      </w:r>
      <w:r w:rsidRPr="000B02C5">
        <w:fldChar w:fldCharType="separate"/>
      </w:r>
      <w:r w:rsidRPr="000B02C5">
        <w:rPr>
          <w:noProof/>
        </w:rPr>
        <w:t>(Breen, 2000)</w:t>
      </w:r>
      <w:r w:rsidRPr="000B02C5">
        <w:fldChar w:fldCharType="end"/>
      </w:r>
      <w:r w:rsidRPr="000B02C5">
        <w:t xml:space="preserve"> Structural inequalities – perceived or real – that exist between groups can affect both rates and quality of inter-group contact, as well as negative outgroup attitudes.</w:t>
      </w:r>
      <w:r w:rsidRPr="000B02C5">
        <w:fldChar w:fldCharType="begin" w:fldLock="1"/>
      </w:r>
      <w:r w:rsidRPr="000B02C5">
        <w:instrText>ADDIN CSL_CITATION { "citationItems" : [ { "id" : "ITEM-1", "itemData" : { "DOI" : "10.1371/journal.pone.0146895", "ISSN" : "1932-6203", "PMID" : "275", "abstract" : "Five studies tested whether intergroup contact reduces negative outgroup attitudes through a process of ingroup distancing. Based on the deprovincialization hypothesis and Social Dominance Theory, we hypothesized that the indirect effect of cross-group friendship on outgroup attitudes via reduced ingroup identification is moderated by individuals' Social Dominance Orientation (SDO), and occurs only for members of high status majority groups. We tested these predictions in three different intergroup contexts, involving conflictual relations between social groups in Germany (Study 1; N = 150; longitudinal Study 2: N = 753), Northern Ireland (Study 3: N = 160; Study 4: N = 1,948), and England (Study 5; N = 594). Cross-group friendship was associated with reduced ingroup identification and the link between reduced ingroup identification and improved outgroup attitudes was moderated by SDO (the indirect effect of cross-group friendship on outgroup attitudes via reduced ingroup only occurred for individuals scoring high, but not low, in SDO). Although there was a consistent moderating effect of SDO in high-status majority groups (Studies 1-5), but not lowstatus minority groups (Studies 3, 4, and 5), the interaction by SDO was not reliably stronger in high-than low-status groups. Findings are discussed in terms of better understanding deprovincialization effects of contact.", "author" : [ { "dropping-particle" : "", "family" : "Kauff", "given" : "Mathias", "non-dropping-particle" : "", "parse-names" : false, "suffix" : "" }, { "dropping-particle" : "", "family" : "Schmid", "given" : "Katharina", "non-dropping-particle" : "", "parse-names" : false, "suffix" : "" }, { "dropping-particle" : "", "family" : "Lolliot", "given" : "Simon", "non-dropping-particle" : "", "parse-names" : false, "suffix" : "" }, { "dropping-particle" : "", "family" : "Ramiah", "given" : "Ananthi", "non-dropping-particle" : "Al", "parse-names" : false, "suffix" : "" }, { "dropping-particle" : "", "family" : "Hewstone", "given" : "Miles", "non-dropping-particle" : "", "parse-names" : false, "suffix" : "" } ], "container-title" : "PLOS ONE", "editor" : [ { "dropping-particle" : "", "family" : "Masuda", "given" : "Naoki", "non-dropping-particle" : "", "parse-names" : false, "suffix" : "" } ], "id" : "ITEM-1", "issue" : "1", "issued" : { "date-parts" : [ [ "2016", "1", "11" ] ] }, "note" : "Plos One Plos One\nISI:000367888100174; Da6Ca; Times Cited:0; Cited References Count:78", "page" : "e0146895", "title" : "Intergroup Contact Effects via Ingroup Distancing among Majority and Minority Groups: Moderation by Social Dominance Orientation", "type" : "article-journal", "volume" : "11" }, "uris" : [ "http://www.mendeley.com/documents/?uuid=c27bee2e-efd7-482b-b6a1-26ceffd3ffb1" ] } ], "mendeley" : { "formattedCitation" : "(Kauff, Schmid, Lolliot, Al Ramiah, &amp; Hewstone, 2016)", "plainTextFormattedCitation" : "(Kauff, Schmid, Lolliot, Al Ramiah, &amp; Hewstone, 2016)", "previouslyFormattedCitation" : "(Kauff, Schmid, Lolliot, Al Ramiah, &amp; Hewstone, 2016)" }, "properties" : { "noteIndex" : 0 }, "schema" : "https://github.com/citation-style-language/schema/raw/master/csl-citation.json" }</w:instrText>
      </w:r>
      <w:r w:rsidRPr="000B02C5">
        <w:fldChar w:fldCharType="separate"/>
      </w:r>
      <w:r w:rsidRPr="000B02C5">
        <w:rPr>
          <w:noProof/>
        </w:rPr>
        <w:t>(</w:t>
      </w:r>
      <w:proofErr w:type="spellStart"/>
      <w:r w:rsidRPr="000B02C5">
        <w:rPr>
          <w:noProof/>
        </w:rPr>
        <w:t>Kauff</w:t>
      </w:r>
      <w:proofErr w:type="spellEnd"/>
      <w:r w:rsidRPr="000B02C5">
        <w:rPr>
          <w:noProof/>
        </w:rPr>
        <w:t>, Schmid, Lolliot, Al Ramiah, &amp; Hewstone, 2016)</w:t>
      </w:r>
      <w:r w:rsidRPr="000B02C5">
        <w:fldChar w:fldCharType="end"/>
      </w:r>
      <w:r w:rsidRPr="000B02C5">
        <w:t xml:space="preserve"> The Catholic share of Northern Ireland’s population has been steadily rising throughout the 1970s and 1980s.</w:t>
      </w:r>
      <w:r w:rsidRPr="000B02C5">
        <w:fldChar w:fldCharType="begin" w:fldLock="1"/>
      </w:r>
      <w:r w:rsidRPr="000B02C5">
        <w:instrText>ADDIN CSL_CITATION { "citationItems" : [ { "id" : "ITEM-1", "itemData" : { "DOI" : "10.1080/01419870.1995.9993887", "ISSN" : "0141-9870", "PMID" : "3783", "abstract" : "The complete cessation of armed violence by the major paramilitary organizations in Northern Ireland provides an opportunity for academic reflection on the past twenty-five years of ethnic conflict. This article introduces a special issue of Ethnic and Racial Studies. It provides a brief account of how the shooting stopped, reflects on the quietist nature of much recent academic commentary on the region, explains the contents of the special issue, and considers three relatively benign prognoses about the future of ethnic conflict and cooperation in the region.", "author" : [ { "dropping-particle" : "", "family" : "O'Leary", "given" : "Brendan", "non-dropping-particle" : "", "parse-names" : false, "suffix" : "" } ], "container-title" : "Ethnic and Racial Studies", "id" : "ITEM-1", "issue" : "4", "issued" : { "date-parts" : [ [ "1995", "10" ] ] }, "note" : "Ethnic Racial Stud Ethnic Racial Stud\nISI:A1995TB36300001; Tb363; Times Cited:3; Cited References Count:17", "page" : "695-714", "title" : "Introduction: Reflections on a cold peace", "type" : "article-journal", "volume" : "18" }, "uris" : [ "http://www.mendeley.com/documents/?uuid=974a8eae-8a5f-49c0-9f1b-80768b765955" ] } ], "mendeley" : { "formattedCitation" : "(O\u2019Leary, 1995)", "plainTextFormattedCitation" : "(O\u2019Leary, 1995)", "previouslyFormattedCitation" : "(O\u2019Leary, 1995)" }, "properties" : { "noteIndex" : 0 }, "schema" : "https://github.com/citation-style-language/schema/raw/master/csl-citation.json" }</w:instrText>
      </w:r>
      <w:r w:rsidRPr="000B02C5">
        <w:fldChar w:fldCharType="separate"/>
      </w:r>
      <w:r w:rsidRPr="000B02C5">
        <w:rPr>
          <w:noProof/>
        </w:rPr>
        <w:t>(O’Leary, 1995)</w:t>
      </w:r>
      <w:r w:rsidRPr="000B02C5">
        <w:fldChar w:fldCharType="end"/>
      </w:r>
      <w:r w:rsidR="00FD52DB" w:rsidRPr="000B02C5">
        <w:t xml:space="preserve"> </w:t>
      </w:r>
    </w:p>
    <w:p w14:paraId="65571EA9" w14:textId="2FE72B5B" w:rsidR="008001D5" w:rsidRPr="00F119C2" w:rsidRDefault="008001D5" w:rsidP="000B02C5">
      <w:pPr>
        <w:spacing w:line="480" w:lineRule="auto"/>
        <w:rPr>
          <w:color w:val="FF0000"/>
        </w:rPr>
      </w:pPr>
      <w:r w:rsidRPr="00F119C2">
        <w:rPr>
          <w:color w:val="FF0000"/>
        </w:rPr>
        <w:t xml:space="preserve"> </w:t>
      </w:r>
    </w:p>
    <w:p w14:paraId="70CC2FB5" w14:textId="77777777" w:rsidR="00717779" w:rsidRPr="001B7B4E" w:rsidRDefault="00717779" w:rsidP="000B02C5">
      <w:pPr>
        <w:spacing w:line="480" w:lineRule="auto"/>
      </w:pPr>
    </w:p>
    <w:p w14:paraId="66C18D91" w14:textId="72C6D3B8" w:rsidR="00C920BF" w:rsidRDefault="00C920BF" w:rsidP="000B02C5">
      <w:pPr>
        <w:spacing w:line="480" w:lineRule="auto"/>
      </w:pPr>
    </w:p>
    <w:p w14:paraId="6C70904D" w14:textId="77777777" w:rsidR="00F119C2" w:rsidRPr="001D36B8" w:rsidRDefault="00F119C2" w:rsidP="000B02C5">
      <w:pPr>
        <w:spacing w:line="480" w:lineRule="auto"/>
        <w:rPr>
          <w:color w:val="FF0000"/>
        </w:rPr>
        <w:sectPr w:rsidR="00F119C2" w:rsidRPr="001D36B8" w:rsidSect="000B02C5">
          <w:pgSz w:w="11906" w:h="16838"/>
          <w:pgMar w:top="1440" w:right="1440" w:bottom="1440" w:left="1440" w:header="708" w:footer="708" w:gutter="0"/>
          <w:lnNumType w:countBy="1"/>
          <w:cols w:space="708"/>
          <w:docGrid w:linePitch="360"/>
        </w:sectPr>
      </w:pPr>
    </w:p>
    <w:p w14:paraId="0F2785EC" w14:textId="708E6C51" w:rsidR="00F1537E" w:rsidRDefault="00F1537E" w:rsidP="000B02C5">
      <w:pPr>
        <w:pStyle w:val="Heading1"/>
        <w:spacing w:line="480" w:lineRule="auto"/>
      </w:pPr>
      <w:r>
        <w:lastRenderedPageBreak/>
        <w:t>References [</w:t>
      </w:r>
      <w:r w:rsidR="00C94CE9">
        <w:t>757/</w:t>
      </w:r>
      <w:r>
        <w:t>1000 words]</w:t>
      </w:r>
      <w:r w:rsidR="00023023">
        <w:br/>
      </w:r>
    </w:p>
    <w:p w14:paraId="383B9621" w14:textId="07508F93" w:rsidR="00A96270" w:rsidRPr="00A96270" w:rsidRDefault="00023023" w:rsidP="00A96270">
      <w:pPr>
        <w:widowControl w:val="0"/>
        <w:autoSpaceDE w:val="0"/>
        <w:autoSpaceDN w:val="0"/>
        <w:adjustRightInd w:val="0"/>
        <w:spacing w:line="48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A96270" w:rsidRPr="00A96270">
        <w:rPr>
          <w:rFonts w:ascii="Calibri" w:hAnsi="Calibri" w:cs="Times New Roman"/>
          <w:noProof/>
          <w:szCs w:val="24"/>
        </w:rPr>
        <w:t xml:space="preserve">Akaike, H. (1974). A new look at the statistical model identification. </w:t>
      </w:r>
      <w:r w:rsidR="00A96270" w:rsidRPr="00A96270">
        <w:rPr>
          <w:rFonts w:ascii="Calibri" w:hAnsi="Calibri" w:cs="Times New Roman"/>
          <w:i/>
          <w:iCs/>
          <w:noProof/>
          <w:szCs w:val="24"/>
        </w:rPr>
        <w:t>IEEE Transactions on Automatic Control</w:t>
      </w:r>
      <w:r w:rsidR="00A96270" w:rsidRPr="00A96270">
        <w:rPr>
          <w:rFonts w:ascii="Calibri" w:hAnsi="Calibri" w:cs="Times New Roman"/>
          <w:noProof/>
          <w:szCs w:val="24"/>
        </w:rPr>
        <w:t xml:space="preserve">, </w:t>
      </w:r>
      <w:r w:rsidR="00A96270" w:rsidRPr="00A96270">
        <w:rPr>
          <w:rFonts w:ascii="Calibri" w:hAnsi="Calibri" w:cs="Times New Roman"/>
          <w:i/>
          <w:iCs/>
          <w:noProof/>
          <w:szCs w:val="24"/>
        </w:rPr>
        <w:t>19</w:t>
      </w:r>
      <w:r w:rsidR="00A96270" w:rsidRPr="00A96270">
        <w:rPr>
          <w:rFonts w:ascii="Calibri" w:hAnsi="Calibri" w:cs="Times New Roman"/>
          <w:noProof/>
          <w:szCs w:val="24"/>
        </w:rPr>
        <w:t>(6), 716–723. http://doi.org/10.1109/TAC.1974.1100705</w:t>
      </w:r>
    </w:p>
    <w:p w14:paraId="60FB48A0" w14:textId="77777777" w:rsidR="00A96270" w:rsidRPr="00A96270" w:rsidRDefault="00A96270" w:rsidP="00A96270">
      <w:pPr>
        <w:widowControl w:val="0"/>
        <w:autoSpaceDE w:val="0"/>
        <w:autoSpaceDN w:val="0"/>
        <w:adjustRightInd w:val="0"/>
        <w:spacing w:line="480" w:lineRule="auto"/>
        <w:ind w:left="480" w:hanging="480"/>
        <w:rPr>
          <w:rFonts w:ascii="Calibri" w:hAnsi="Calibri" w:cs="Times New Roman"/>
          <w:noProof/>
          <w:szCs w:val="24"/>
        </w:rPr>
      </w:pPr>
      <w:r w:rsidRPr="00A96270">
        <w:rPr>
          <w:rFonts w:ascii="Calibri" w:hAnsi="Calibri" w:cs="Times New Roman"/>
          <w:noProof/>
          <w:szCs w:val="24"/>
        </w:rPr>
        <w:t xml:space="preserve">Allport, G. W. (1954). </w:t>
      </w:r>
      <w:r w:rsidRPr="00A96270">
        <w:rPr>
          <w:rFonts w:ascii="Calibri" w:hAnsi="Calibri" w:cs="Times New Roman"/>
          <w:i/>
          <w:iCs/>
          <w:noProof/>
          <w:szCs w:val="24"/>
        </w:rPr>
        <w:t>The nature of prejudice</w:t>
      </w:r>
      <w:r w:rsidRPr="00A96270">
        <w:rPr>
          <w:rFonts w:ascii="Calibri" w:hAnsi="Calibri" w:cs="Times New Roman"/>
          <w:noProof/>
          <w:szCs w:val="24"/>
        </w:rPr>
        <w:t>. Reading, MA: Addison-Wesley.</w:t>
      </w:r>
    </w:p>
    <w:p w14:paraId="231E1DC2" w14:textId="77777777" w:rsidR="00A96270" w:rsidRPr="00A96270" w:rsidRDefault="00A96270" w:rsidP="00A96270">
      <w:pPr>
        <w:widowControl w:val="0"/>
        <w:autoSpaceDE w:val="0"/>
        <w:autoSpaceDN w:val="0"/>
        <w:adjustRightInd w:val="0"/>
        <w:spacing w:line="480" w:lineRule="auto"/>
        <w:ind w:left="480" w:hanging="480"/>
        <w:rPr>
          <w:rFonts w:ascii="Calibri" w:hAnsi="Calibri" w:cs="Times New Roman"/>
          <w:noProof/>
          <w:szCs w:val="24"/>
        </w:rPr>
      </w:pPr>
      <w:r w:rsidRPr="00A96270">
        <w:rPr>
          <w:rFonts w:ascii="Calibri" w:hAnsi="Calibri" w:cs="Times New Roman"/>
          <w:noProof/>
          <w:szCs w:val="24"/>
        </w:rPr>
        <w:t xml:space="preserve">ANDERSON, J. (2008). Partition, consociation, border-crossing: some lessons from the national conflict in Ireland/Northern Ireland. </w:t>
      </w:r>
      <w:r w:rsidRPr="00A96270">
        <w:rPr>
          <w:rFonts w:ascii="Calibri" w:hAnsi="Calibri" w:cs="Times New Roman"/>
          <w:i/>
          <w:iCs/>
          <w:noProof/>
          <w:szCs w:val="24"/>
        </w:rPr>
        <w:t>Nations and Nationalism</w:t>
      </w:r>
      <w:r w:rsidRPr="00A96270">
        <w:rPr>
          <w:rFonts w:ascii="Calibri" w:hAnsi="Calibri" w:cs="Times New Roman"/>
          <w:noProof/>
          <w:szCs w:val="24"/>
        </w:rPr>
        <w:t xml:space="preserve">, </w:t>
      </w:r>
      <w:r w:rsidRPr="00A96270">
        <w:rPr>
          <w:rFonts w:ascii="Calibri" w:hAnsi="Calibri" w:cs="Times New Roman"/>
          <w:i/>
          <w:iCs/>
          <w:noProof/>
          <w:szCs w:val="24"/>
        </w:rPr>
        <w:t>14</w:t>
      </w:r>
      <w:r w:rsidRPr="00A96270">
        <w:rPr>
          <w:rFonts w:ascii="Calibri" w:hAnsi="Calibri" w:cs="Times New Roman"/>
          <w:noProof/>
          <w:szCs w:val="24"/>
        </w:rPr>
        <w:t>(1), 85–104. http://doi.org/10.1111/j.1469-8129.2008.00340.x</w:t>
      </w:r>
    </w:p>
    <w:p w14:paraId="55686A13" w14:textId="77777777" w:rsidR="00A96270" w:rsidRPr="00A96270" w:rsidRDefault="00A96270" w:rsidP="00A96270">
      <w:pPr>
        <w:widowControl w:val="0"/>
        <w:autoSpaceDE w:val="0"/>
        <w:autoSpaceDN w:val="0"/>
        <w:adjustRightInd w:val="0"/>
        <w:spacing w:line="480" w:lineRule="auto"/>
        <w:ind w:left="480" w:hanging="480"/>
        <w:rPr>
          <w:rFonts w:ascii="Calibri" w:hAnsi="Calibri" w:cs="Times New Roman"/>
          <w:noProof/>
          <w:szCs w:val="24"/>
        </w:rPr>
      </w:pPr>
      <w:r w:rsidRPr="00A96270">
        <w:rPr>
          <w:rFonts w:ascii="Calibri" w:hAnsi="Calibri" w:cs="Times New Roman"/>
          <w:noProof/>
          <w:szCs w:val="24"/>
        </w:rPr>
        <w:t xml:space="preserve">Anderson, J., &amp; O’Dowd, L. (1999). Contested Borders: Globalization and Ethnonational Conflict in Ireland. </w:t>
      </w:r>
      <w:r w:rsidRPr="00A96270">
        <w:rPr>
          <w:rFonts w:ascii="Calibri" w:hAnsi="Calibri" w:cs="Times New Roman"/>
          <w:i/>
          <w:iCs/>
          <w:noProof/>
          <w:szCs w:val="24"/>
        </w:rPr>
        <w:t>Regional Studies</w:t>
      </w:r>
      <w:r w:rsidRPr="00A96270">
        <w:rPr>
          <w:rFonts w:ascii="Calibri" w:hAnsi="Calibri" w:cs="Times New Roman"/>
          <w:noProof/>
          <w:szCs w:val="24"/>
        </w:rPr>
        <w:t xml:space="preserve">, </w:t>
      </w:r>
      <w:r w:rsidRPr="00A96270">
        <w:rPr>
          <w:rFonts w:ascii="Calibri" w:hAnsi="Calibri" w:cs="Times New Roman"/>
          <w:i/>
          <w:iCs/>
          <w:noProof/>
          <w:szCs w:val="24"/>
        </w:rPr>
        <w:t>33</w:t>
      </w:r>
      <w:r w:rsidRPr="00A96270">
        <w:rPr>
          <w:rFonts w:ascii="Calibri" w:hAnsi="Calibri" w:cs="Times New Roman"/>
          <w:noProof/>
          <w:szCs w:val="24"/>
        </w:rPr>
        <w:t>(7), 681–696. http://doi.org/10.1080/00343409950078710</w:t>
      </w:r>
    </w:p>
    <w:p w14:paraId="21BA4980" w14:textId="77777777" w:rsidR="00A96270" w:rsidRPr="00A96270" w:rsidRDefault="00A96270" w:rsidP="00A96270">
      <w:pPr>
        <w:widowControl w:val="0"/>
        <w:autoSpaceDE w:val="0"/>
        <w:autoSpaceDN w:val="0"/>
        <w:adjustRightInd w:val="0"/>
        <w:spacing w:line="480" w:lineRule="auto"/>
        <w:ind w:left="480" w:hanging="480"/>
        <w:rPr>
          <w:rFonts w:ascii="Calibri" w:hAnsi="Calibri" w:cs="Times New Roman"/>
          <w:noProof/>
          <w:szCs w:val="24"/>
        </w:rPr>
      </w:pPr>
      <w:r w:rsidRPr="00A96270">
        <w:rPr>
          <w:rFonts w:ascii="Calibri" w:hAnsi="Calibri" w:cs="Times New Roman"/>
          <w:noProof/>
          <w:szCs w:val="24"/>
        </w:rPr>
        <w:t xml:space="preserve">Anderson, J., &amp; O’Dowd, L. (2007). Imperialism and nationalism: The Home Rule struggle and border creation in Ireland, 1885–1925. </w:t>
      </w:r>
      <w:r w:rsidRPr="00A96270">
        <w:rPr>
          <w:rFonts w:ascii="Calibri" w:hAnsi="Calibri" w:cs="Times New Roman"/>
          <w:i/>
          <w:iCs/>
          <w:noProof/>
          <w:szCs w:val="24"/>
        </w:rPr>
        <w:t>Political Geography</w:t>
      </w:r>
      <w:r w:rsidRPr="00A96270">
        <w:rPr>
          <w:rFonts w:ascii="Calibri" w:hAnsi="Calibri" w:cs="Times New Roman"/>
          <w:noProof/>
          <w:szCs w:val="24"/>
        </w:rPr>
        <w:t xml:space="preserve">, </w:t>
      </w:r>
      <w:r w:rsidRPr="00A96270">
        <w:rPr>
          <w:rFonts w:ascii="Calibri" w:hAnsi="Calibri" w:cs="Times New Roman"/>
          <w:i/>
          <w:iCs/>
          <w:noProof/>
          <w:szCs w:val="24"/>
        </w:rPr>
        <w:t>26</w:t>
      </w:r>
      <w:r w:rsidRPr="00A96270">
        <w:rPr>
          <w:rFonts w:ascii="Calibri" w:hAnsi="Calibri" w:cs="Times New Roman"/>
          <w:noProof/>
          <w:szCs w:val="24"/>
        </w:rPr>
        <w:t>(8), 934–950. http://doi.org/10.1016/j.polgeo.2007.10.001</w:t>
      </w:r>
    </w:p>
    <w:p w14:paraId="02A26AE0" w14:textId="77777777" w:rsidR="00A96270" w:rsidRPr="00A96270" w:rsidRDefault="00A96270" w:rsidP="00A96270">
      <w:pPr>
        <w:widowControl w:val="0"/>
        <w:autoSpaceDE w:val="0"/>
        <w:autoSpaceDN w:val="0"/>
        <w:adjustRightInd w:val="0"/>
        <w:spacing w:line="480" w:lineRule="auto"/>
        <w:ind w:left="480" w:hanging="480"/>
        <w:rPr>
          <w:rFonts w:ascii="Calibri" w:hAnsi="Calibri" w:cs="Times New Roman"/>
          <w:noProof/>
          <w:szCs w:val="24"/>
        </w:rPr>
      </w:pPr>
      <w:r w:rsidRPr="00A96270">
        <w:rPr>
          <w:rFonts w:ascii="Calibri" w:hAnsi="Calibri" w:cs="Times New Roman"/>
          <w:noProof/>
          <w:szCs w:val="24"/>
        </w:rPr>
        <w:t xml:space="preserve">Ashe, F. (2009). Iris Robinson’s Excitable Speech: Sexuality and Conflict Transformation in Northern Ireland. </w:t>
      </w:r>
      <w:r w:rsidRPr="00A96270">
        <w:rPr>
          <w:rFonts w:ascii="Calibri" w:hAnsi="Calibri" w:cs="Times New Roman"/>
          <w:i/>
          <w:iCs/>
          <w:noProof/>
          <w:szCs w:val="24"/>
        </w:rPr>
        <w:t>Politics</w:t>
      </w:r>
      <w:r w:rsidRPr="00A96270">
        <w:rPr>
          <w:rFonts w:ascii="Calibri" w:hAnsi="Calibri" w:cs="Times New Roman"/>
          <w:noProof/>
          <w:szCs w:val="24"/>
        </w:rPr>
        <w:t xml:space="preserve">, </w:t>
      </w:r>
      <w:r w:rsidRPr="00A96270">
        <w:rPr>
          <w:rFonts w:ascii="Calibri" w:hAnsi="Calibri" w:cs="Times New Roman"/>
          <w:i/>
          <w:iCs/>
          <w:noProof/>
          <w:szCs w:val="24"/>
        </w:rPr>
        <w:t>29</w:t>
      </w:r>
      <w:r w:rsidRPr="00A96270">
        <w:rPr>
          <w:rFonts w:ascii="Calibri" w:hAnsi="Calibri" w:cs="Times New Roman"/>
          <w:noProof/>
          <w:szCs w:val="24"/>
        </w:rPr>
        <w:t>(1), 20–27.</w:t>
      </w:r>
    </w:p>
    <w:p w14:paraId="2BEACFC5" w14:textId="77777777" w:rsidR="00A96270" w:rsidRPr="00A96270" w:rsidRDefault="00A96270" w:rsidP="00A96270">
      <w:pPr>
        <w:widowControl w:val="0"/>
        <w:autoSpaceDE w:val="0"/>
        <w:autoSpaceDN w:val="0"/>
        <w:adjustRightInd w:val="0"/>
        <w:spacing w:line="480" w:lineRule="auto"/>
        <w:ind w:left="480" w:hanging="480"/>
        <w:rPr>
          <w:rFonts w:ascii="Calibri" w:hAnsi="Calibri" w:cs="Times New Roman"/>
          <w:noProof/>
          <w:szCs w:val="24"/>
        </w:rPr>
      </w:pPr>
      <w:r w:rsidRPr="00A96270">
        <w:rPr>
          <w:rFonts w:ascii="Calibri" w:hAnsi="Calibri" w:cs="Times New Roman"/>
          <w:noProof/>
          <w:szCs w:val="24"/>
        </w:rPr>
        <w:t xml:space="preserve">Breen, R. (2000). Class inequality and social mobility in Northern Ireland, 1973 to 1996. </w:t>
      </w:r>
      <w:r w:rsidRPr="00A96270">
        <w:rPr>
          <w:rFonts w:ascii="Calibri" w:hAnsi="Calibri" w:cs="Times New Roman"/>
          <w:i/>
          <w:iCs/>
          <w:noProof/>
          <w:szCs w:val="24"/>
        </w:rPr>
        <w:t>American Sociological Review</w:t>
      </w:r>
      <w:r w:rsidRPr="00A96270">
        <w:rPr>
          <w:rFonts w:ascii="Calibri" w:hAnsi="Calibri" w:cs="Times New Roman"/>
          <w:noProof/>
          <w:szCs w:val="24"/>
        </w:rPr>
        <w:t xml:space="preserve">, </w:t>
      </w:r>
      <w:r w:rsidRPr="00A96270">
        <w:rPr>
          <w:rFonts w:ascii="Calibri" w:hAnsi="Calibri" w:cs="Times New Roman"/>
          <w:i/>
          <w:iCs/>
          <w:noProof/>
          <w:szCs w:val="24"/>
        </w:rPr>
        <w:t>65</w:t>
      </w:r>
      <w:r w:rsidRPr="00A96270">
        <w:rPr>
          <w:rFonts w:ascii="Calibri" w:hAnsi="Calibri" w:cs="Times New Roman"/>
          <w:noProof/>
          <w:szCs w:val="24"/>
        </w:rPr>
        <w:t>(3), 392–406.</w:t>
      </w:r>
    </w:p>
    <w:p w14:paraId="6A317B7A" w14:textId="77777777" w:rsidR="00A96270" w:rsidRPr="00A96270" w:rsidRDefault="00A96270" w:rsidP="00A96270">
      <w:pPr>
        <w:widowControl w:val="0"/>
        <w:autoSpaceDE w:val="0"/>
        <w:autoSpaceDN w:val="0"/>
        <w:adjustRightInd w:val="0"/>
        <w:spacing w:line="480" w:lineRule="auto"/>
        <w:ind w:left="480" w:hanging="480"/>
        <w:rPr>
          <w:rFonts w:ascii="Calibri" w:hAnsi="Calibri" w:cs="Times New Roman"/>
          <w:noProof/>
          <w:szCs w:val="24"/>
        </w:rPr>
      </w:pPr>
      <w:r w:rsidRPr="00A96270">
        <w:rPr>
          <w:rFonts w:ascii="Calibri" w:hAnsi="Calibri" w:cs="Times New Roman"/>
          <w:noProof/>
          <w:szCs w:val="24"/>
        </w:rPr>
        <w:t xml:space="preserve">Buchanan, S. (2008). Transforming Conflict in Northern Ireland and the Border Counties: Some Lessons from the Peace Programmes on Valuing Participative Democracy. </w:t>
      </w:r>
      <w:r w:rsidRPr="00A96270">
        <w:rPr>
          <w:rFonts w:ascii="Calibri" w:hAnsi="Calibri" w:cs="Times New Roman"/>
          <w:i/>
          <w:iCs/>
          <w:noProof/>
          <w:szCs w:val="24"/>
        </w:rPr>
        <w:t>Irish Political Studies</w:t>
      </w:r>
      <w:r w:rsidRPr="00A96270">
        <w:rPr>
          <w:rFonts w:ascii="Calibri" w:hAnsi="Calibri" w:cs="Times New Roman"/>
          <w:noProof/>
          <w:szCs w:val="24"/>
        </w:rPr>
        <w:t xml:space="preserve">, </w:t>
      </w:r>
      <w:r w:rsidRPr="00A96270">
        <w:rPr>
          <w:rFonts w:ascii="Calibri" w:hAnsi="Calibri" w:cs="Times New Roman"/>
          <w:i/>
          <w:iCs/>
          <w:noProof/>
          <w:szCs w:val="24"/>
        </w:rPr>
        <w:t>23</w:t>
      </w:r>
      <w:r w:rsidRPr="00A96270">
        <w:rPr>
          <w:rFonts w:ascii="Calibri" w:hAnsi="Calibri" w:cs="Times New Roman"/>
          <w:noProof/>
          <w:szCs w:val="24"/>
        </w:rPr>
        <w:t>(3), 387–409. http://doi.org/10.1080/07907180802246719</w:t>
      </w:r>
    </w:p>
    <w:p w14:paraId="075AF009" w14:textId="77777777" w:rsidR="00A96270" w:rsidRPr="00A96270" w:rsidRDefault="00A96270" w:rsidP="00A96270">
      <w:pPr>
        <w:widowControl w:val="0"/>
        <w:autoSpaceDE w:val="0"/>
        <w:autoSpaceDN w:val="0"/>
        <w:adjustRightInd w:val="0"/>
        <w:spacing w:line="480" w:lineRule="auto"/>
        <w:ind w:left="480" w:hanging="480"/>
        <w:rPr>
          <w:rFonts w:ascii="Calibri" w:hAnsi="Calibri" w:cs="Times New Roman"/>
          <w:noProof/>
          <w:szCs w:val="24"/>
        </w:rPr>
      </w:pPr>
      <w:r w:rsidRPr="00A96270">
        <w:rPr>
          <w:rFonts w:ascii="Calibri" w:hAnsi="Calibri" w:cs="Times New Roman"/>
          <w:noProof/>
          <w:szCs w:val="24"/>
        </w:rPr>
        <w:t xml:space="preserve">Curran, P. S. (2001). Psychiatric implications of chronic civilian strife or war: Northern Ireland. </w:t>
      </w:r>
      <w:r w:rsidRPr="00A96270">
        <w:rPr>
          <w:rFonts w:ascii="Calibri" w:hAnsi="Calibri" w:cs="Times New Roman"/>
          <w:i/>
          <w:iCs/>
          <w:noProof/>
          <w:szCs w:val="24"/>
        </w:rPr>
        <w:t>Advances in Psychiatric Treatment</w:t>
      </w:r>
      <w:r w:rsidRPr="00A96270">
        <w:rPr>
          <w:rFonts w:ascii="Calibri" w:hAnsi="Calibri" w:cs="Times New Roman"/>
          <w:noProof/>
          <w:szCs w:val="24"/>
        </w:rPr>
        <w:t xml:space="preserve">, </w:t>
      </w:r>
      <w:r w:rsidRPr="00A96270">
        <w:rPr>
          <w:rFonts w:ascii="Calibri" w:hAnsi="Calibri" w:cs="Times New Roman"/>
          <w:i/>
          <w:iCs/>
          <w:noProof/>
          <w:szCs w:val="24"/>
        </w:rPr>
        <w:t>7</w:t>
      </w:r>
      <w:r w:rsidRPr="00A96270">
        <w:rPr>
          <w:rFonts w:ascii="Calibri" w:hAnsi="Calibri" w:cs="Times New Roman"/>
          <w:noProof/>
          <w:szCs w:val="24"/>
        </w:rPr>
        <w:t>(1), 73–80. http://doi.org/10.1192/apt.7.1.73</w:t>
      </w:r>
    </w:p>
    <w:p w14:paraId="46B72E49" w14:textId="77777777" w:rsidR="00A96270" w:rsidRPr="00A96270" w:rsidRDefault="00A96270" w:rsidP="00A96270">
      <w:pPr>
        <w:widowControl w:val="0"/>
        <w:autoSpaceDE w:val="0"/>
        <w:autoSpaceDN w:val="0"/>
        <w:adjustRightInd w:val="0"/>
        <w:spacing w:line="480" w:lineRule="auto"/>
        <w:ind w:left="480" w:hanging="480"/>
        <w:rPr>
          <w:rFonts w:ascii="Calibri" w:hAnsi="Calibri" w:cs="Times New Roman"/>
          <w:noProof/>
          <w:szCs w:val="24"/>
        </w:rPr>
      </w:pPr>
      <w:r w:rsidRPr="00A96270">
        <w:rPr>
          <w:rFonts w:ascii="Calibri" w:hAnsi="Calibri" w:cs="Times New Roman"/>
          <w:noProof/>
          <w:szCs w:val="24"/>
        </w:rPr>
        <w:lastRenderedPageBreak/>
        <w:t xml:space="preserve">Durkheim, E. (1951). Suicide, a study in sociology. </w:t>
      </w:r>
      <w:r w:rsidRPr="00A96270">
        <w:rPr>
          <w:rFonts w:ascii="Calibri" w:hAnsi="Calibri" w:cs="Times New Roman"/>
          <w:i/>
          <w:iCs/>
          <w:noProof/>
          <w:szCs w:val="24"/>
        </w:rPr>
        <w:t>New York Free Press</w:t>
      </w:r>
      <w:r w:rsidRPr="00A96270">
        <w:rPr>
          <w:rFonts w:ascii="Calibri" w:hAnsi="Calibri" w:cs="Times New Roman"/>
          <w:noProof/>
          <w:szCs w:val="24"/>
        </w:rPr>
        <w:t xml:space="preserve">, </w:t>
      </w:r>
      <w:r w:rsidRPr="00A96270">
        <w:rPr>
          <w:rFonts w:ascii="Calibri" w:hAnsi="Calibri" w:cs="Times New Roman"/>
          <w:i/>
          <w:iCs/>
          <w:noProof/>
          <w:szCs w:val="24"/>
        </w:rPr>
        <w:t>3</w:t>
      </w:r>
      <w:r w:rsidRPr="00A96270">
        <w:rPr>
          <w:rFonts w:ascii="Calibri" w:hAnsi="Calibri" w:cs="Times New Roman"/>
          <w:noProof/>
          <w:szCs w:val="24"/>
        </w:rPr>
        <w:t>, 405. http://doi.org/10.2307/2088294</w:t>
      </w:r>
    </w:p>
    <w:p w14:paraId="7C777604" w14:textId="77777777" w:rsidR="00A96270" w:rsidRPr="00A96270" w:rsidRDefault="00A96270" w:rsidP="00A96270">
      <w:pPr>
        <w:widowControl w:val="0"/>
        <w:autoSpaceDE w:val="0"/>
        <w:autoSpaceDN w:val="0"/>
        <w:adjustRightInd w:val="0"/>
        <w:spacing w:line="480" w:lineRule="auto"/>
        <w:ind w:left="480" w:hanging="480"/>
        <w:rPr>
          <w:rFonts w:ascii="Calibri" w:hAnsi="Calibri" w:cs="Times New Roman"/>
          <w:noProof/>
          <w:szCs w:val="24"/>
        </w:rPr>
      </w:pPr>
      <w:r w:rsidRPr="00A96270">
        <w:rPr>
          <w:rFonts w:ascii="Calibri" w:hAnsi="Calibri" w:cs="Times New Roman"/>
          <w:noProof/>
          <w:szCs w:val="24"/>
        </w:rPr>
        <w:t xml:space="preserve">Findley, M. G. (2008). Agents and conflict: Adaptation and the dynamics of war. </w:t>
      </w:r>
      <w:r w:rsidRPr="00A96270">
        <w:rPr>
          <w:rFonts w:ascii="Calibri" w:hAnsi="Calibri" w:cs="Times New Roman"/>
          <w:i/>
          <w:iCs/>
          <w:noProof/>
          <w:szCs w:val="24"/>
        </w:rPr>
        <w:t>Complexity</w:t>
      </w:r>
      <w:r w:rsidRPr="00A96270">
        <w:rPr>
          <w:rFonts w:ascii="Calibri" w:hAnsi="Calibri" w:cs="Times New Roman"/>
          <w:noProof/>
          <w:szCs w:val="24"/>
        </w:rPr>
        <w:t xml:space="preserve">, </w:t>
      </w:r>
      <w:r w:rsidRPr="00A96270">
        <w:rPr>
          <w:rFonts w:ascii="Calibri" w:hAnsi="Calibri" w:cs="Times New Roman"/>
          <w:i/>
          <w:iCs/>
          <w:noProof/>
          <w:szCs w:val="24"/>
        </w:rPr>
        <w:t>14</w:t>
      </w:r>
      <w:r w:rsidRPr="00A96270">
        <w:rPr>
          <w:rFonts w:ascii="Calibri" w:hAnsi="Calibri" w:cs="Times New Roman"/>
          <w:noProof/>
          <w:szCs w:val="24"/>
        </w:rPr>
        <w:t>(1), 22–35. http://doi.org/10.1002/cplx.20232</w:t>
      </w:r>
    </w:p>
    <w:p w14:paraId="0DF76CF2" w14:textId="77777777" w:rsidR="00A96270" w:rsidRPr="00A96270" w:rsidRDefault="00A96270" w:rsidP="00A96270">
      <w:pPr>
        <w:widowControl w:val="0"/>
        <w:autoSpaceDE w:val="0"/>
        <w:autoSpaceDN w:val="0"/>
        <w:adjustRightInd w:val="0"/>
        <w:spacing w:line="480" w:lineRule="auto"/>
        <w:ind w:left="480" w:hanging="480"/>
        <w:rPr>
          <w:rFonts w:ascii="Calibri" w:hAnsi="Calibri" w:cs="Times New Roman"/>
          <w:noProof/>
          <w:szCs w:val="24"/>
        </w:rPr>
      </w:pPr>
      <w:r w:rsidRPr="00A96270">
        <w:rPr>
          <w:rFonts w:ascii="Calibri" w:hAnsi="Calibri" w:cs="Times New Roman"/>
          <w:noProof/>
          <w:szCs w:val="24"/>
        </w:rPr>
        <w:t xml:space="preserve">Gerike, R., de Nazelle, A., Nieuwenhuijsen, M., Panis, L. I., Anaya, E., Avila-Palencia, I., … Götschi, T. (2016). Physical Activity through Sustainable Transport Approaches (PASTA): a study protocol for a multicentre project. </w:t>
      </w:r>
      <w:r w:rsidRPr="00A96270">
        <w:rPr>
          <w:rFonts w:ascii="Calibri" w:hAnsi="Calibri" w:cs="Times New Roman"/>
          <w:i/>
          <w:iCs/>
          <w:noProof/>
          <w:szCs w:val="24"/>
        </w:rPr>
        <w:t>BMJ Open</w:t>
      </w:r>
      <w:r w:rsidRPr="00A96270">
        <w:rPr>
          <w:rFonts w:ascii="Calibri" w:hAnsi="Calibri" w:cs="Times New Roman"/>
          <w:noProof/>
          <w:szCs w:val="24"/>
        </w:rPr>
        <w:t xml:space="preserve">, </w:t>
      </w:r>
      <w:r w:rsidRPr="00A96270">
        <w:rPr>
          <w:rFonts w:ascii="Calibri" w:hAnsi="Calibri" w:cs="Times New Roman"/>
          <w:i/>
          <w:iCs/>
          <w:noProof/>
          <w:szCs w:val="24"/>
        </w:rPr>
        <w:t>6</w:t>
      </w:r>
      <w:r w:rsidRPr="00A96270">
        <w:rPr>
          <w:rFonts w:ascii="Calibri" w:hAnsi="Calibri" w:cs="Times New Roman"/>
          <w:noProof/>
          <w:szCs w:val="24"/>
        </w:rPr>
        <w:t>(1), e009924. http://doi.org/10.1136/bmjopen-2015-009924</w:t>
      </w:r>
    </w:p>
    <w:p w14:paraId="681B2C32" w14:textId="77777777" w:rsidR="00A96270" w:rsidRPr="00A96270" w:rsidRDefault="00A96270" w:rsidP="00A96270">
      <w:pPr>
        <w:widowControl w:val="0"/>
        <w:autoSpaceDE w:val="0"/>
        <w:autoSpaceDN w:val="0"/>
        <w:adjustRightInd w:val="0"/>
        <w:spacing w:line="480" w:lineRule="auto"/>
        <w:ind w:left="480" w:hanging="480"/>
        <w:rPr>
          <w:rFonts w:ascii="Calibri" w:hAnsi="Calibri" w:cs="Times New Roman"/>
          <w:noProof/>
          <w:szCs w:val="24"/>
        </w:rPr>
      </w:pPr>
      <w:r w:rsidRPr="00A96270">
        <w:rPr>
          <w:rFonts w:ascii="Calibri" w:hAnsi="Calibri" w:cs="Times New Roman"/>
          <w:noProof/>
          <w:szCs w:val="24"/>
        </w:rPr>
        <w:t xml:space="preserve">Goddard, S. E. (2012). Brokering Peace: Networks, Legitimacy, and the Northern Ireland Peace Process. </w:t>
      </w:r>
      <w:r w:rsidRPr="00A96270">
        <w:rPr>
          <w:rFonts w:ascii="Calibri" w:hAnsi="Calibri" w:cs="Times New Roman"/>
          <w:i/>
          <w:iCs/>
          <w:noProof/>
          <w:szCs w:val="24"/>
        </w:rPr>
        <w:t>International Studies Quarterly</w:t>
      </w:r>
      <w:r w:rsidRPr="00A96270">
        <w:rPr>
          <w:rFonts w:ascii="Calibri" w:hAnsi="Calibri" w:cs="Times New Roman"/>
          <w:noProof/>
          <w:szCs w:val="24"/>
        </w:rPr>
        <w:t xml:space="preserve">, </w:t>
      </w:r>
      <w:r w:rsidRPr="00A96270">
        <w:rPr>
          <w:rFonts w:ascii="Calibri" w:hAnsi="Calibri" w:cs="Times New Roman"/>
          <w:i/>
          <w:iCs/>
          <w:noProof/>
          <w:szCs w:val="24"/>
        </w:rPr>
        <w:t>56</w:t>
      </w:r>
      <w:r w:rsidRPr="00A96270">
        <w:rPr>
          <w:rFonts w:ascii="Calibri" w:hAnsi="Calibri" w:cs="Times New Roman"/>
          <w:noProof/>
          <w:szCs w:val="24"/>
        </w:rPr>
        <w:t>(3), 501–515. http://doi.org/10.1111/j.1468-2478.2012.00737.x</w:t>
      </w:r>
    </w:p>
    <w:p w14:paraId="757B616A" w14:textId="77777777" w:rsidR="00A96270" w:rsidRPr="00A96270" w:rsidRDefault="00A96270" w:rsidP="00A96270">
      <w:pPr>
        <w:widowControl w:val="0"/>
        <w:autoSpaceDE w:val="0"/>
        <w:autoSpaceDN w:val="0"/>
        <w:adjustRightInd w:val="0"/>
        <w:spacing w:line="480" w:lineRule="auto"/>
        <w:ind w:left="480" w:hanging="480"/>
        <w:rPr>
          <w:rFonts w:ascii="Calibri" w:hAnsi="Calibri" w:cs="Times New Roman"/>
          <w:noProof/>
          <w:szCs w:val="24"/>
        </w:rPr>
      </w:pPr>
      <w:r w:rsidRPr="00A96270">
        <w:rPr>
          <w:rFonts w:ascii="Calibri" w:hAnsi="Calibri" w:cs="Times New Roman"/>
          <w:noProof/>
          <w:szCs w:val="24"/>
        </w:rPr>
        <w:t xml:space="preserve">Karari, P., Byrne, S., Skarlato, O., Ahmed, K., &amp; Hyde, J. M. (2013). The role of external economic assistance in nurturing cross-community contact and reconciliation in Northern Ireland and the Border Counties. </w:t>
      </w:r>
      <w:r w:rsidRPr="00A96270">
        <w:rPr>
          <w:rFonts w:ascii="Calibri" w:hAnsi="Calibri" w:cs="Times New Roman"/>
          <w:i/>
          <w:iCs/>
          <w:noProof/>
          <w:szCs w:val="24"/>
        </w:rPr>
        <w:t>Community Development Journal</w:t>
      </w:r>
      <w:r w:rsidRPr="00A96270">
        <w:rPr>
          <w:rFonts w:ascii="Calibri" w:hAnsi="Calibri" w:cs="Times New Roman"/>
          <w:noProof/>
          <w:szCs w:val="24"/>
        </w:rPr>
        <w:t xml:space="preserve">, </w:t>
      </w:r>
      <w:r w:rsidRPr="00A96270">
        <w:rPr>
          <w:rFonts w:ascii="Calibri" w:hAnsi="Calibri" w:cs="Times New Roman"/>
          <w:i/>
          <w:iCs/>
          <w:noProof/>
          <w:szCs w:val="24"/>
        </w:rPr>
        <w:t>48</w:t>
      </w:r>
      <w:r w:rsidRPr="00A96270">
        <w:rPr>
          <w:rFonts w:ascii="Calibri" w:hAnsi="Calibri" w:cs="Times New Roman"/>
          <w:noProof/>
          <w:szCs w:val="24"/>
        </w:rPr>
        <w:t>(4), 587–604. http://doi.org/10.1093/cdj/bss054</w:t>
      </w:r>
    </w:p>
    <w:p w14:paraId="195504E3" w14:textId="77777777" w:rsidR="00A96270" w:rsidRPr="00A96270" w:rsidRDefault="00A96270" w:rsidP="00A96270">
      <w:pPr>
        <w:widowControl w:val="0"/>
        <w:autoSpaceDE w:val="0"/>
        <w:autoSpaceDN w:val="0"/>
        <w:adjustRightInd w:val="0"/>
        <w:spacing w:line="480" w:lineRule="auto"/>
        <w:ind w:left="480" w:hanging="480"/>
        <w:rPr>
          <w:rFonts w:ascii="Calibri" w:hAnsi="Calibri" w:cs="Times New Roman"/>
          <w:noProof/>
          <w:szCs w:val="24"/>
        </w:rPr>
      </w:pPr>
      <w:r w:rsidRPr="00A96270">
        <w:rPr>
          <w:rFonts w:ascii="Calibri" w:hAnsi="Calibri" w:cs="Times New Roman"/>
          <w:noProof/>
          <w:szCs w:val="24"/>
        </w:rPr>
        <w:t xml:space="preserve">Kauff, M., Schmid, K., Lolliot, S., Al Ramiah, A., &amp; Hewstone, M. (2016). Intergroup Contact Effects via Ingroup Distancing among Majority and Minority Groups: Moderation by Social Dominance Orientation. </w:t>
      </w:r>
      <w:r w:rsidRPr="00A96270">
        <w:rPr>
          <w:rFonts w:ascii="Calibri" w:hAnsi="Calibri" w:cs="Times New Roman"/>
          <w:i/>
          <w:iCs/>
          <w:noProof/>
          <w:szCs w:val="24"/>
        </w:rPr>
        <w:t>PLOS ONE</w:t>
      </w:r>
      <w:r w:rsidRPr="00A96270">
        <w:rPr>
          <w:rFonts w:ascii="Calibri" w:hAnsi="Calibri" w:cs="Times New Roman"/>
          <w:noProof/>
          <w:szCs w:val="24"/>
        </w:rPr>
        <w:t xml:space="preserve">, </w:t>
      </w:r>
      <w:r w:rsidRPr="00A96270">
        <w:rPr>
          <w:rFonts w:ascii="Calibri" w:hAnsi="Calibri" w:cs="Times New Roman"/>
          <w:i/>
          <w:iCs/>
          <w:noProof/>
          <w:szCs w:val="24"/>
        </w:rPr>
        <w:t>11</w:t>
      </w:r>
      <w:r w:rsidRPr="00A96270">
        <w:rPr>
          <w:rFonts w:ascii="Calibri" w:hAnsi="Calibri" w:cs="Times New Roman"/>
          <w:noProof/>
          <w:szCs w:val="24"/>
        </w:rPr>
        <w:t>(1), e0146895. http://doi.org/10.1371/journal.pone.0146895</w:t>
      </w:r>
    </w:p>
    <w:p w14:paraId="6DA94929" w14:textId="77777777" w:rsidR="00A96270" w:rsidRPr="00A96270" w:rsidRDefault="00A96270" w:rsidP="00A96270">
      <w:pPr>
        <w:widowControl w:val="0"/>
        <w:autoSpaceDE w:val="0"/>
        <w:autoSpaceDN w:val="0"/>
        <w:adjustRightInd w:val="0"/>
        <w:spacing w:line="480" w:lineRule="auto"/>
        <w:ind w:left="480" w:hanging="480"/>
        <w:rPr>
          <w:rFonts w:ascii="Calibri" w:hAnsi="Calibri" w:cs="Times New Roman"/>
          <w:noProof/>
          <w:szCs w:val="24"/>
        </w:rPr>
      </w:pPr>
      <w:r w:rsidRPr="00A96270">
        <w:rPr>
          <w:rFonts w:ascii="Calibri" w:hAnsi="Calibri" w:cs="Times New Roman"/>
          <w:noProof/>
          <w:szCs w:val="24"/>
        </w:rPr>
        <w:t xml:space="preserve">Leonard, M. (2004). Bonding and bridging social capital: Reflections from Belfast. </w:t>
      </w:r>
      <w:r w:rsidRPr="00A96270">
        <w:rPr>
          <w:rFonts w:ascii="Calibri" w:hAnsi="Calibri" w:cs="Times New Roman"/>
          <w:i/>
          <w:iCs/>
          <w:noProof/>
          <w:szCs w:val="24"/>
        </w:rPr>
        <w:t>Sociology-the Journal of the British Sociological Association</w:t>
      </w:r>
      <w:r w:rsidRPr="00A96270">
        <w:rPr>
          <w:rFonts w:ascii="Calibri" w:hAnsi="Calibri" w:cs="Times New Roman"/>
          <w:noProof/>
          <w:szCs w:val="24"/>
        </w:rPr>
        <w:t xml:space="preserve">, </w:t>
      </w:r>
      <w:r w:rsidRPr="00A96270">
        <w:rPr>
          <w:rFonts w:ascii="Calibri" w:hAnsi="Calibri" w:cs="Times New Roman"/>
          <w:i/>
          <w:iCs/>
          <w:noProof/>
          <w:szCs w:val="24"/>
        </w:rPr>
        <w:t>38</w:t>
      </w:r>
      <w:r w:rsidRPr="00A96270">
        <w:rPr>
          <w:rFonts w:ascii="Calibri" w:hAnsi="Calibri" w:cs="Times New Roman"/>
          <w:noProof/>
          <w:szCs w:val="24"/>
        </w:rPr>
        <w:t>(5), 927–944.</w:t>
      </w:r>
    </w:p>
    <w:p w14:paraId="12689BCA" w14:textId="77777777" w:rsidR="00A96270" w:rsidRPr="00A96270" w:rsidRDefault="00A96270" w:rsidP="00A96270">
      <w:pPr>
        <w:widowControl w:val="0"/>
        <w:autoSpaceDE w:val="0"/>
        <w:autoSpaceDN w:val="0"/>
        <w:adjustRightInd w:val="0"/>
        <w:spacing w:line="480" w:lineRule="auto"/>
        <w:ind w:left="480" w:hanging="480"/>
        <w:rPr>
          <w:rFonts w:ascii="Calibri" w:hAnsi="Calibri" w:cs="Times New Roman"/>
          <w:noProof/>
          <w:szCs w:val="24"/>
        </w:rPr>
      </w:pPr>
      <w:r w:rsidRPr="00A96270">
        <w:rPr>
          <w:rFonts w:ascii="Calibri" w:hAnsi="Calibri" w:cs="Times New Roman"/>
          <w:noProof/>
          <w:szCs w:val="24"/>
        </w:rPr>
        <w:t xml:space="preserve">Lester, D. (2002). The “troubles” in Northern Ireland and suicide. </w:t>
      </w:r>
      <w:r w:rsidRPr="00A96270">
        <w:rPr>
          <w:rFonts w:ascii="Calibri" w:hAnsi="Calibri" w:cs="Times New Roman"/>
          <w:i/>
          <w:iCs/>
          <w:noProof/>
          <w:szCs w:val="24"/>
        </w:rPr>
        <w:t>Psychological Reports</w:t>
      </w:r>
      <w:r w:rsidRPr="00A96270">
        <w:rPr>
          <w:rFonts w:ascii="Calibri" w:hAnsi="Calibri" w:cs="Times New Roman"/>
          <w:noProof/>
          <w:szCs w:val="24"/>
        </w:rPr>
        <w:t xml:space="preserve">, </w:t>
      </w:r>
      <w:r w:rsidRPr="00A96270">
        <w:rPr>
          <w:rFonts w:ascii="Calibri" w:hAnsi="Calibri" w:cs="Times New Roman"/>
          <w:i/>
          <w:iCs/>
          <w:noProof/>
          <w:szCs w:val="24"/>
        </w:rPr>
        <w:t>90</w:t>
      </w:r>
      <w:r w:rsidRPr="00A96270">
        <w:rPr>
          <w:rFonts w:ascii="Calibri" w:hAnsi="Calibri" w:cs="Times New Roman"/>
          <w:noProof/>
          <w:szCs w:val="24"/>
        </w:rPr>
        <w:t>(3), 722.</w:t>
      </w:r>
    </w:p>
    <w:p w14:paraId="522D4B74" w14:textId="77777777" w:rsidR="00A96270" w:rsidRPr="00A96270" w:rsidRDefault="00A96270" w:rsidP="00A96270">
      <w:pPr>
        <w:widowControl w:val="0"/>
        <w:autoSpaceDE w:val="0"/>
        <w:autoSpaceDN w:val="0"/>
        <w:adjustRightInd w:val="0"/>
        <w:spacing w:line="480" w:lineRule="auto"/>
        <w:ind w:left="480" w:hanging="480"/>
        <w:rPr>
          <w:rFonts w:ascii="Calibri" w:hAnsi="Calibri" w:cs="Times New Roman"/>
          <w:noProof/>
          <w:szCs w:val="24"/>
        </w:rPr>
      </w:pPr>
      <w:r w:rsidRPr="00A96270">
        <w:rPr>
          <w:rFonts w:ascii="Calibri" w:hAnsi="Calibri" w:cs="Times New Roman"/>
          <w:noProof/>
          <w:szCs w:val="24"/>
        </w:rPr>
        <w:t xml:space="preserve">McDowell, S. (2008). Selling Conflict Heritage through Tourism in Peacetime Northern Ireland: Transforming Conflict or Exacerbating Difference? </w:t>
      </w:r>
      <w:r w:rsidRPr="00A96270">
        <w:rPr>
          <w:rFonts w:ascii="Calibri" w:hAnsi="Calibri" w:cs="Times New Roman"/>
          <w:i/>
          <w:iCs/>
          <w:noProof/>
          <w:szCs w:val="24"/>
        </w:rPr>
        <w:t>International Journal of Heritage Studies</w:t>
      </w:r>
      <w:r w:rsidRPr="00A96270">
        <w:rPr>
          <w:rFonts w:ascii="Calibri" w:hAnsi="Calibri" w:cs="Times New Roman"/>
          <w:noProof/>
          <w:szCs w:val="24"/>
        </w:rPr>
        <w:t xml:space="preserve">, </w:t>
      </w:r>
      <w:r w:rsidRPr="00A96270">
        <w:rPr>
          <w:rFonts w:ascii="Calibri" w:hAnsi="Calibri" w:cs="Times New Roman"/>
          <w:i/>
          <w:iCs/>
          <w:noProof/>
          <w:szCs w:val="24"/>
        </w:rPr>
        <w:t>14</w:t>
      </w:r>
      <w:r w:rsidRPr="00A96270">
        <w:rPr>
          <w:rFonts w:ascii="Calibri" w:hAnsi="Calibri" w:cs="Times New Roman"/>
          <w:noProof/>
          <w:szCs w:val="24"/>
        </w:rPr>
        <w:t>(5), 405–421. http://doi.org/10.1080/13527250802284859</w:t>
      </w:r>
    </w:p>
    <w:p w14:paraId="2EB48E63" w14:textId="77777777" w:rsidR="00A96270" w:rsidRPr="00A96270" w:rsidRDefault="00A96270" w:rsidP="00A96270">
      <w:pPr>
        <w:widowControl w:val="0"/>
        <w:autoSpaceDE w:val="0"/>
        <w:autoSpaceDN w:val="0"/>
        <w:adjustRightInd w:val="0"/>
        <w:spacing w:line="480" w:lineRule="auto"/>
        <w:ind w:left="480" w:hanging="480"/>
        <w:rPr>
          <w:rFonts w:ascii="Calibri" w:hAnsi="Calibri" w:cs="Times New Roman"/>
          <w:noProof/>
          <w:szCs w:val="24"/>
        </w:rPr>
      </w:pPr>
      <w:r w:rsidRPr="00A96270">
        <w:rPr>
          <w:rFonts w:ascii="Calibri" w:hAnsi="Calibri" w:cs="Times New Roman"/>
          <w:noProof/>
          <w:szCs w:val="24"/>
        </w:rPr>
        <w:lastRenderedPageBreak/>
        <w:t xml:space="preserve">McGlynn, C., Tonge, J., &amp; McAuley, J. (2014). The Party Politics of Post-Devolution Identity in Northern Ireland. </w:t>
      </w:r>
      <w:r w:rsidRPr="00A96270">
        <w:rPr>
          <w:rFonts w:ascii="Calibri" w:hAnsi="Calibri" w:cs="Times New Roman"/>
          <w:i/>
          <w:iCs/>
          <w:noProof/>
          <w:szCs w:val="24"/>
        </w:rPr>
        <w:t>The British Journal of Politics and International Relations</w:t>
      </w:r>
      <w:r w:rsidRPr="00A96270">
        <w:rPr>
          <w:rFonts w:ascii="Calibri" w:hAnsi="Calibri" w:cs="Times New Roman"/>
          <w:noProof/>
          <w:szCs w:val="24"/>
        </w:rPr>
        <w:t xml:space="preserve">, </w:t>
      </w:r>
      <w:r w:rsidRPr="00A96270">
        <w:rPr>
          <w:rFonts w:ascii="Calibri" w:hAnsi="Calibri" w:cs="Times New Roman"/>
          <w:i/>
          <w:iCs/>
          <w:noProof/>
          <w:szCs w:val="24"/>
        </w:rPr>
        <w:t>16</w:t>
      </w:r>
      <w:r w:rsidRPr="00A96270">
        <w:rPr>
          <w:rFonts w:ascii="Calibri" w:hAnsi="Calibri" w:cs="Times New Roman"/>
          <w:noProof/>
          <w:szCs w:val="24"/>
        </w:rPr>
        <w:t>(2), 273–290. http://doi.org/10.1111/j.1467-856X.2012.00528.x</w:t>
      </w:r>
    </w:p>
    <w:p w14:paraId="5FC73F5C" w14:textId="77777777" w:rsidR="00A96270" w:rsidRPr="00A96270" w:rsidRDefault="00A96270" w:rsidP="00A96270">
      <w:pPr>
        <w:widowControl w:val="0"/>
        <w:autoSpaceDE w:val="0"/>
        <w:autoSpaceDN w:val="0"/>
        <w:adjustRightInd w:val="0"/>
        <w:spacing w:line="480" w:lineRule="auto"/>
        <w:ind w:left="480" w:hanging="480"/>
        <w:rPr>
          <w:rFonts w:ascii="Calibri" w:hAnsi="Calibri" w:cs="Times New Roman"/>
          <w:noProof/>
          <w:szCs w:val="24"/>
        </w:rPr>
      </w:pPr>
      <w:r w:rsidRPr="00A96270">
        <w:rPr>
          <w:rFonts w:ascii="Calibri" w:hAnsi="Calibri" w:cs="Times New Roman"/>
          <w:noProof/>
          <w:szCs w:val="24"/>
        </w:rPr>
        <w:t xml:space="preserve">Menand, L. (2009). The Metaphysical Club. </w:t>
      </w:r>
      <w:r w:rsidRPr="00A96270">
        <w:rPr>
          <w:rFonts w:ascii="Calibri" w:hAnsi="Calibri" w:cs="Times New Roman"/>
          <w:i/>
          <w:iCs/>
          <w:noProof/>
          <w:szCs w:val="24"/>
        </w:rPr>
        <w:t>Harvard Library Bulletin</w:t>
      </w:r>
      <w:r w:rsidRPr="00A96270">
        <w:rPr>
          <w:rFonts w:ascii="Calibri" w:hAnsi="Calibri" w:cs="Times New Roman"/>
          <w:noProof/>
          <w:szCs w:val="24"/>
        </w:rPr>
        <w:t xml:space="preserve">, </w:t>
      </w:r>
      <w:r w:rsidRPr="00A96270">
        <w:rPr>
          <w:rFonts w:ascii="Calibri" w:hAnsi="Calibri" w:cs="Times New Roman"/>
          <w:i/>
          <w:iCs/>
          <w:noProof/>
          <w:szCs w:val="24"/>
        </w:rPr>
        <w:t>20</w:t>
      </w:r>
      <w:r w:rsidRPr="00A96270">
        <w:rPr>
          <w:rFonts w:ascii="Calibri" w:hAnsi="Calibri" w:cs="Times New Roman"/>
          <w:noProof/>
          <w:szCs w:val="24"/>
        </w:rPr>
        <w:t>(2), 22–23.</w:t>
      </w:r>
    </w:p>
    <w:p w14:paraId="79D68CA0" w14:textId="77777777" w:rsidR="00A96270" w:rsidRPr="00A96270" w:rsidRDefault="00A96270" w:rsidP="00A96270">
      <w:pPr>
        <w:widowControl w:val="0"/>
        <w:autoSpaceDE w:val="0"/>
        <w:autoSpaceDN w:val="0"/>
        <w:adjustRightInd w:val="0"/>
        <w:spacing w:line="480" w:lineRule="auto"/>
        <w:ind w:left="480" w:hanging="480"/>
        <w:rPr>
          <w:rFonts w:ascii="Calibri" w:hAnsi="Calibri" w:cs="Times New Roman"/>
          <w:noProof/>
          <w:szCs w:val="24"/>
        </w:rPr>
      </w:pPr>
      <w:r w:rsidRPr="00A96270">
        <w:rPr>
          <w:rFonts w:ascii="Calibri" w:hAnsi="Calibri" w:cs="Times New Roman"/>
          <w:noProof/>
          <w:szCs w:val="24"/>
        </w:rPr>
        <w:t xml:space="preserve">Merton, R. (1968). </w:t>
      </w:r>
      <w:r w:rsidRPr="00A96270">
        <w:rPr>
          <w:rFonts w:ascii="Calibri" w:hAnsi="Calibri" w:cs="Times New Roman"/>
          <w:i/>
          <w:iCs/>
          <w:noProof/>
          <w:szCs w:val="24"/>
        </w:rPr>
        <w:t>Social Theory and Social Structure</w:t>
      </w:r>
      <w:r w:rsidRPr="00A96270">
        <w:rPr>
          <w:rFonts w:ascii="Calibri" w:hAnsi="Calibri" w:cs="Times New Roman"/>
          <w:noProof/>
          <w:szCs w:val="24"/>
        </w:rPr>
        <w:t>. New York: Free Press.</w:t>
      </w:r>
    </w:p>
    <w:p w14:paraId="36DDDF05" w14:textId="77777777" w:rsidR="00A96270" w:rsidRPr="00A96270" w:rsidRDefault="00A96270" w:rsidP="00A96270">
      <w:pPr>
        <w:widowControl w:val="0"/>
        <w:autoSpaceDE w:val="0"/>
        <w:autoSpaceDN w:val="0"/>
        <w:adjustRightInd w:val="0"/>
        <w:spacing w:line="480" w:lineRule="auto"/>
        <w:ind w:left="480" w:hanging="480"/>
        <w:rPr>
          <w:rFonts w:ascii="Calibri" w:hAnsi="Calibri" w:cs="Times New Roman"/>
          <w:noProof/>
          <w:szCs w:val="24"/>
        </w:rPr>
      </w:pPr>
      <w:r w:rsidRPr="00A96270">
        <w:rPr>
          <w:rFonts w:ascii="Calibri" w:hAnsi="Calibri" w:cs="Times New Roman"/>
          <w:noProof/>
          <w:szCs w:val="24"/>
        </w:rPr>
        <w:t xml:space="preserve">Minton, J. (2014). Real geographies and virtual landscapes: Exploring the influence on place and space on mortality Lexis surfaces using shaded contour maps. </w:t>
      </w:r>
      <w:r w:rsidRPr="00A96270">
        <w:rPr>
          <w:rFonts w:ascii="Calibri" w:hAnsi="Calibri" w:cs="Times New Roman"/>
          <w:i/>
          <w:iCs/>
          <w:noProof/>
          <w:szCs w:val="24"/>
        </w:rPr>
        <w:t>Spatial and Spatio-Temporal Epidemiology</w:t>
      </w:r>
      <w:r w:rsidRPr="00A96270">
        <w:rPr>
          <w:rFonts w:ascii="Calibri" w:hAnsi="Calibri" w:cs="Times New Roman"/>
          <w:noProof/>
          <w:szCs w:val="24"/>
        </w:rPr>
        <w:t xml:space="preserve">, </w:t>
      </w:r>
      <w:r w:rsidRPr="00A96270">
        <w:rPr>
          <w:rFonts w:ascii="Calibri" w:hAnsi="Calibri" w:cs="Times New Roman"/>
          <w:i/>
          <w:iCs/>
          <w:noProof/>
          <w:szCs w:val="24"/>
        </w:rPr>
        <w:t>10</w:t>
      </w:r>
      <w:r w:rsidRPr="00A96270">
        <w:rPr>
          <w:rFonts w:ascii="Calibri" w:hAnsi="Calibri" w:cs="Times New Roman"/>
          <w:noProof/>
          <w:szCs w:val="24"/>
        </w:rPr>
        <w:t>, 49–66. http://doi.org/10.1016/j.sste.2014.04.003</w:t>
      </w:r>
    </w:p>
    <w:p w14:paraId="78C19742" w14:textId="77777777" w:rsidR="00A96270" w:rsidRPr="00A96270" w:rsidRDefault="00A96270" w:rsidP="00A96270">
      <w:pPr>
        <w:widowControl w:val="0"/>
        <w:autoSpaceDE w:val="0"/>
        <w:autoSpaceDN w:val="0"/>
        <w:adjustRightInd w:val="0"/>
        <w:spacing w:line="480" w:lineRule="auto"/>
        <w:ind w:left="480" w:hanging="480"/>
        <w:rPr>
          <w:rFonts w:ascii="Calibri" w:hAnsi="Calibri" w:cs="Times New Roman"/>
          <w:noProof/>
          <w:szCs w:val="24"/>
        </w:rPr>
      </w:pPr>
      <w:r w:rsidRPr="00A96270">
        <w:rPr>
          <w:rFonts w:ascii="Calibri" w:hAnsi="Calibri" w:cs="Times New Roman"/>
          <w:noProof/>
          <w:szCs w:val="24"/>
        </w:rPr>
        <w:t xml:space="preserve">Minton, J., Shaw, R., Green, M. A., Vanderbloemen, L., Popham, F., &amp; McCartney, G. (2017). Visualising and quantifying “excess deaths” in Scotland compared with the rest of the UK and the rest of Western Europe. </w:t>
      </w:r>
      <w:r w:rsidRPr="00A96270">
        <w:rPr>
          <w:rFonts w:ascii="Calibri" w:hAnsi="Calibri" w:cs="Times New Roman"/>
          <w:i/>
          <w:iCs/>
          <w:noProof/>
          <w:szCs w:val="24"/>
        </w:rPr>
        <w:t>Journal of Epidemiology and Community Health</w:t>
      </w:r>
      <w:r w:rsidRPr="00A96270">
        <w:rPr>
          <w:rFonts w:ascii="Calibri" w:hAnsi="Calibri" w:cs="Times New Roman"/>
          <w:noProof/>
          <w:szCs w:val="24"/>
        </w:rPr>
        <w:t xml:space="preserve">, </w:t>
      </w:r>
      <w:r w:rsidRPr="00A96270">
        <w:rPr>
          <w:rFonts w:ascii="Calibri" w:hAnsi="Calibri" w:cs="Times New Roman"/>
          <w:i/>
          <w:iCs/>
          <w:noProof/>
          <w:szCs w:val="24"/>
        </w:rPr>
        <w:t>71</w:t>
      </w:r>
      <w:r w:rsidRPr="00A96270">
        <w:rPr>
          <w:rFonts w:ascii="Calibri" w:hAnsi="Calibri" w:cs="Times New Roman"/>
          <w:noProof/>
          <w:szCs w:val="24"/>
        </w:rPr>
        <w:t>(5), 461–467. http://doi.org/10.1136/jech-2016-207379</w:t>
      </w:r>
    </w:p>
    <w:p w14:paraId="35D4B404" w14:textId="77777777" w:rsidR="00A96270" w:rsidRPr="00A96270" w:rsidRDefault="00A96270" w:rsidP="00A96270">
      <w:pPr>
        <w:widowControl w:val="0"/>
        <w:autoSpaceDE w:val="0"/>
        <w:autoSpaceDN w:val="0"/>
        <w:adjustRightInd w:val="0"/>
        <w:spacing w:line="480" w:lineRule="auto"/>
        <w:ind w:left="480" w:hanging="480"/>
        <w:rPr>
          <w:rFonts w:ascii="Calibri" w:hAnsi="Calibri" w:cs="Times New Roman"/>
          <w:noProof/>
          <w:szCs w:val="24"/>
        </w:rPr>
      </w:pPr>
      <w:r w:rsidRPr="00A96270">
        <w:rPr>
          <w:rFonts w:ascii="Calibri" w:hAnsi="Calibri" w:cs="Times New Roman"/>
          <w:noProof/>
          <w:szCs w:val="24"/>
        </w:rPr>
        <w:t xml:space="preserve">Murtagh, C. (2015). Reaching across: institutional barriers to cross-ethnic parties in post-conflict societies and the case of Northern Ireland. </w:t>
      </w:r>
      <w:r w:rsidRPr="00A96270">
        <w:rPr>
          <w:rFonts w:ascii="Calibri" w:hAnsi="Calibri" w:cs="Times New Roman"/>
          <w:i/>
          <w:iCs/>
          <w:noProof/>
          <w:szCs w:val="24"/>
        </w:rPr>
        <w:t>Nations and Nationalism</w:t>
      </w:r>
      <w:r w:rsidRPr="00A96270">
        <w:rPr>
          <w:rFonts w:ascii="Calibri" w:hAnsi="Calibri" w:cs="Times New Roman"/>
          <w:noProof/>
          <w:szCs w:val="24"/>
        </w:rPr>
        <w:t xml:space="preserve">, </w:t>
      </w:r>
      <w:r w:rsidRPr="00A96270">
        <w:rPr>
          <w:rFonts w:ascii="Calibri" w:hAnsi="Calibri" w:cs="Times New Roman"/>
          <w:i/>
          <w:iCs/>
          <w:noProof/>
          <w:szCs w:val="24"/>
        </w:rPr>
        <w:t>21</w:t>
      </w:r>
      <w:r w:rsidRPr="00A96270">
        <w:rPr>
          <w:rFonts w:ascii="Calibri" w:hAnsi="Calibri" w:cs="Times New Roman"/>
          <w:noProof/>
          <w:szCs w:val="24"/>
        </w:rPr>
        <w:t>(3), 544–565. http://doi.org/10.1111/nana.12129</w:t>
      </w:r>
    </w:p>
    <w:p w14:paraId="3C0ACCCE" w14:textId="77777777" w:rsidR="00A96270" w:rsidRPr="00A96270" w:rsidRDefault="00A96270" w:rsidP="00A96270">
      <w:pPr>
        <w:widowControl w:val="0"/>
        <w:autoSpaceDE w:val="0"/>
        <w:autoSpaceDN w:val="0"/>
        <w:adjustRightInd w:val="0"/>
        <w:spacing w:line="480" w:lineRule="auto"/>
        <w:ind w:left="480" w:hanging="480"/>
        <w:rPr>
          <w:rFonts w:ascii="Calibri" w:hAnsi="Calibri" w:cs="Times New Roman"/>
          <w:noProof/>
          <w:szCs w:val="24"/>
        </w:rPr>
      </w:pPr>
      <w:r w:rsidRPr="00A96270">
        <w:rPr>
          <w:rFonts w:ascii="Calibri" w:hAnsi="Calibri" w:cs="Times New Roman"/>
          <w:noProof/>
          <w:szCs w:val="24"/>
        </w:rPr>
        <w:t xml:space="preserve">Nolan, P. (2007). Difference, diversity and difficulty: problems in adult peace education in Northern Ireland. </w:t>
      </w:r>
      <w:r w:rsidRPr="00A96270">
        <w:rPr>
          <w:rFonts w:ascii="Calibri" w:hAnsi="Calibri" w:cs="Times New Roman"/>
          <w:i/>
          <w:iCs/>
          <w:noProof/>
          <w:szCs w:val="24"/>
        </w:rPr>
        <w:t>International Journal of Educational Development</w:t>
      </w:r>
      <w:r w:rsidRPr="00A96270">
        <w:rPr>
          <w:rFonts w:ascii="Calibri" w:hAnsi="Calibri" w:cs="Times New Roman"/>
          <w:noProof/>
          <w:szCs w:val="24"/>
        </w:rPr>
        <w:t xml:space="preserve">, </w:t>
      </w:r>
      <w:r w:rsidRPr="00A96270">
        <w:rPr>
          <w:rFonts w:ascii="Calibri" w:hAnsi="Calibri" w:cs="Times New Roman"/>
          <w:i/>
          <w:iCs/>
          <w:noProof/>
          <w:szCs w:val="24"/>
        </w:rPr>
        <w:t>27</w:t>
      </w:r>
      <w:r w:rsidRPr="00A96270">
        <w:rPr>
          <w:rFonts w:ascii="Calibri" w:hAnsi="Calibri" w:cs="Times New Roman"/>
          <w:noProof/>
          <w:szCs w:val="24"/>
        </w:rPr>
        <w:t>(3), 282–291. http://doi.org/10.1016/j.ijedudev.2006.10.014</w:t>
      </w:r>
    </w:p>
    <w:p w14:paraId="055FBC07" w14:textId="77777777" w:rsidR="00A96270" w:rsidRPr="00A96270" w:rsidRDefault="00A96270" w:rsidP="00A96270">
      <w:pPr>
        <w:widowControl w:val="0"/>
        <w:autoSpaceDE w:val="0"/>
        <w:autoSpaceDN w:val="0"/>
        <w:adjustRightInd w:val="0"/>
        <w:spacing w:line="480" w:lineRule="auto"/>
        <w:ind w:left="480" w:hanging="480"/>
        <w:rPr>
          <w:rFonts w:ascii="Calibri" w:hAnsi="Calibri" w:cs="Times New Roman"/>
          <w:noProof/>
          <w:szCs w:val="24"/>
        </w:rPr>
      </w:pPr>
      <w:r w:rsidRPr="00A96270">
        <w:rPr>
          <w:rFonts w:ascii="Calibri" w:hAnsi="Calibri" w:cs="Times New Roman"/>
          <w:noProof/>
          <w:szCs w:val="24"/>
        </w:rPr>
        <w:t xml:space="preserve">O’Leary, B. (1995). Introduction: Reflections on a cold peace. </w:t>
      </w:r>
      <w:r w:rsidRPr="00A96270">
        <w:rPr>
          <w:rFonts w:ascii="Calibri" w:hAnsi="Calibri" w:cs="Times New Roman"/>
          <w:i/>
          <w:iCs/>
          <w:noProof/>
          <w:szCs w:val="24"/>
        </w:rPr>
        <w:t>Ethnic and Racial Studies</w:t>
      </w:r>
      <w:r w:rsidRPr="00A96270">
        <w:rPr>
          <w:rFonts w:ascii="Calibri" w:hAnsi="Calibri" w:cs="Times New Roman"/>
          <w:noProof/>
          <w:szCs w:val="24"/>
        </w:rPr>
        <w:t xml:space="preserve">, </w:t>
      </w:r>
      <w:r w:rsidRPr="00A96270">
        <w:rPr>
          <w:rFonts w:ascii="Calibri" w:hAnsi="Calibri" w:cs="Times New Roman"/>
          <w:i/>
          <w:iCs/>
          <w:noProof/>
          <w:szCs w:val="24"/>
        </w:rPr>
        <w:t>18</w:t>
      </w:r>
      <w:r w:rsidRPr="00A96270">
        <w:rPr>
          <w:rFonts w:ascii="Calibri" w:hAnsi="Calibri" w:cs="Times New Roman"/>
          <w:noProof/>
          <w:szCs w:val="24"/>
        </w:rPr>
        <w:t>(4), 695–714. http://doi.org/10.1080/01419870.1995.9993887</w:t>
      </w:r>
    </w:p>
    <w:p w14:paraId="44BD0D11" w14:textId="77777777" w:rsidR="00A96270" w:rsidRPr="00A96270" w:rsidRDefault="00A96270" w:rsidP="00A96270">
      <w:pPr>
        <w:widowControl w:val="0"/>
        <w:autoSpaceDE w:val="0"/>
        <w:autoSpaceDN w:val="0"/>
        <w:adjustRightInd w:val="0"/>
        <w:spacing w:line="480" w:lineRule="auto"/>
        <w:ind w:left="480" w:hanging="480"/>
        <w:rPr>
          <w:rFonts w:ascii="Calibri" w:hAnsi="Calibri" w:cs="Times New Roman"/>
          <w:noProof/>
          <w:szCs w:val="24"/>
        </w:rPr>
      </w:pPr>
      <w:r w:rsidRPr="00A96270">
        <w:rPr>
          <w:rFonts w:ascii="Calibri" w:hAnsi="Calibri" w:cs="Times New Roman"/>
          <w:noProof/>
          <w:szCs w:val="24"/>
        </w:rPr>
        <w:t>R Core Team. (2016). R: A language and environment for statistical computing. Vienna, Austria: Foundation for Statistical Computing,. Retrieved from https://www.r-project.org/</w:t>
      </w:r>
    </w:p>
    <w:p w14:paraId="23AB2BAE" w14:textId="77777777" w:rsidR="00A96270" w:rsidRPr="00A96270" w:rsidRDefault="00A96270" w:rsidP="00A96270">
      <w:pPr>
        <w:widowControl w:val="0"/>
        <w:autoSpaceDE w:val="0"/>
        <w:autoSpaceDN w:val="0"/>
        <w:adjustRightInd w:val="0"/>
        <w:spacing w:line="480" w:lineRule="auto"/>
        <w:ind w:left="480" w:hanging="480"/>
        <w:rPr>
          <w:rFonts w:ascii="Calibri" w:hAnsi="Calibri" w:cs="Times New Roman"/>
          <w:noProof/>
          <w:szCs w:val="24"/>
        </w:rPr>
      </w:pPr>
      <w:r w:rsidRPr="00A96270">
        <w:rPr>
          <w:rFonts w:ascii="Calibri" w:hAnsi="Calibri" w:cs="Times New Roman"/>
          <w:noProof/>
          <w:szCs w:val="24"/>
        </w:rPr>
        <w:t xml:space="preserve">Schmid, K., Hewstone, M., &amp; Tausch, N. (2014). Secondary transfer effects of intergroup contact via </w:t>
      </w:r>
      <w:r w:rsidRPr="00A96270">
        <w:rPr>
          <w:rFonts w:ascii="Calibri" w:hAnsi="Calibri" w:cs="Times New Roman"/>
          <w:noProof/>
          <w:szCs w:val="24"/>
        </w:rPr>
        <w:lastRenderedPageBreak/>
        <w:t xml:space="preserve">social identity complexity. </w:t>
      </w:r>
      <w:r w:rsidRPr="00A96270">
        <w:rPr>
          <w:rFonts w:ascii="Calibri" w:hAnsi="Calibri" w:cs="Times New Roman"/>
          <w:i/>
          <w:iCs/>
          <w:noProof/>
          <w:szCs w:val="24"/>
        </w:rPr>
        <w:t>The British Journal of Social Psychology</w:t>
      </w:r>
      <w:r w:rsidRPr="00A96270">
        <w:rPr>
          <w:rFonts w:ascii="Calibri" w:hAnsi="Calibri" w:cs="Times New Roman"/>
          <w:noProof/>
          <w:szCs w:val="24"/>
        </w:rPr>
        <w:t xml:space="preserve">, </w:t>
      </w:r>
      <w:r w:rsidRPr="00A96270">
        <w:rPr>
          <w:rFonts w:ascii="Calibri" w:hAnsi="Calibri" w:cs="Times New Roman"/>
          <w:i/>
          <w:iCs/>
          <w:noProof/>
          <w:szCs w:val="24"/>
        </w:rPr>
        <w:t>53</w:t>
      </w:r>
      <w:r w:rsidRPr="00A96270">
        <w:rPr>
          <w:rFonts w:ascii="Calibri" w:hAnsi="Calibri" w:cs="Times New Roman"/>
          <w:noProof/>
          <w:szCs w:val="24"/>
        </w:rPr>
        <w:t>(3), 443–62. http://doi.org/10.1111/bjso.12045</w:t>
      </w:r>
    </w:p>
    <w:p w14:paraId="78B77844" w14:textId="77777777" w:rsidR="00A96270" w:rsidRPr="00A96270" w:rsidRDefault="00A96270" w:rsidP="00A96270">
      <w:pPr>
        <w:widowControl w:val="0"/>
        <w:autoSpaceDE w:val="0"/>
        <w:autoSpaceDN w:val="0"/>
        <w:adjustRightInd w:val="0"/>
        <w:spacing w:line="480" w:lineRule="auto"/>
        <w:ind w:left="480" w:hanging="480"/>
        <w:rPr>
          <w:rFonts w:ascii="Calibri" w:hAnsi="Calibri" w:cs="Times New Roman"/>
          <w:noProof/>
          <w:szCs w:val="24"/>
        </w:rPr>
      </w:pPr>
      <w:r w:rsidRPr="00A96270">
        <w:rPr>
          <w:rFonts w:ascii="Calibri" w:hAnsi="Calibri" w:cs="Times New Roman"/>
          <w:noProof/>
          <w:szCs w:val="24"/>
        </w:rPr>
        <w:t xml:space="preserve">Smyth, M. (1998). </w:t>
      </w:r>
      <w:r w:rsidRPr="00A96270">
        <w:rPr>
          <w:rFonts w:ascii="Calibri" w:hAnsi="Calibri" w:cs="Times New Roman"/>
          <w:i/>
          <w:iCs/>
          <w:noProof/>
          <w:szCs w:val="24"/>
        </w:rPr>
        <w:t>Half the Battle: Understanding the impact of “the Troubles” on children and young people</w:t>
      </w:r>
      <w:r w:rsidRPr="00A96270">
        <w:rPr>
          <w:rFonts w:ascii="Calibri" w:hAnsi="Calibri" w:cs="Times New Roman"/>
          <w:noProof/>
          <w:szCs w:val="24"/>
        </w:rPr>
        <w:t>. Derry: INCORE. Retrieved from http://cain.ulst.ac.uk/issues/violence/cts/smyth1.htm</w:t>
      </w:r>
    </w:p>
    <w:p w14:paraId="318DC28A" w14:textId="77777777" w:rsidR="00A96270" w:rsidRPr="00A96270" w:rsidRDefault="00A96270" w:rsidP="00A96270">
      <w:pPr>
        <w:widowControl w:val="0"/>
        <w:autoSpaceDE w:val="0"/>
        <w:autoSpaceDN w:val="0"/>
        <w:adjustRightInd w:val="0"/>
        <w:spacing w:line="480" w:lineRule="auto"/>
        <w:ind w:left="480" w:hanging="480"/>
        <w:rPr>
          <w:rFonts w:ascii="Calibri" w:hAnsi="Calibri" w:cs="Times New Roman"/>
          <w:noProof/>
          <w:szCs w:val="24"/>
        </w:rPr>
      </w:pPr>
      <w:r w:rsidRPr="00A96270">
        <w:rPr>
          <w:rFonts w:ascii="Calibri" w:hAnsi="Calibri" w:cs="Times New Roman"/>
          <w:noProof/>
          <w:szCs w:val="24"/>
        </w:rPr>
        <w:t xml:space="preserve">Tausch, N., Hewstone, M., Kenworthy, J. B., Psaltis, C., Schmid, K., Popan, J. R., … Hughes, J. (2010). Secondary transfer effects of intergroup contact: Alternative accounts and underlying processes. </w:t>
      </w:r>
      <w:r w:rsidRPr="00A96270">
        <w:rPr>
          <w:rFonts w:ascii="Calibri" w:hAnsi="Calibri" w:cs="Times New Roman"/>
          <w:i/>
          <w:iCs/>
          <w:noProof/>
          <w:szCs w:val="24"/>
        </w:rPr>
        <w:t>Journal of Personality and Social Psychology</w:t>
      </w:r>
      <w:r w:rsidRPr="00A96270">
        <w:rPr>
          <w:rFonts w:ascii="Calibri" w:hAnsi="Calibri" w:cs="Times New Roman"/>
          <w:noProof/>
          <w:szCs w:val="24"/>
        </w:rPr>
        <w:t xml:space="preserve">, </w:t>
      </w:r>
      <w:r w:rsidRPr="00A96270">
        <w:rPr>
          <w:rFonts w:ascii="Calibri" w:hAnsi="Calibri" w:cs="Times New Roman"/>
          <w:i/>
          <w:iCs/>
          <w:noProof/>
          <w:szCs w:val="24"/>
        </w:rPr>
        <w:t>99</w:t>
      </w:r>
      <w:r w:rsidRPr="00A96270">
        <w:rPr>
          <w:rFonts w:ascii="Calibri" w:hAnsi="Calibri" w:cs="Times New Roman"/>
          <w:noProof/>
          <w:szCs w:val="24"/>
        </w:rPr>
        <w:t>(2), 282–302. http://doi.org/10.1037/a0018553</w:t>
      </w:r>
    </w:p>
    <w:p w14:paraId="266CE919" w14:textId="77777777" w:rsidR="00A96270" w:rsidRPr="00A96270" w:rsidRDefault="00A96270" w:rsidP="00A96270">
      <w:pPr>
        <w:widowControl w:val="0"/>
        <w:autoSpaceDE w:val="0"/>
        <w:autoSpaceDN w:val="0"/>
        <w:adjustRightInd w:val="0"/>
        <w:spacing w:line="480" w:lineRule="auto"/>
        <w:ind w:left="480" w:hanging="480"/>
        <w:rPr>
          <w:rFonts w:ascii="Calibri" w:hAnsi="Calibri" w:cs="Times New Roman"/>
          <w:noProof/>
          <w:szCs w:val="24"/>
        </w:rPr>
      </w:pPr>
      <w:r w:rsidRPr="00A96270">
        <w:rPr>
          <w:rFonts w:ascii="Calibri" w:hAnsi="Calibri" w:cs="Times New Roman"/>
          <w:noProof/>
          <w:szCs w:val="24"/>
        </w:rPr>
        <w:t xml:space="preserve">Thornton, R. (2007). Getting it Wrong: The Crucial Mistakes Made in the Early Stages of the British Army’s Deployment to Northern Ireland (August 1969 to March 1972). </w:t>
      </w:r>
      <w:r w:rsidRPr="00A96270">
        <w:rPr>
          <w:rFonts w:ascii="Calibri" w:hAnsi="Calibri" w:cs="Times New Roman"/>
          <w:i/>
          <w:iCs/>
          <w:noProof/>
          <w:szCs w:val="24"/>
        </w:rPr>
        <w:t>Journal of Strategic Studies</w:t>
      </w:r>
      <w:r w:rsidRPr="00A96270">
        <w:rPr>
          <w:rFonts w:ascii="Calibri" w:hAnsi="Calibri" w:cs="Times New Roman"/>
          <w:noProof/>
          <w:szCs w:val="24"/>
        </w:rPr>
        <w:t xml:space="preserve">, </w:t>
      </w:r>
      <w:r w:rsidRPr="00A96270">
        <w:rPr>
          <w:rFonts w:ascii="Calibri" w:hAnsi="Calibri" w:cs="Times New Roman"/>
          <w:i/>
          <w:iCs/>
          <w:noProof/>
          <w:szCs w:val="24"/>
        </w:rPr>
        <w:t>30</w:t>
      </w:r>
      <w:r w:rsidRPr="00A96270">
        <w:rPr>
          <w:rFonts w:ascii="Calibri" w:hAnsi="Calibri" w:cs="Times New Roman"/>
          <w:noProof/>
          <w:szCs w:val="24"/>
        </w:rPr>
        <w:t>(1), 73–107. http://doi.org/10.1080/01402390701210848</w:t>
      </w:r>
    </w:p>
    <w:p w14:paraId="3B372A11" w14:textId="77777777" w:rsidR="00A96270" w:rsidRPr="00A96270" w:rsidRDefault="00A96270" w:rsidP="00A96270">
      <w:pPr>
        <w:widowControl w:val="0"/>
        <w:autoSpaceDE w:val="0"/>
        <w:autoSpaceDN w:val="0"/>
        <w:adjustRightInd w:val="0"/>
        <w:spacing w:line="480" w:lineRule="auto"/>
        <w:ind w:left="480" w:hanging="480"/>
        <w:rPr>
          <w:rFonts w:ascii="Calibri" w:hAnsi="Calibri" w:cs="Times New Roman"/>
          <w:noProof/>
          <w:szCs w:val="24"/>
        </w:rPr>
      </w:pPr>
      <w:r w:rsidRPr="00A96270">
        <w:rPr>
          <w:rFonts w:ascii="Calibri" w:hAnsi="Calibri" w:cs="Times New Roman"/>
          <w:noProof/>
          <w:szCs w:val="24"/>
        </w:rPr>
        <w:t>University of California, B. (USA); M. P. I. for D. R. (Germany). (2017). Human Mortality Database. Retrieved June 13, 2017, from www.mortality.org</w:t>
      </w:r>
    </w:p>
    <w:p w14:paraId="4E559AAD" w14:textId="77777777" w:rsidR="00A96270" w:rsidRPr="00A96270" w:rsidRDefault="00A96270" w:rsidP="00A96270">
      <w:pPr>
        <w:widowControl w:val="0"/>
        <w:autoSpaceDE w:val="0"/>
        <w:autoSpaceDN w:val="0"/>
        <w:adjustRightInd w:val="0"/>
        <w:spacing w:line="480" w:lineRule="auto"/>
        <w:ind w:left="480" w:hanging="480"/>
        <w:rPr>
          <w:rFonts w:ascii="Calibri" w:hAnsi="Calibri" w:cs="Times New Roman"/>
          <w:noProof/>
          <w:szCs w:val="24"/>
        </w:rPr>
      </w:pPr>
      <w:r w:rsidRPr="00A96270">
        <w:rPr>
          <w:rFonts w:ascii="Calibri" w:hAnsi="Calibri" w:cs="Times New Roman"/>
          <w:noProof/>
          <w:szCs w:val="24"/>
        </w:rPr>
        <w:t xml:space="preserve">Vaupel, J. W., Wang, Z., Andreev, K., &amp; Yashin, A. I. (1997). </w:t>
      </w:r>
      <w:r w:rsidRPr="00A96270">
        <w:rPr>
          <w:rFonts w:ascii="Calibri" w:hAnsi="Calibri" w:cs="Times New Roman"/>
          <w:i/>
          <w:iCs/>
          <w:noProof/>
          <w:szCs w:val="24"/>
        </w:rPr>
        <w:t>Population Data at a Glance: Shaded Contour Maps of Demographic Surfaces over Age and Time</w:t>
      </w:r>
      <w:r w:rsidRPr="00A96270">
        <w:rPr>
          <w:rFonts w:ascii="Calibri" w:hAnsi="Calibri" w:cs="Times New Roman"/>
          <w:noProof/>
          <w:szCs w:val="24"/>
        </w:rPr>
        <w:t>. University Press of Southern Denmark. Retrieved from http://www.abebooks.co.uk/servlet/BookDetailsPL?bi=2944819605</w:t>
      </w:r>
    </w:p>
    <w:p w14:paraId="451BCA25" w14:textId="77777777" w:rsidR="00A96270" w:rsidRPr="00A96270" w:rsidRDefault="00A96270" w:rsidP="00A96270">
      <w:pPr>
        <w:widowControl w:val="0"/>
        <w:autoSpaceDE w:val="0"/>
        <w:autoSpaceDN w:val="0"/>
        <w:adjustRightInd w:val="0"/>
        <w:spacing w:line="480" w:lineRule="auto"/>
        <w:ind w:left="480" w:hanging="480"/>
        <w:rPr>
          <w:rFonts w:ascii="Calibri" w:hAnsi="Calibri"/>
          <w:noProof/>
        </w:rPr>
      </w:pPr>
      <w:r w:rsidRPr="00A96270">
        <w:rPr>
          <w:rFonts w:ascii="Calibri" w:hAnsi="Calibri" w:cs="Times New Roman"/>
          <w:noProof/>
          <w:szCs w:val="24"/>
        </w:rPr>
        <w:t xml:space="preserve">Wright, S. (2006). A systems approach to analysing sub‐state conflicts. </w:t>
      </w:r>
      <w:r w:rsidRPr="00A96270">
        <w:rPr>
          <w:rFonts w:ascii="Calibri" w:hAnsi="Calibri" w:cs="Times New Roman"/>
          <w:i/>
          <w:iCs/>
          <w:noProof/>
          <w:szCs w:val="24"/>
        </w:rPr>
        <w:t>Kybernetes</w:t>
      </w:r>
      <w:r w:rsidRPr="00A96270">
        <w:rPr>
          <w:rFonts w:ascii="Calibri" w:hAnsi="Calibri" w:cs="Times New Roman"/>
          <w:noProof/>
          <w:szCs w:val="24"/>
        </w:rPr>
        <w:t xml:space="preserve">, </w:t>
      </w:r>
      <w:r w:rsidRPr="00A96270">
        <w:rPr>
          <w:rFonts w:ascii="Calibri" w:hAnsi="Calibri" w:cs="Times New Roman"/>
          <w:i/>
          <w:iCs/>
          <w:noProof/>
          <w:szCs w:val="24"/>
        </w:rPr>
        <w:t>35</w:t>
      </w:r>
      <w:r w:rsidRPr="00A96270">
        <w:rPr>
          <w:rFonts w:ascii="Calibri" w:hAnsi="Calibri" w:cs="Times New Roman"/>
          <w:noProof/>
          <w:szCs w:val="24"/>
        </w:rPr>
        <w:t>(1/2), 182–194. http://doi.org/10.1108/03684920610640308</w:t>
      </w:r>
    </w:p>
    <w:p w14:paraId="68B27265" w14:textId="206D15F7" w:rsidR="00023023" w:rsidRPr="00023023" w:rsidRDefault="00023023" w:rsidP="000B02C5">
      <w:pPr>
        <w:spacing w:line="480" w:lineRule="auto"/>
      </w:pPr>
      <w:r>
        <w:fldChar w:fldCharType="end"/>
      </w:r>
    </w:p>
    <w:sectPr w:rsidR="00023023" w:rsidRPr="0002302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nathan Minton" w:date="2017-06-05T11:52:00Z" w:initials="JM">
    <w:p w14:paraId="271A27F9" w14:textId="77777777" w:rsidR="00A96270" w:rsidRDefault="00A96270"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Please include all authors’ full names, affiliations, postal addresses, telephone numbers and email addresses on the title page. Where available, please also include</w:t>
      </w:r>
      <w:r>
        <w:rPr>
          <w:rStyle w:val="apple-converted-space"/>
          <w:rFonts w:ascii="Arial" w:hAnsi="Arial" w:cs="Arial"/>
          <w:color w:val="333333"/>
        </w:rPr>
        <w:t> </w:t>
      </w:r>
      <w:hyperlink r:id="rId1" w:history="1">
        <w:r>
          <w:rPr>
            <w:rStyle w:val="Hyperlink"/>
            <w:rFonts w:ascii="Arial" w:hAnsi="Arial" w:cs="Arial"/>
            <w:color w:val="10147E"/>
          </w:rPr>
          <w:t>ORCID identifiers</w:t>
        </w:r>
      </w:hyperlink>
      <w:r>
        <w:rPr>
          <w:rStyle w:val="apple-converted-space"/>
          <w:rFonts w:ascii="Arial" w:hAnsi="Arial" w:cs="Arial"/>
          <w:color w:val="333333"/>
        </w:rPr>
        <w:t> </w:t>
      </w:r>
      <w:r>
        <w:rPr>
          <w:rFonts w:ascii="Arial" w:hAnsi="Arial" w:cs="Arial"/>
          <w:color w:val="333333"/>
        </w:rPr>
        <w:t>and social media handles (Facebook, Twitter or LinkedIn). One author will need to be identified as the corresponding author, with their email address normally displayed in the article PDF (depending on the journal) and the online article. Authors’ affiliations are the affiliations where the research was conducted. If any of the named co-authors moves affiliation during the peer-review process, the new affiliation can be given as a footnote. Please note that no changes to affiliation can be made after your paper is accepted.</w:t>
      </w:r>
      <w:r>
        <w:rPr>
          <w:rStyle w:val="apple-converted-space"/>
          <w:rFonts w:ascii="Arial" w:hAnsi="Arial" w:cs="Arial"/>
          <w:color w:val="333333"/>
        </w:rPr>
        <w:t> </w:t>
      </w:r>
      <w:hyperlink r:id="rId2" w:history="1">
        <w:r>
          <w:rPr>
            <w:rStyle w:val="Hyperlink"/>
            <w:rFonts w:ascii="Arial" w:hAnsi="Arial" w:cs="Arial"/>
            <w:color w:val="10147E"/>
          </w:rPr>
          <w:t>Read more on authorship</w:t>
        </w:r>
      </w:hyperlink>
      <w:r>
        <w:rPr>
          <w:rFonts w:ascii="Arial" w:hAnsi="Arial" w:cs="Arial"/>
          <w:color w:val="333333"/>
        </w:rPr>
        <w:t>.</w:t>
      </w:r>
    </w:p>
    <w:p w14:paraId="317C51DA" w14:textId="77777777" w:rsidR="00A96270" w:rsidRDefault="00A96270">
      <w:pPr>
        <w:pStyle w:val="CommentText"/>
      </w:pPr>
    </w:p>
  </w:comment>
  <w:comment w:id="1" w:author="Jonathan Minton" w:date="2017-06-05T11:52:00Z" w:initials="JM">
    <w:p w14:paraId="095CDC3C" w14:textId="77777777" w:rsidR="00A96270" w:rsidRDefault="00A96270"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A non-structured</w:t>
      </w:r>
      <w:r>
        <w:rPr>
          <w:rStyle w:val="apple-converted-space"/>
          <w:rFonts w:ascii="Arial" w:hAnsi="Arial" w:cs="Arial"/>
          <w:color w:val="333333"/>
        </w:rPr>
        <w:t> </w:t>
      </w:r>
      <w:r>
        <w:rPr>
          <w:rFonts w:ascii="Arial" w:hAnsi="Arial" w:cs="Arial"/>
          <w:b/>
          <w:bCs/>
          <w:color w:val="333333"/>
        </w:rPr>
        <w:t>abstract</w:t>
      </w:r>
      <w:r>
        <w:rPr>
          <w:rStyle w:val="apple-converted-space"/>
          <w:rFonts w:ascii="Arial" w:hAnsi="Arial" w:cs="Arial"/>
          <w:color w:val="333333"/>
        </w:rPr>
        <w:t> </w:t>
      </w:r>
      <w:r>
        <w:rPr>
          <w:rFonts w:ascii="Arial" w:hAnsi="Arial" w:cs="Arial"/>
          <w:color w:val="333333"/>
        </w:rPr>
        <w:t>of more than 150 and no more than 200 words. Read tips on</w:t>
      </w:r>
      <w:r>
        <w:rPr>
          <w:rStyle w:val="apple-converted-space"/>
          <w:rFonts w:ascii="Arial" w:hAnsi="Arial" w:cs="Arial"/>
          <w:color w:val="333333"/>
        </w:rPr>
        <w:t> </w:t>
      </w:r>
      <w:hyperlink r:id="rId3" w:history="1">
        <w:r>
          <w:rPr>
            <w:rStyle w:val="Hyperlink"/>
            <w:rFonts w:ascii="Arial" w:hAnsi="Arial" w:cs="Arial"/>
            <w:color w:val="10147E"/>
          </w:rPr>
          <w:t>writing your abstract</w:t>
        </w:r>
      </w:hyperlink>
      <w:r>
        <w:rPr>
          <w:rFonts w:ascii="Arial" w:hAnsi="Arial" w:cs="Arial"/>
          <w:color w:val="333333"/>
        </w:rPr>
        <w:t>.</w:t>
      </w:r>
    </w:p>
    <w:p w14:paraId="4A799A93" w14:textId="77777777" w:rsidR="00A96270" w:rsidRDefault="00A96270">
      <w:pPr>
        <w:pStyle w:val="CommentText"/>
      </w:pPr>
    </w:p>
  </w:comment>
  <w:comment w:id="2" w:author="Jonathan Minton" w:date="2017-06-05T11:53:00Z" w:initials="JM">
    <w:p w14:paraId="362BDCC2" w14:textId="77777777" w:rsidR="00A96270" w:rsidRDefault="00A96270">
      <w:pPr>
        <w:pStyle w:val="CommentText"/>
      </w:pPr>
      <w:r>
        <w:rPr>
          <w:rStyle w:val="CommentReference"/>
        </w:rPr>
        <w:annotationRef/>
      </w:r>
      <w:r>
        <w:rPr>
          <w:rFonts w:ascii="Arial" w:hAnsi="Arial" w:cs="Arial"/>
          <w:color w:val="333333"/>
        </w:rPr>
        <w:t>You can opt to include a</w:t>
      </w:r>
      <w:r>
        <w:rPr>
          <w:rStyle w:val="apple-converted-space"/>
          <w:rFonts w:ascii="Arial" w:hAnsi="Arial" w:cs="Arial"/>
          <w:color w:val="333333"/>
        </w:rPr>
        <w:t> </w:t>
      </w:r>
      <w:r>
        <w:rPr>
          <w:rFonts w:ascii="Arial" w:hAnsi="Arial" w:cs="Arial"/>
          <w:b/>
          <w:bCs/>
          <w:color w:val="333333"/>
        </w:rPr>
        <w:t>video abstract</w:t>
      </w:r>
      <w:r>
        <w:rPr>
          <w:rStyle w:val="apple-converted-space"/>
          <w:rFonts w:ascii="Arial" w:hAnsi="Arial" w:cs="Arial"/>
          <w:color w:val="333333"/>
        </w:rPr>
        <w:t> </w:t>
      </w:r>
      <w:r>
        <w:rPr>
          <w:rFonts w:ascii="Arial" w:hAnsi="Arial" w:cs="Arial"/>
          <w:color w:val="333333"/>
        </w:rPr>
        <w:t>with your article.</w:t>
      </w:r>
      <w:r>
        <w:rPr>
          <w:rStyle w:val="apple-converted-space"/>
          <w:rFonts w:ascii="Arial" w:hAnsi="Arial" w:cs="Arial"/>
          <w:color w:val="333333"/>
        </w:rPr>
        <w:t> </w:t>
      </w:r>
      <w:hyperlink r:id="rId4" w:history="1">
        <w:r>
          <w:rPr>
            <w:rStyle w:val="Hyperlink"/>
            <w:rFonts w:ascii="Arial" w:hAnsi="Arial" w:cs="Arial"/>
            <w:color w:val="10147E"/>
          </w:rPr>
          <w:t>Find out how these can help your work reach a wider audience, and what to think about when filming</w:t>
        </w:r>
      </w:hyperlink>
      <w:r>
        <w:rPr>
          <w:rFonts w:ascii="Arial" w:hAnsi="Arial" w:cs="Arial"/>
          <w:color w:val="333333"/>
        </w:rPr>
        <w:t>.</w:t>
      </w:r>
    </w:p>
  </w:comment>
  <w:comment w:id="3" w:author="Jonathan Minton" w:date="2017-06-05T11:53:00Z" w:initials="JM">
    <w:p w14:paraId="4BC0D2C5" w14:textId="77777777" w:rsidR="00A96270" w:rsidRDefault="00A96270"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Read</w:t>
      </w:r>
      <w:r>
        <w:rPr>
          <w:rStyle w:val="apple-converted-space"/>
          <w:rFonts w:ascii="Arial" w:hAnsi="Arial" w:cs="Arial"/>
          <w:color w:val="333333"/>
        </w:rPr>
        <w:t> </w:t>
      </w:r>
      <w:hyperlink r:id="rId5" w:history="1">
        <w:r>
          <w:rPr>
            <w:rStyle w:val="Hyperlink"/>
            <w:rFonts w:ascii="Arial" w:hAnsi="Arial" w:cs="Arial"/>
            <w:color w:val="10147E"/>
          </w:rPr>
          <w:t>making your article more discoverable</w:t>
        </w:r>
      </w:hyperlink>
      <w:r>
        <w:rPr>
          <w:rFonts w:ascii="Arial" w:hAnsi="Arial" w:cs="Arial"/>
          <w:color w:val="333333"/>
        </w:rPr>
        <w:t>, including information on choosing a title and search engine optimization.</w:t>
      </w:r>
    </w:p>
    <w:p w14:paraId="3F62B6AB" w14:textId="77777777" w:rsidR="00A96270" w:rsidRDefault="00A96270">
      <w:pPr>
        <w:pStyle w:val="CommentText"/>
      </w:pPr>
    </w:p>
  </w:comment>
  <w:comment w:id="4" w:author="Jonathan Minton" w:date="2017-06-05T11:53:00Z" w:initials="JM">
    <w:p w14:paraId="49069590" w14:textId="77777777" w:rsidR="00A96270" w:rsidRDefault="00A96270">
      <w:pPr>
        <w:pStyle w:val="CommentText"/>
      </w:pPr>
      <w:r>
        <w:rPr>
          <w:rStyle w:val="CommentReference"/>
        </w:rPr>
        <w:annotationRef/>
      </w:r>
      <w:r>
        <w:rPr>
          <w:rFonts w:ascii="Arial" w:hAnsi="Arial" w:cs="Arial"/>
          <w:color w:val="333333"/>
        </w:rPr>
        <w:t>Please supply all details required by your funding and grant-awarding bodies as follows:</w:t>
      </w:r>
      <w:r>
        <w:rPr>
          <w:rStyle w:val="apple-converted-space"/>
          <w:rFonts w:ascii="Arial" w:hAnsi="Arial" w:cs="Arial"/>
          <w:color w:val="333333"/>
        </w:rPr>
        <w:t> </w:t>
      </w:r>
      <w:r>
        <w:rPr>
          <w:rFonts w:ascii="Arial" w:hAnsi="Arial" w:cs="Arial"/>
          <w:color w:val="333333"/>
        </w:rPr>
        <w:br/>
      </w:r>
      <w:r>
        <w:rPr>
          <w:rFonts w:ascii="Arial" w:hAnsi="Arial" w:cs="Arial"/>
          <w:i/>
          <w:iCs/>
          <w:color w:val="333333"/>
        </w:rPr>
        <w:t>For single agency grants</w:t>
      </w:r>
      <w:r>
        <w:rPr>
          <w:rFonts w:ascii="Arial" w:hAnsi="Arial" w:cs="Arial"/>
          <w:color w:val="333333"/>
        </w:rPr>
        <w:t xml:space="preserve">: This work was supported by the [Funding Agency] under Grant [number </w:t>
      </w:r>
      <w:proofErr w:type="spellStart"/>
      <w:r>
        <w:rPr>
          <w:rFonts w:ascii="Arial" w:hAnsi="Arial" w:cs="Arial"/>
          <w:color w:val="333333"/>
        </w:rPr>
        <w:t>xxxx</w:t>
      </w:r>
      <w:proofErr w:type="spellEnd"/>
      <w:r>
        <w:rPr>
          <w:rFonts w:ascii="Arial" w:hAnsi="Arial" w:cs="Arial"/>
          <w:color w:val="333333"/>
        </w:rPr>
        <w:t>].</w:t>
      </w:r>
      <w:r>
        <w:rPr>
          <w:rStyle w:val="apple-converted-space"/>
          <w:rFonts w:ascii="Arial" w:hAnsi="Arial" w:cs="Arial"/>
          <w:color w:val="333333"/>
        </w:rPr>
        <w:t> </w:t>
      </w:r>
      <w:r>
        <w:rPr>
          <w:rFonts w:ascii="Arial" w:hAnsi="Arial" w:cs="Arial"/>
          <w:color w:val="333333"/>
        </w:rPr>
        <w:br/>
      </w:r>
      <w:r>
        <w:rPr>
          <w:rFonts w:ascii="Arial" w:hAnsi="Arial" w:cs="Arial"/>
          <w:i/>
          <w:iCs/>
          <w:color w:val="333333"/>
        </w:rPr>
        <w:t>For multiple agency grants</w:t>
      </w:r>
      <w:r>
        <w:rPr>
          <w:rFonts w:ascii="Arial" w:hAnsi="Arial" w:cs="Arial"/>
          <w:color w:val="333333"/>
        </w:rPr>
        <w:t xml:space="preserve">: This work was supported by the [funding Agency 1]; under Grant [number </w:t>
      </w:r>
      <w:proofErr w:type="spellStart"/>
      <w:r>
        <w:rPr>
          <w:rFonts w:ascii="Arial" w:hAnsi="Arial" w:cs="Arial"/>
          <w:color w:val="333333"/>
        </w:rPr>
        <w:t>xxxx</w:t>
      </w:r>
      <w:proofErr w:type="spellEnd"/>
      <w:r>
        <w:rPr>
          <w:rFonts w:ascii="Arial" w:hAnsi="Arial" w:cs="Arial"/>
          <w:color w:val="333333"/>
        </w:rPr>
        <w:t xml:space="preserve">]; [Funding Agency 2] under Grant [number </w:t>
      </w:r>
      <w:proofErr w:type="spellStart"/>
      <w:r>
        <w:rPr>
          <w:rFonts w:ascii="Arial" w:hAnsi="Arial" w:cs="Arial"/>
          <w:color w:val="333333"/>
        </w:rPr>
        <w:t>xxxx</w:t>
      </w:r>
      <w:proofErr w:type="spellEnd"/>
      <w:r>
        <w:rPr>
          <w:rFonts w:ascii="Arial" w:hAnsi="Arial" w:cs="Arial"/>
          <w:color w:val="333333"/>
        </w:rPr>
        <w:t xml:space="preserve">]; and [Funding Agency 3] under Grant [number </w:t>
      </w:r>
      <w:proofErr w:type="spellStart"/>
      <w:r>
        <w:rPr>
          <w:rFonts w:ascii="Arial" w:hAnsi="Arial" w:cs="Arial"/>
          <w:color w:val="333333"/>
        </w:rPr>
        <w:t>xxxx</w:t>
      </w:r>
      <w:proofErr w:type="spellEnd"/>
      <w:r>
        <w:rPr>
          <w:rFonts w:ascii="Arial" w:hAnsi="Arial" w:cs="Arial"/>
          <w:color w:val="333333"/>
        </w:rPr>
        <w:t>].</w:t>
      </w:r>
    </w:p>
  </w:comment>
  <w:comment w:id="5" w:author="Jonathan Minton" w:date="2017-06-05T11:54:00Z" w:initials="JM">
    <w:p w14:paraId="1CA48E2E" w14:textId="77777777" w:rsidR="00A96270" w:rsidRDefault="00A96270">
      <w:pPr>
        <w:pStyle w:val="CommentText"/>
      </w:pPr>
      <w:r>
        <w:rPr>
          <w:rStyle w:val="CommentReference"/>
        </w:rPr>
        <w:annotationRef/>
      </w:r>
      <w:r>
        <w:rPr>
          <w:rFonts w:ascii="Arial" w:hAnsi="Arial" w:cs="Arial"/>
          <w:color w:val="333333"/>
        </w:rPr>
        <w:t>This is to acknowledge any financial interest or benefit that has arisen from the direct applications of your research.</w:t>
      </w:r>
      <w:r>
        <w:rPr>
          <w:rStyle w:val="apple-converted-space"/>
          <w:rFonts w:ascii="Arial" w:hAnsi="Arial" w:cs="Arial"/>
          <w:color w:val="333333"/>
        </w:rPr>
        <w:t> </w:t>
      </w:r>
      <w:hyperlink r:id="rId6" w:history="1">
        <w:r>
          <w:rPr>
            <w:rStyle w:val="Hyperlink"/>
            <w:rFonts w:ascii="Arial" w:hAnsi="Arial" w:cs="Arial"/>
            <w:color w:val="10147E"/>
          </w:rPr>
          <w:t>Further guidance on what is a conflict of interest and how to disclose it</w:t>
        </w:r>
      </w:hyperlink>
      <w:r>
        <w:rPr>
          <w:rFonts w:ascii="Arial" w:hAnsi="Arial" w:cs="Arial"/>
          <w:color w:val="333333"/>
        </w:rPr>
        <w:t>.</w:t>
      </w:r>
    </w:p>
  </w:comment>
  <w:comment w:id="6" w:author="Jonathan Minton" w:date="2017-06-05T11:54:00Z" w:initials="JM">
    <w:p w14:paraId="6FEF3E85" w14:textId="77777777" w:rsidR="00A96270" w:rsidRDefault="00A96270"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Please supply a short biographical note for each author. This could be adapted from your departmental website or academic networking profile and should be relatively brief (e.g. no more than 100 words).</w:t>
      </w:r>
    </w:p>
    <w:p w14:paraId="483E5CEB" w14:textId="77777777" w:rsidR="00A96270" w:rsidRDefault="00A96270">
      <w:pPr>
        <w:pStyle w:val="CommentText"/>
      </w:pPr>
    </w:p>
  </w:comment>
  <w:comment w:id="7" w:author="Jonathan Minton" w:date="2017-06-05T11:54:00Z" w:initials="JM">
    <w:p w14:paraId="1B7F6CBA" w14:textId="77777777" w:rsidR="00A96270" w:rsidRDefault="00A96270"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 xml:space="preserve">Submitting a geolocation information section, as a separate paragraph before your acknowledgements, means we can index your paper’s study area accurately in </w:t>
      </w:r>
      <w:proofErr w:type="spellStart"/>
      <w:r>
        <w:rPr>
          <w:rFonts w:ascii="Arial" w:hAnsi="Arial" w:cs="Arial"/>
          <w:color w:val="333333"/>
        </w:rPr>
        <w:t>JournalMap’s</w:t>
      </w:r>
      <w:proofErr w:type="spellEnd"/>
      <w:r>
        <w:rPr>
          <w:rFonts w:ascii="Arial" w:hAnsi="Arial" w:cs="Arial"/>
          <w:color w:val="333333"/>
        </w:rPr>
        <w:t xml:space="preserve"> geographic literature database and</w:t>
      </w:r>
      <w:r>
        <w:rPr>
          <w:rStyle w:val="apple-converted-space"/>
          <w:rFonts w:ascii="Arial" w:hAnsi="Arial" w:cs="Arial"/>
          <w:color w:val="333333"/>
        </w:rPr>
        <w:t> </w:t>
      </w:r>
      <w:hyperlink r:id="rId7" w:history="1">
        <w:r>
          <w:rPr>
            <w:rStyle w:val="Hyperlink"/>
            <w:rFonts w:ascii="Arial" w:hAnsi="Arial" w:cs="Arial"/>
            <w:color w:val="10147E"/>
          </w:rPr>
          <w:t>make your article more discoverable to others</w:t>
        </w:r>
      </w:hyperlink>
      <w:r>
        <w:rPr>
          <w:rFonts w:ascii="Arial" w:hAnsi="Arial" w:cs="Arial"/>
          <w:color w:val="333333"/>
        </w:rPr>
        <w:t>.</w:t>
      </w:r>
    </w:p>
    <w:p w14:paraId="027AEEBF" w14:textId="77777777" w:rsidR="00A96270" w:rsidRDefault="00A96270">
      <w:pPr>
        <w:pStyle w:val="CommentText"/>
      </w:pPr>
    </w:p>
  </w:comment>
  <w:comment w:id="8" w:author="Jonathan Minton" w:date="2017-06-05T11:54:00Z" w:initials="JM">
    <w:p w14:paraId="4125BA54" w14:textId="77777777" w:rsidR="00A96270" w:rsidRDefault="00A96270"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 xml:space="preserve">Supplemental material can be a video, dataset, </w:t>
      </w:r>
      <w:proofErr w:type="spellStart"/>
      <w:r>
        <w:rPr>
          <w:rFonts w:ascii="Arial" w:hAnsi="Arial" w:cs="Arial"/>
          <w:color w:val="333333"/>
        </w:rPr>
        <w:t>fileset</w:t>
      </w:r>
      <w:proofErr w:type="spellEnd"/>
      <w:r>
        <w:rPr>
          <w:rFonts w:ascii="Arial" w:hAnsi="Arial" w:cs="Arial"/>
          <w:color w:val="333333"/>
        </w:rPr>
        <w:t xml:space="preserve">, sound file or anything which supports (and is pertinent to) your paper. We publish supplemental material online via </w:t>
      </w:r>
      <w:proofErr w:type="spellStart"/>
      <w:r>
        <w:rPr>
          <w:rFonts w:ascii="Arial" w:hAnsi="Arial" w:cs="Arial"/>
          <w:color w:val="333333"/>
        </w:rPr>
        <w:t>Figshare</w:t>
      </w:r>
      <w:proofErr w:type="spellEnd"/>
      <w:r>
        <w:rPr>
          <w:rFonts w:ascii="Arial" w:hAnsi="Arial" w:cs="Arial"/>
          <w:color w:val="333333"/>
        </w:rPr>
        <w:t>. Find out more about</w:t>
      </w:r>
      <w:r>
        <w:rPr>
          <w:rStyle w:val="apple-converted-space"/>
          <w:rFonts w:ascii="Arial" w:hAnsi="Arial" w:cs="Arial"/>
          <w:color w:val="333333"/>
        </w:rPr>
        <w:t> </w:t>
      </w:r>
      <w:hyperlink r:id="rId8" w:history="1">
        <w:r>
          <w:rPr>
            <w:rStyle w:val="Hyperlink"/>
            <w:rFonts w:ascii="Arial" w:hAnsi="Arial" w:cs="Arial"/>
            <w:color w:val="10147E"/>
          </w:rPr>
          <w:t>supplemental material and how to submit it with your article</w:t>
        </w:r>
      </w:hyperlink>
      <w:r>
        <w:rPr>
          <w:rFonts w:ascii="Arial" w:hAnsi="Arial" w:cs="Arial"/>
          <w:color w:val="333333"/>
        </w:rPr>
        <w:t>.</w:t>
      </w:r>
    </w:p>
    <w:p w14:paraId="5F69F10C" w14:textId="77777777" w:rsidR="00A96270" w:rsidRDefault="00A96270">
      <w:pPr>
        <w:pStyle w:val="CommentText"/>
      </w:pPr>
    </w:p>
  </w:comment>
  <w:comment w:id="9" w:author="Jonathan Minton" w:date="2017-06-05T11:54:00Z" w:initials="JM">
    <w:p w14:paraId="7E51439B" w14:textId="77777777" w:rsidR="00A96270" w:rsidRDefault="00A96270">
      <w:pPr>
        <w:pStyle w:val="CommentText"/>
      </w:pPr>
      <w:r>
        <w:rPr>
          <w:rStyle w:val="CommentReference"/>
        </w:rPr>
        <w:annotationRef/>
      </w:r>
      <w:r>
        <w:rPr>
          <w:rFonts w:ascii="Arial" w:hAnsi="Arial" w:cs="Arial"/>
          <w:color w:val="333333"/>
        </w:rPr>
        <w:t xml:space="preserve">Figures should be high quality (1200 dpi for line art, 600 dpi for grayscale and 300 dpi for </w:t>
      </w:r>
      <w:proofErr w:type="spellStart"/>
      <w:r>
        <w:rPr>
          <w:rFonts w:ascii="Arial" w:hAnsi="Arial" w:cs="Arial"/>
          <w:color w:val="333333"/>
        </w:rPr>
        <w:t>color</w:t>
      </w:r>
      <w:proofErr w:type="spellEnd"/>
      <w:r>
        <w:rPr>
          <w:rFonts w:ascii="Arial" w:hAnsi="Arial" w:cs="Arial"/>
          <w:color w:val="333333"/>
        </w:rPr>
        <w:t>, at the correct size). Figures should be saved as TIFF, PostScript or EPS files. More information on</w:t>
      </w:r>
      <w:r>
        <w:rPr>
          <w:rStyle w:val="apple-converted-space"/>
          <w:rFonts w:ascii="Arial" w:hAnsi="Arial" w:cs="Arial"/>
          <w:color w:val="333333"/>
        </w:rPr>
        <w:t> </w:t>
      </w:r>
      <w:hyperlink r:id="rId9" w:history="1">
        <w:r>
          <w:rPr>
            <w:rStyle w:val="Hyperlink"/>
            <w:rFonts w:ascii="Arial" w:hAnsi="Arial" w:cs="Arial"/>
            <w:color w:val="10147E"/>
          </w:rPr>
          <w:t>how to prepare artwork</w:t>
        </w:r>
      </w:hyperlink>
      <w:r>
        <w:rPr>
          <w:rFonts w:ascii="Arial" w:hAnsi="Arial" w:cs="Arial"/>
          <w:color w:val="333333"/>
        </w:rPr>
        <w:t>.</w:t>
      </w:r>
    </w:p>
  </w:comment>
  <w:comment w:id="10" w:author="Jonathan Minton" w:date="2017-06-05T11:54:00Z" w:initials="JM">
    <w:p w14:paraId="0E9B80E1" w14:textId="77777777" w:rsidR="00A96270" w:rsidRDefault="00A96270"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Tables should present new information rather than duplicating what is in the text. Readers should be able to interpret the table without reference to the text. Please supply editable files.</w:t>
      </w:r>
    </w:p>
    <w:p w14:paraId="7EABFD0B" w14:textId="77777777" w:rsidR="00A96270" w:rsidRDefault="00A96270">
      <w:pPr>
        <w:pStyle w:val="CommentText"/>
      </w:pPr>
    </w:p>
  </w:comment>
  <w:comment w:id="11" w:author="Jonathan Minton" w:date="2017-06-05T11:55:00Z" w:initials="JM">
    <w:p w14:paraId="27178FE0" w14:textId="77777777" w:rsidR="00A96270" w:rsidRDefault="00A96270"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If you are submitting your manuscript as a Word document, please ensure that equations are editable. More information about</w:t>
      </w:r>
      <w:r>
        <w:rPr>
          <w:rStyle w:val="apple-converted-space"/>
          <w:rFonts w:ascii="Arial" w:hAnsi="Arial" w:cs="Arial"/>
          <w:color w:val="333333"/>
        </w:rPr>
        <w:t> </w:t>
      </w:r>
      <w:hyperlink r:id="rId10" w:history="1">
        <w:r>
          <w:rPr>
            <w:rStyle w:val="Hyperlink"/>
            <w:rFonts w:ascii="Arial" w:hAnsi="Arial" w:cs="Arial"/>
            <w:color w:val="10147E"/>
          </w:rPr>
          <w:t>mathematical symbols and equations</w:t>
        </w:r>
      </w:hyperlink>
      <w:r>
        <w:rPr>
          <w:rFonts w:ascii="Arial" w:hAnsi="Arial" w:cs="Arial"/>
          <w:color w:val="333333"/>
        </w:rPr>
        <w:t>.</w:t>
      </w:r>
    </w:p>
    <w:p w14:paraId="4DF74809" w14:textId="77777777" w:rsidR="00A96270" w:rsidRDefault="00A96270">
      <w:pPr>
        <w:pStyle w:val="CommentText"/>
      </w:pPr>
    </w:p>
  </w:comment>
  <w:comment w:id="12" w:author="Jonathan Minton" w:date="2017-06-05T11:55:00Z" w:initials="JM">
    <w:p w14:paraId="22935BEF" w14:textId="77777777" w:rsidR="00A96270" w:rsidRDefault="00A96270">
      <w:pPr>
        <w:pStyle w:val="CommentText"/>
      </w:pPr>
      <w:r>
        <w:rPr>
          <w:rStyle w:val="CommentReference"/>
        </w:rPr>
        <w:annotationRef/>
      </w:r>
      <w:r>
        <w:rPr>
          <w:rFonts w:ascii="Arial" w:hAnsi="Arial" w:cs="Arial"/>
          <w:color w:val="333333"/>
        </w:rPr>
        <w:t>Please use</w:t>
      </w:r>
      <w:r>
        <w:rPr>
          <w:rStyle w:val="apple-converted-space"/>
          <w:rFonts w:ascii="Arial" w:hAnsi="Arial" w:cs="Arial"/>
          <w:color w:val="333333"/>
        </w:rPr>
        <w:t> </w:t>
      </w:r>
      <w:hyperlink r:id="rId11" w:tgtFrame="_blank" w:history="1">
        <w:r>
          <w:rPr>
            <w:rStyle w:val="Hyperlink"/>
            <w:rFonts w:ascii="Arial" w:hAnsi="Arial" w:cs="Arial"/>
            <w:color w:val="10147E"/>
          </w:rPr>
          <w:t>SI units</w:t>
        </w:r>
      </w:hyperlink>
      <w:r>
        <w:rPr>
          <w:rStyle w:val="apple-converted-space"/>
          <w:rFonts w:ascii="Arial" w:hAnsi="Arial" w:cs="Arial"/>
          <w:color w:val="333333"/>
        </w:rPr>
        <w:t> </w:t>
      </w:r>
      <w:r>
        <w:rPr>
          <w:rFonts w:ascii="Arial" w:hAnsi="Arial" w:cs="Arial"/>
          <w:color w:val="333333"/>
        </w:rPr>
        <w:t>(non-italicized).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7C51DA" w15:done="0"/>
  <w15:commentEx w15:paraId="4A799A93" w15:done="0"/>
  <w15:commentEx w15:paraId="362BDCC2" w15:done="0"/>
  <w15:commentEx w15:paraId="3F62B6AB" w15:done="0"/>
  <w15:commentEx w15:paraId="49069590" w15:done="0"/>
  <w15:commentEx w15:paraId="1CA48E2E" w15:done="0"/>
  <w15:commentEx w15:paraId="483E5CEB" w15:done="0"/>
  <w15:commentEx w15:paraId="027AEEBF" w15:done="0"/>
  <w15:commentEx w15:paraId="5F69F10C" w15:done="0"/>
  <w15:commentEx w15:paraId="7E51439B" w15:done="0"/>
  <w15:commentEx w15:paraId="7EABFD0B" w15:done="0"/>
  <w15:commentEx w15:paraId="4DF74809" w15:done="0"/>
  <w15:commentEx w15:paraId="22935BE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6FDD0C" w14:textId="77777777" w:rsidR="005629D3" w:rsidRDefault="005629D3" w:rsidP="000B02C5">
      <w:pPr>
        <w:spacing w:after="0" w:line="240" w:lineRule="auto"/>
      </w:pPr>
      <w:r>
        <w:separator/>
      </w:r>
    </w:p>
  </w:endnote>
  <w:endnote w:type="continuationSeparator" w:id="0">
    <w:p w14:paraId="2E1A3677" w14:textId="77777777" w:rsidR="005629D3" w:rsidRDefault="005629D3" w:rsidP="000B0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0618873"/>
      <w:docPartObj>
        <w:docPartGallery w:val="Page Numbers (Bottom of Page)"/>
        <w:docPartUnique/>
      </w:docPartObj>
    </w:sdtPr>
    <w:sdtEndPr>
      <w:rPr>
        <w:noProof/>
      </w:rPr>
    </w:sdtEndPr>
    <w:sdtContent>
      <w:p w14:paraId="388815F7" w14:textId="69366F66" w:rsidR="00A96270" w:rsidRDefault="00A96270">
        <w:pPr>
          <w:pStyle w:val="Footer"/>
          <w:jc w:val="right"/>
        </w:pPr>
        <w:r>
          <w:fldChar w:fldCharType="begin"/>
        </w:r>
        <w:r>
          <w:instrText xml:space="preserve"> PAGE   \* MERGEFORMAT </w:instrText>
        </w:r>
        <w:r>
          <w:fldChar w:fldCharType="separate"/>
        </w:r>
        <w:r w:rsidR="007F5EF6">
          <w:rPr>
            <w:noProof/>
          </w:rPr>
          <w:t>20</w:t>
        </w:r>
        <w:r>
          <w:rPr>
            <w:noProof/>
          </w:rPr>
          <w:fldChar w:fldCharType="end"/>
        </w:r>
      </w:p>
    </w:sdtContent>
  </w:sdt>
  <w:p w14:paraId="1C47D505" w14:textId="77777777" w:rsidR="00A96270" w:rsidRDefault="00A962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87D65F" w14:textId="77777777" w:rsidR="005629D3" w:rsidRDefault="005629D3" w:rsidP="000B02C5">
      <w:pPr>
        <w:spacing w:after="0" w:line="240" w:lineRule="auto"/>
      </w:pPr>
      <w:r>
        <w:separator/>
      </w:r>
    </w:p>
  </w:footnote>
  <w:footnote w:type="continuationSeparator" w:id="0">
    <w:p w14:paraId="4AF4B3BC" w14:textId="77777777" w:rsidR="005629D3" w:rsidRDefault="005629D3" w:rsidP="000B02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C66EF4"/>
    <w:multiLevelType w:val="multilevel"/>
    <w:tmpl w:val="B3904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115FD2"/>
    <w:multiLevelType w:val="hybridMultilevel"/>
    <w:tmpl w:val="803AD0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than Minton">
    <w15:presenceInfo w15:providerId="AD" w15:userId="S-1-5-21-3392181128-250301629-2379905336-2419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5CB"/>
    <w:rsid w:val="00023023"/>
    <w:rsid w:val="00045603"/>
    <w:rsid w:val="00095E96"/>
    <w:rsid w:val="000B02C5"/>
    <w:rsid w:val="000B2D22"/>
    <w:rsid w:val="000D3EC9"/>
    <w:rsid w:val="000E2BEA"/>
    <w:rsid w:val="0011370C"/>
    <w:rsid w:val="00143745"/>
    <w:rsid w:val="001B7B4E"/>
    <w:rsid w:val="001D2C6E"/>
    <w:rsid w:val="001D36B8"/>
    <w:rsid w:val="001E1856"/>
    <w:rsid w:val="001F32F4"/>
    <w:rsid w:val="00203A77"/>
    <w:rsid w:val="0024334F"/>
    <w:rsid w:val="00266368"/>
    <w:rsid w:val="0029467E"/>
    <w:rsid w:val="002D4A9D"/>
    <w:rsid w:val="002E108B"/>
    <w:rsid w:val="00307E81"/>
    <w:rsid w:val="00322835"/>
    <w:rsid w:val="00327D17"/>
    <w:rsid w:val="003426AF"/>
    <w:rsid w:val="00357EBB"/>
    <w:rsid w:val="003726C0"/>
    <w:rsid w:val="003D0EC1"/>
    <w:rsid w:val="003F3012"/>
    <w:rsid w:val="0041727A"/>
    <w:rsid w:val="004436DF"/>
    <w:rsid w:val="0049186E"/>
    <w:rsid w:val="004D1C59"/>
    <w:rsid w:val="00500E6F"/>
    <w:rsid w:val="005213D9"/>
    <w:rsid w:val="005223FE"/>
    <w:rsid w:val="005629D3"/>
    <w:rsid w:val="00563F5E"/>
    <w:rsid w:val="005670E4"/>
    <w:rsid w:val="00572441"/>
    <w:rsid w:val="005805CB"/>
    <w:rsid w:val="005B3129"/>
    <w:rsid w:val="005D4F12"/>
    <w:rsid w:val="005E7056"/>
    <w:rsid w:val="005F5990"/>
    <w:rsid w:val="0062486B"/>
    <w:rsid w:val="006764AA"/>
    <w:rsid w:val="006C78A1"/>
    <w:rsid w:val="006D095E"/>
    <w:rsid w:val="006D78AC"/>
    <w:rsid w:val="006E3FB2"/>
    <w:rsid w:val="007029A2"/>
    <w:rsid w:val="00717779"/>
    <w:rsid w:val="00720800"/>
    <w:rsid w:val="007232AE"/>
    <w:rsid w:val="00725DD5"/>
    <w:rsid w:val="007A7A42"/>
    <w:rsid w:val="007B2477"/>
    <w:rsid w:val="007F5EF6"/>
    <w:rsid w:val="008001D5"/>
    <w:rsid w:val="00842964"/>
    <w:rsid w:val="008818FA"/>
    <w:rsid w:val="008D1A01"/>
    <w:rsid w:val="008E371F"/>
    <w:rsid w:val="009140E4"/>
    <w:rsid w:val="00924589"/>
    <w:rsid w:val="00963867"/>
    <w:rsid w:val="00975750"/>
    <w:rsid w:val="00990874"/>
    <w:rsid w:val="009C0F9D"/>
    <w:rsid w:val="00A046D1"/>
    <w:rsid w:val="00A33838"/>
    <w:rsid w:val="00A7665B"/>
    <w:rsid w:val="00A96270"/>
    <w:rsid w:val="00AF371D"/>
    <w:rsid w:val="00B03DB4"/>
    <w:rsid w:val="00B447E0"/>
    <w:rsid w:val="00C308A5"/>
    <w:rsid w:val="00C371AF"/>
    <w:rsid w:val="00C920BF"/>
    <w:rsid w:val="00C94CE9"/>
    <w:rsid w:val="00CB6062"/>
    <w:rsid w:val="00CC1DA7"/>
    <w:rsid w:val="00CD5496"/>
    <w:rsid w:val="00D0423A"/>
    <w:rsid w:val="00D055BC"/>
    <w:rsid w:val="00DC2B06"/>
    <w:rsid w:val="00E34348"/>
    <w:rsid w:val="00E37237"/>
    <w:rsid w:val="00EB1C4F"/>
    <w:rsid w:val="00EC53AF"/>
    <w:rsid w:val="00EE07C7"/>
    <w:rsid w:val="00EF2178"/>
    <w:rsid w:val="00EF78B9"/>
    <w:rsid w:val="00F119C2"/>
    <w:rsid w:val="00F130E9"/>
    <w:rsid w:val="00F1537E"/>
    <w:rsid w:val="00F33FF6"/>
    <w:rsid w:val="00F350B4"/>
    <w:rsid w:val="00F73E1F"/>
    <w:rsid w:val="00FD52DB"/>
    <w:rsid w:val="00FD60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315A7"/>
  <w15:chartTrackingRefBased/>
  <w15:docId w15:val="{3D5D9FC7-7FFF-40FB-B900-460C64348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0E2"/>
  </w:style>
  <w:style w:type="paragraph" w:styleId="Heading1">
    <w:name w:val="heading 1"/>
    <w:basedOn w:val="Normal"/>
    <w:next w:val="Normal"/>
    <w:link w:val="Heading1Char"/>
    <w:uiPriority w:val="9"/>
    <w:qFormat/>
    <w:rsid w:val="00F153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53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7B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60E2"/>
    <w:rPr>
      <w:color w:val="0563C1" w:themeColor="hyperlink"/>
      <w:u w:val="single"/>
    </w:rPr>
  </w:style>
  <w:style w:type="character" w:customStyle="1" w:styleId="apple-converted-space">
    <w:name w:val="apple-converted-space"/>
    <w:basedOn w:val="DefaultParagraphFont"/>
    <w:rsid w:val="00FD60E2"/>
  </w:style>
  <w:style w:type="paragraph" w:styleId="ListParagraph">
    <w:name w:val="List Paragraph"/>
    <w:basedOn w:val="Normal"/>
    <w:uiPriority w:val="34"/>
    <w:qFormat/>
    <w:rsid w:val="00FD60E2"/>
    <w:pPr>
      <w:ind w:left="720"/>
      <w:contextualSpacing/>
    </w:pPr>
  </w:style>
  <w:style w:type="character" w:styleId="CommentReference">
    <w:name w:val="annotation reference"/>
    <w:basedOn w:val="DefaultParagraphFont"/>
    <w:uiPriority w:val="99"/>
    <w:semiHidden/>
    <w:unhideWhenUsed/>
    <w:rsid w:val="00FD60E2"/>
    <w:rPr>
      <w:sz w:val="16"/>
      <w:szCs w:val="16"/>
    </w:rPr>
  </w:style>
  <w:style w:type="paragraph" w:styleId="CommentText">
    <w:name w:val="annotation text"/>
    <w:basedOn w:val="Normal"/>
    <w:link w:val="CommentTextChar"/>
    <w:uiPriority w:val="99"/>
    <w:semiHidden/>
    <w:unhideWhenUsed/>
    <w:rsid w:val="00FD60E2"/>
    <w:pPr>
      <w:spacing w:line="240" w:lineRule="auto"/>
    </w:pPr>
    <w:rPr>
      <w:sz w:val="20"/>
      <w:szCs w:val="20"/>
    </w:rPr>
  </w:style>
  <w:style w:type="character" w:customStyle="1" w:styleId="CommentTextChar">
    <w:name w:val="Comment Text Char"/>
    <w:basedOn w:val="DefaultParagraphFont"/>
    <w:link w:val="CommentText"/>
    <w:uiPriority w:val="99"/>
    <w:semiHidden/>
    <w:rsid w:val="00FD60E2"/>
    <w:rPr>
      <w:sz w:val="20"/>
      <w:szCs w:val="20"/>
    </w:rPr>
  </w:style>
  <w:style w:type="paragraph" w:styleId="CommentSubject">
    <w:name w:val="annotation subject"/>
    <w:basedOn w:val="CommentText"/>
    <w:next w:val="CommentText"/>
    <w:link w:val="CommentSubjectChar"/>
    <w:uiPriority w:val="99"/>
    <w:semiHidden/>
    <w:unhideWhenUsed/>
    <w:rsid w:val="00FD60E2"/>
    <w:rPr>
      <w:b/>
      <w:bCs/>
    </w:rPr>
  </w:style>
  <w:style w:type="character" w:customStyle="1" w:styleId="CommentSubjectChar">
    <w:name w:val="Comment Subject Char"/>
    <w:basedOn w:val="CommentTextChar"/>
    <w:link w:val="CommentSubject"/>
    <w:uiPriority w:val="99"/>
    <w:semiHidden/>
    <w:rsid w:val="00FD60E2"/>
    <w:rPr>
      <w:b/>
      <w:bCs/>
      <w:sz w:val="20"/>
      <w:szCs w:val="20"/>
    </w:rPr>
  </w:style>
  <w:style w:type="paragraph" w:styleId="BalloonText">
    <w:name w:val="Balloon Text"/>
    <w:basedOn w:val="Normal"/>
    <w:link w:val="BalloonTextChar"/>
    <w:uiPriority w:val="99"/>
    <w:semiHidden/>
    <w:unhideWhenUsed/>
    <w:rsid w:val="00FD60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60E2"/>
    <w:rPr>
      <w:rFonts w:ascii="Segoe UI" w:hAnsi="Segoe UI" w:cs="Segoe UI"/>
      <w:sz w:val="18"/>
      <w:szCs w:val="18"/>
    </w:rPr>
  </w:style>
  <w:style w:type="character" w:styleId="FollowedHyperlink">
    <w:name w:val="FollowedHyperlink"/>
    <w:basedOn w:val="DefaultParagraphFont"/>
    <w:uiPriority w:val="99"/>
    <w:semiHidden/>
    <w:unhideWhenUsed/>
    <w:rsid w:val="00FD60E2"/>
    <w:rPr>
      <w:color w:val="954F72" w:themeColor="followedHyperlink"/>
      <w:u w:val="single"/>
    </w:rPr>
  </w:style>
  <w:style w:type="character" w:customStyle="1" w:styleId="Heading1Char">
    <w:name w:val="Heading 1 Char"/>
    <w:basedOn w:val="DefaultParagraphFont"/>
    <w:link w:val="Heading1"/>
    <w:uiPriority w:val="9"/>
    <w:rsid w:val="00F153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1537E"/>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5D4F12"/>
    <w:rPr>
      <w:color w:val="808080"/>
    </w:rPr>
  </w:style>
  <w:style w:type="character" w:customStyle="1" w:styleId="Heading3Char">
    <w:name w:val="Heading 3 Char"/>
    <w:basedOn w:val="DefaultParagraphFont"/>
    <w:link w:val="Heading3"/>
    <w:uiPriority w:val="9"/>
    <w:rsid w:val="001B7B4E"/>
    <w:rPr>
      <w:rFonts w:asciiTheme="majorHAnsi" w:eastAsiaTheme="majorEastAsia" w:hAnsiTheme="majorHAnsi" w:cstheme="majorBidi"/>
      <w:color w:val="1F4D78" w:themeColor="accent1" w:themeShade="7F"/>
      <w:sz w:val="24"/>
      <w:szCs w:val="24"/>
    </w:rPr>
  </w:style>
  <w:style w:type="character" w:styleId="LineNumber">
    <w:name w:val="line number"/>
    <w:basedOn w:val="DefaultParagraphFont"/>
    <w:uiPriority w:val="99"/>
    <w:semiHidden/>
    <w:unhideWhenUsed/>
    <w:rsid w:val="008D1A01"/>
  </w:style>
  <w:style w:type="paragraph" w:styleId="Header">
    <w:name w:val="header"/>
    <w:basedOn w:val="Normal"/>
    <w:link w:val="HeaderChar"/>
    <w:uiPriority w:val="99"/>
    <w:unhideWhenUsed/>
    <w:rsid w:val="000B02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02C5"/>
  </w:style>
  <w:style w:type="paragraph" w:styleId="Footer">
    <w:name w:val="footer"/>
    <w:basedOn w:val="Normal"/>
    <w:link w:val="FooterChar"/>
    <w:uiPriority w:val="99"/>
    <w:unhideWhenUsed/>
    <w:rsid w:val="000B02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02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authorservices.taylorandfrancis.com/enhancing-your-article-with-supplemental-material/" TargetMode="External"/><Relationship Id="rId3" Type="http://schemas.openxmlformats.org/officeDocument/2006/relationships/hyperlink" Target="http://authorservices.taylorandfrancis.com/abstracts-and-titles/" TargetMode="External"/><Relationship Id="rId7" Type="http://schemas.openxmlformats.org/officeDocument/2006/relationships/hyperlink" Target="http://authorservices.taylorandfrancis.com/making-your-article-and-you-more-discoverable/" TargetMode="External"/><Relationship Id="rId2" Type="http://schemas.openxmlformats.org/officeDocument/2006/relationships/hyperlink" Target="http://authorservices.taylorandfrancis.com/defining-authorship/" TargetMode="External"/><Relationship Id="rId1" Type="http://schemas.openxmlformats.org/officeDocument/2006/relationships/hyperlink" Target="http://orcid.org/" TargetMode="External"/><Relationship Id="rId6" Type="http://schemas.openxmlformats.org/officeDocument/2006/relationships/hyperlink" Target="http://authorservices.taylorandfrancis.com/what-is-a-conflict-of-interest/" TargetMode="External"/><Relationship Id="rId11" Type="http://schemas.openxmlformats.org/officeDocument/2006/relationships/hyperlink" Target="http://www.bipm.org/en/si/" TargetMode="External"/><Relationship Id="rId5" Type="http://schemas.openxmlformats.org/officeDocument/2006/relationships/hyperlink" Target="http://authorservices.taylorandfrancis.com/making-your-article-and-you-more-discoverable/" TargetMode="External"/><Relationship Id="rId10" Type="http://schemas.openxmlformats.org/officeDocument/2006/relationships/hyperlink" Target="http://authorservices.taylorandfrancis.com/mathematical-scripts/" TargetMode="External"/><Relationship Id="rId4" Type="http://schemas.openxmlformats.org/officeDocument/2006/relationships/hyperlink" Target="http://authorservices.taylorandfrancis.com/video-abstracts/" TargetMode="External"/><Relationship Id="rId9" Type="http://schemas.openxmlformats.org/officeDocument/2006/relationships/hyperlink" Target="http://authorservices.taylorandfrancis.com/submission-of-electronic-artwork/"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ate.minton@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jonathan.minton@glasgow.ac.uk"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BFCB6-A6A9-492B-95F7-972B13181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1456</TotalTime>
  <Pages>21</Pages>
  <Words>17286</Words>
  <Characters>98535</Characters>
  <Application>Microsoft Office Word</Application>
  <DocSecurity>0</DocSecurity>
  <Lines>821</Lines>
  <Paragraphs>231</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115590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16</cp:revision>
  <cp:lastPrinted>2017-06-13T09:43:00Z</cp:lastPrinted>
  <dcterms:created xsi:type="dcterms:W3CDTF">2017-06-05T10:48:00Z</dcterms:created>
  <dcterms:modified xsi:type="dcterms:W3CDTF">2017-06-13T14:12:00Z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e8453a48-ceaf-3d0c-b380-7da2e09f5b65</vt:lpwstr>
  </property>
  <property fmtid="{D5CDD505-2E9C-101B-9397-08002B2CF9AE}" pid="4" name="Mendeley Citation Style_1">
    <vt:lpwstr>http://www.zotero.org/styles/apa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http://www.zotero.org/styles/environment-and-planning-a</vt:lpwstr>
  </property>
  <property fmtid="{D5CDD505-2E9C-101B-9397-08002B2CF9AE}" pid="12" name="Mendeley Recent Style Name 3_1">
    <vt:lpwstr>Environment and Planning A</vt:lpwstr>
  </property>
  <property fmtid="{D5CDD505-2E9C-101B-9397-08002B2CF9AE}" pid="13" name="Mendeley Recent Style Id 4_1">
    <vt:lpwstr>http://www.zotero.org/styles/european-journal-of-epidemiology</vt:lpwstr>
  </property>
  <property fmtid="{D5CDD505-2E9C-101B-9397-08002B2CF9AE}" pid="14" name="Mendeley Recent Style Name 4_1">
    <vt:lpwstr>European Journal of Epidemiology</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http://www.zotero.org/styles/journal-of-epidemiology-and-community-health</vt:lpwstr>
  </property>
  <property fmtid="{D5CDD505-2E9C-101B-9397-08002B2CF9AE}" pid="18" name="Mendeley Recent Style Name 6_1">
    <vt:lpwstr>Journal of Epidemiology and Community Health</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